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320" w:firstLineChars="19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预案编号：ZHKX-2023-01</w:t>
      </w:r>
    </w:p>
    <w:p>
      <w:pPr>
        <w:spacing w:line="360" w:lineRule="auto"/>
        <w:ind w:firstLine="5320" w:firstLineChars="19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版本号：</w:t>
      </w:r>
      <w:r>
        <w:rPr>
          <w:rFonts w:hint="eastAsia" w:ascii="仿宋" w:hAnsi="仿宋" w:eastAsia="仿宋" w:cs="仿宋"/>
          <w:color w:val="auto"/>
          <w:sz w:val="28"/>
          <w:szCs w:val="28"/>
          <w:highlight w:val="none"/>
          <w:lang w:val="en-US" w:eastAsia="zh-CN"/>
        </w:rPr>
        <w:t>第2版</w:t>
      </w:r>
    </w:p>
    <w:p>
      <w:pPr>
        <w:spacing w:line="400" w:lineRule="exact"/>
        <w:rPr>
          <w:color w:val="auto"/>
          <w:sz w:val="28"/>
          <w:szCs w:val="28"/>
          <w:highlight w:val="none"/>
        </w:rPr>
      </w:pPr>
    </w:p>
    <w:p>
      <w:pPr>
        <w:spacing w:line="400" w:lineRule="exact"/>
        <w:rPr>
          <w:color w:val="auto"/>
          <w:sz w:val="28"/>
          <w:szCs w:val="28"/>
          <w:highlight w:val="none"/>
        </w:rPr>
      </w:pPr>
    </w:p>
    <w:p>
      <w:pPr>
        <w:spacing w:line="400" w:lineRule="exact"/>
        <w:jc w:val="center"/>
        <w:rPr>
          <w:b/>
          <w:color w:val="auto"/>
          <w:sz w:val="48"/>
          <w:szCs w:val="48"/>
          <w:highlight w:val="none"/>
        </w:rPr>
      </w:pPr>
    </w:p>
    <w:p>
      <w:pPr>
        <w:spacing w:line="360" w:lineRule="auto"/>
        <w:jc w:val="center"/>
        <w:rPr>
          <w:rFonts w:hint="eastAsia" w:eastAsia="宋体"/>
          <w:b/>
          <w:color w:val="auto"/>
          <w:sz w:val="44"/>
          <w:szCs w:val="44"/>
          <w:highlight w:val="none"/>
          <w:lang w:eastAsia="zh-CN"/>
        </w:rPr>
      </w:pPr>
      <w:r>
        <w:rPr>
          <w:rFonts w:hint="eastAsia"/>
          <w:b/>
          <w:color w:val="auto"/>
          <w:sz w:val="44"/>
          <w:szCs w:val="44"/>
          <w:highlight w:val="none"/>
          <w:lang w:eastAsia="zh-CN"/>
        </w:rPr>
        <w:t>无锡市振华开祥科技有限公司</w:t>
      </w:r>
    </w:p>
    <w:p>
      <w:pPr>
        <w:spacing w:line="360" w:lineRule="auto"/>
        <w:jc w:val="center"/>
        <w:rPr>
          <w:b/>
          <w:color w:val="auto"/>
          <w:sz w:val="44"/>
          <w:szCs w:val="44"/>
          <w:highlight w:val="none"/>
        </w:rPr>
      </w:pPr>
      <w:r>
        <w:rPr>
          <w:b/>
          <w:color w:val="auto"/>
          <w:sz w:val="44"/>
          <w:szCs w:val="44"/>
          <w:highlight w:val="none"/>
        </w:rPr>
        <w:t>突发环境事件应急预案</w:t>
      </w:r>
    </w:p>
    <w:p>
      <w:pPr>
        <w:spacing w:line="400" w:lineRule="exact"/>
        <w:jc w:val="center"/>
        <w:rPr>
          <w:b/>
          <w:color w:val="auto"/>
          <w:sz w:val="28"/>
          <w:szCs w:val="28"/>
          <w:highlight w:val="none"/>
        </w:rPr>
      </w:pPr>
    </w:p>
    <w:p>
      <w:pPr>
        <w:spacing w:line="400" w:lineRule="exact"/>
        <w:jc w:val="center"/>
        <w:rPr>
          <w:b/>
          <w:color w:val="auto"/>
          <w:sz w:val="28"/>
          <w:szCs w:val="28"/>
          <w:highlight w:val="none"/>
        </w:rPr>
      </w:pPr>
    </w:p>
    <w:p>
      <w:pPr>
        <w:pStyle w:val="19"/>
        <w:ind w:left="480" w:firstLine="562"/>
        <w:rPr>
          <w:b/>
          <w:color w:val="auto"/>
          <w:sz w:val="28"/>
          <w:szCs w:val="28"/>
          <w:highlight w:val="none"/>
        </w:rPr>
      </w:pPr>
    </w:p>
    <w:p>
      <w:pPr>
        <w:pStyle w:val="18"/>
        <w:ind w:firstLine="281"/>
        <w:rPr>
          <w:rFonts w:ascii="Times New Roman" w:hAnsi="Times New Roman"/>
          <w:b/>
          <w:color w:val="auto"/>
          <w:sz w:val="28"/>
          <w:szCs w:val="28"/>
          <w:highlight w:val="none"/>
        </w:rPr>
      </w:pPr>
    </w:p>
    <w:p>
      <w:pPr>
        <w:rPr>
          <w:b/>
          <w:color w:val="auto"/>
          <w:sz w:val="28"/>
          <w:szCs w:val="28"/>
          <w:highlight w:val="none"/>
        </w:rPr>
      </w:pPr>
    </w:p>
    <w:p>
      <w:pPr>
        <w:pStyle w:val="19"/>
        <w:ind w:left="480" w:firstLine="562"/>
        <w:rPr>
          <w:b/>
          <w:color w:val="auto"/>
          <w:sz w:val="28"/>
          <w:szCs w:val="28"/>
          <w:highlight w:val="none"/>
        </w:rPr>
      </w:pPr>
    </w:p>
    <w:p>
      <w:pPr>
        <w:pStyle w:val="18"/>
        <w:ind w:firstLine="281"/>
        <w:rPr>
          <w:rFonts w:ascii="Times New Roman" w:hAnsi="Times New Roman"/>
          <w:b/>
          <w:color w:val="auto"/>
          <w:sz w:val="28"/>
          <w:szCs w:val="28"/>
          <w:highlight w:val="none"/>
        </w:rPr>
      </w:pPr>
    </w:p>
    <w:p>
      <w:pPr>
        <w:rPr>
          <w:b/>
          <w:color w:val="auto"/>
          <w:sz w:val="28"/>
          <w:szCs w:val="28"/>
          <w:highlight w:val="none"/>
        </w:rPr>
      </w:pPr>
    </w:p>
    <w:p>
      <w:pPr>
        <w:pStyle w:val="18"/>
        <w:ind w:firstLine="281"/>
        <w:rPr>
          <w:rFonts w:ascii="Times New Roman" w:hAnsi="Times New Roman"/>
          <w:b/>
          <w:color w:val="auto"/>
          <w:sz w:val="28"/>
          <w:szCs w:val="28"/>
          <w:highlight w:val="none"/>
        </w:rPr>
      </w:pPr>
    </w:p>
    <w:p>
      <w:pPr>
        <w:rPr>
          <w:color w:val="auto"/>
          <w:highlight w:val="none"/>
        </w:rPr>
      </w:pPr>
    </w:p>
    <w:p>
      <w:pPr>
        <w:spacing w:line="400" w:lineRule="exact"/>
        <w:jc w:val="center"/>
        <w:rPr>
          <w:b/>
          <w:color w:val="auto"/>
          <w:sz w:val="28"/>
          <w:szCs w:val="28"/>
          <w:highlight w:val="none"/>
        </w:rPr>
      </w:pPr>
    </w:p>
    <w:p>
      <w:pPr>
        <w:spacing w:line="400" w:lineRule="exact"/>
        <w:jc w:val="center"/>
        <w:rPr>
          <w:b/>
          <w:color w:val="auto"/>
          <w:sz w:val="28"/>
          <w:szCs w:val="28"/>
          <w:highlight w:val="none"/>
        </w:rPr>
      </w:pPr>
    </w:p>
    <w:p>
      <w:pPr>
        <w:spacing w:line="400" w:lineRule="exact"/>
        <w:jc w:val="center"/>
        <w:rPr>
          <w:b/>
          <w:color w:val="auto"/>
          <w:sz w:val="28"/>
          <w:szCs w:val="28"/>
          <w:highlight w:val="none"/>
        </w:rPr>
      </w:pPr>
    </w:p>
    <w:p>
      <w:pPr>
        <w:adjustRightInd w:val="0"/>
        <w:snapToGrid w:val="0"/>
        <w:jc w:val="center"/>
        <w:rPr>
          <w:color w:val="auto"/>
          <w:highlight w:val="none"/>
        </w:rPr>
      </w:pPr>
      <w:r>
        <w:rPr>
          <w:b/>
          <w:color w:val="auto"/>
          <w:sz w:val="32"/>
          <w:szCs w:val="32"/>
          <w:highlight w:val="none"/>
        </w:rPr>
        <w:t>编制单位：无锡新视野环保有限公司</w:t>
      </w:r>
    </w:p>
    <w:p>
      <w:pPr>
        <w:adjustRightInd w:val="0"/>
        <w:snapToGrid w:val="0"/>
        <w:jc w:val="center"/>
        <w:rPr>
          <w:rFonts w:hint="eastAsia" w:eastAsia="宋体"/>
          <w:b/>
          <w:color w:val="auto"/>
          <w:sz w:val="32"/>
          <w:szCs w:val="32"/>
          <w:highlight w:val="none"/>
          <w:lang w:eastAsia="zh-CN"/>
        </w:rPr>
      </w:pPr>
      <w:r>
        <w:rPr>
          <w:b/>
          <w:color w:val="auto"/>
          <w:sz w:val="32"/>
          <w:szCs w:val="32"/>
          <w:highlight w:val="none"/>
        </w:rPr>
        <w:t>联系人：</w:t>
      </w:r>
      <w:r>
        <w:rPr>
          <w:rFonts w:hint="eastAsia"/>
          <w:b/>
          <w:color w:val="auto"/>
          <w:sz w:val="32"/>
          <w:szCs w:val="32"/>
          <w:highlight w:val="none"/>
          <w:lang w:eastAsia="zh-CN"/>
        </w:rPr>
        <w:t>刘振玲</w:t>
      </w:r>
    </w:p>
    <w:p>
      <w:pPr>
        <w:pStyle w:val="19"/>
        <w:spacing w:after="0"/>
        <w:ind w:left="0" w:leftChars="0" w:firstLine="0" w:firstLineChars="0"/>
        <w:jc w:val="center"/>
        <w:rPr>
          <w:rFonts w:hint="default" w:eastAsia="宋体"/>
          <w:color w:val="auto"/>
          <w:highlight w:val="none"/>
          <w:lang w:val="en-US" w:eastAsia="zh-CN"/>
        </w:rPr>
      </w:pPr>
      <w:r>
        <w:rPr>
          <w:b/>
          <w:color w:val="auto"/>
          <w:sz w:val="32"/>
          <w:szCs w:val="32"/>
          <w:highlight w:val="none"/>
        </w:rPr>
        <w:t>联系电话：</w:t>
      </w:r>
      <w:r>
        <w:rPr>
          <w:rFonts w:hint="eastAsia"/>
          <w:b/>
          <w:color w:val="auto"/>
          <w:sz w:val="32"/>
          <w:szCs w:val="32"/>
          <w:highlight w:val="none"/>
          <w:lang w:val="en-US" w:eastAsia="zh-CN"/>
        </w:rPr>
        <w:t>13961742760</w:t>
      </w:r>
    </w:p>
    <w:p>
      <w:pPr>
        <w:adjustRightInd w:val="0"/>
        <w:snapToGrid w:val="0"/>
        <w:jc w:val="center"/>
        <w:rPr>
          <w:b/>
          <w:color w:val="auto"/>
          <w:sz w:val="32"/>
          <w:szCs w:val="32"/>
          <w:highlight w:val="none"/>
        </w:rPr>
      </w:pPr>
      <w:r>
        <w:rPr>
          <w:b/>
          <w:color w:val="auto"/>
          <w:sz w:val="32"/>
          <w:szCs w:val="32"/>
          <w:highlight w:val="none"/>
        </w:rPr>
        <w:t>日期：二〇二</w:t>
      </w:r>
      <w:r>
        <w:rPr>
          <w:rFonts w:hint="eastAsia"/>
          <w:b/>
          <w:color w:val="auto"/>
          <w:sz w:val="32"/>
          <w:szCs w:val="32"/>
          <w:highlight w:val="none"/>
          <w:lang w:val="en-US" w:eastAsia="zh-CN"/>
        </w:rPr>
        <w:t>三</w:t>
      </w:r>
      <w:r>
        <w:rPr>
          <w:b/>
          <w:color w:val="auto"/>
          <w:sz w:val="32"/>
          <w:szCs w:val="32"/>
          <w:highlight w:val="none"/>
        </w:rPr>
        <w:t>年</w:t>
      </w:r>
      <w:r>
        <w:rPr>
          <w:rFonts w:hint="eastAsia"/>
          <w:b/>
          <w:color w:val="auto"/>
          <w:sz w:val="32"/>
          <w:szCs w:val="32"/>
          <w:highlight w:val="none"/>
          <w:lang w:val="en-US" w:eastAsia="zh-CN"/>
        </w:rPr>
        <w:t>三</w:t>
      </w:r>
      <w:r>
        <w:rPr>
          <w:b/>
          <w:color w:val="auto"/>
          <w:sz w:val="32"/>
          <w:szCs w:val="32"/>
          <w:highlight w:val="none"/>
        </w:rPr>
        <w:t>月</w:t>
      </w:r>
    </w:p>
    <w:p>
      <w:pPr>
        <w:spacing w:line="400" w:lineRule="exact"/>
        <w:rPr>
          <w:b/>
          <w:color w:val="auto"/>
          <w:sz w:val="28"/>
          <w:szCs w:val="28"/>
          <w:highlight w:val="none"/>
        </w:rPr>
      </w:pPr>
    </w:p>
    <w:p>
      <w:pPr>
        <w:adjustRightInd w:val="0"/>
        <w:snapToGrid w:val="0"/>
        <w:spacing w:line="360" w:lineRule="auto"/>
        <w:jc w:val="center"/>
        <w:rPr>
          <w:b/>
          <w:color w:val="auto"/>
          <w:sz w:val="32"/>
          <w:szCs w:val="32"/>
          <w:highlight w:val="none"/>
        </w:rPr>
      </w:pPr>
    </w:p>
    <w:p>
      <w:pPr>
        <w:snapToGrid w:val="0"/>
        <w:spacing w:line="400" w:lineRule="exact"/>
        <w:rPr>
          <w:color w:val="auto"/>
          <w:sz w:val="28"/>
          <w:szCs w:val="28"/>
          <w:highlight w:val="none"/>
        </w:rPr>
      </w:pPr>
    </w:p>
    <w:p>
      <w:pPr>
        <w:spacing w:line="360" w:lineRule="auto"/>
        <w:jc w:val="center"/>
        <w:rPr>
          <w:b/>
          <w:color w:val="auto"/>
          <w:sz w:val="44"/>
          <w:szCs w:val="44"/>
          <w:highlight w:val="none"/>
        </w:rPr>
      </w:pPr>
    </w:p>
    <w:p>
      <w:pPr>
        <w:spacing w:line="360" w:lineRule="auto"/>
        <w:jc w:val="center"/>
        <w:rPr>
          <w:b/>
          <w:color w:val="auto"/>
          <w:sz w:val="44"/>
          <w:szCs w:val="44"/>
          <w:highlight w:val="none"/>
        </w:rPr>
      </w:pPr>
      <w:r>
        <w:rPr>
          <w:b/>
          <w:color w:val="auto"/>
          <w:sz w:val="44"/>
          <w:szCs w:val="44"/>
          <w:highlight w:val="none"/>
        </w:rPr>
        <w:t>批准令</w:t>
      </w:r>
    </w:p>
    <w:p>
      <w:pPr>
        <w:spacing w:line="360" w:lineRule="auto"/>
        <w:ind w:firstLine="640" w:firstLineChars="200"/>
        <w:jc w:val="left"/>
        <w:rPr>
          <w:color w:val="auto"/>
          <w:sz w:val="32"/>
          <w:szCs w:val="32"/>
          <w:highlight w:val="none"/>
        </w:rPr>
      </w:pPr>
    </w:p>
    <w:p>
      <w:pPr>
        <w:spacing w:line="360" w:lineRule="auto"/>
        <w:ind w:firstLine="640" w:firstLineChars="200"/>
        <w:jc w:val="left"/>
        <w:rPr>
          <w:color w:val="auto"/>
          <w:sz w:val="32"/>
          <w:szCs w:val="32"/>
          <w:highlight w:val="none"/>
        </w:rPr>
      </w:pPr>
      <w:r>
        <w:rPr>
          <w:color w:val="auto"/>
          <w:sz w:val="32"/>
          <w:szCs w:val="32"/>
          <w:highlight w:val="none"/>
        </w:rPr>
        <w:t>经研究决定，该突发环境事件应急预案自即日起执行，望全体职工认真执行。</w:t>
      </w:r>
    </w:p>
    <w:p>
      <w:pPr>
        <w:spacing w:line="360" w:lineRule="auto"/>
        <w:ind w:firstLine="640" w:firstLineChars="200"/>
        <w:jc w:val="left"/>
        <w:rPr>
          <w:color w:val="auto"/>
          <w:sz w:val="32"/>
          <w:szCs w:val="32"/>
          <w:highlight w:val="none"/>
        </w:rPr>
      </w:pPr>
    </w:p>
    <w:p>
      <w:pPr>
        <w:spacing w:line="360" w:lineRule="auto"/>
        <w:ind w:firstLine="640" w:firstLineChars="200"/>
        <w:jc w:val="left"/>
        <w:rPr>
          <w:color w:val="auto"/>
          <w:sz w:val="32"/>
          <w:szCs w:val="32"/>
          <w:highlight w:val="none"/>
        </w:rPr>
      </w:pPr>
    </w:p>
    <w:p>
      <w:pPr>
        <w:spacing w:line="360" w:lineRule="auto"/>
        <w:ind w:firstLine="640" w:firstLineChars="200"/>
        <w:jc w:val="left"/>
        <w:rPr>
          <w:color w:val="auto"/>
          <w:sz w:val="32"/>
          <w:szCs w:val="32"/>
          <w:highlight w:val="none"/>
        </w:rPr>
      </w:pPr>
    </w:p>
    <w:p>
      <w:pPr>
        <w:spacing w:line="360" w:lineRule="auto"/>
        <w:ind w:firstLine="640" w:firstLineChars="200"/>
        <w:jc w:val="left"/>
        <w:rPr>
          <w:color w:val="auto"/>
          <w:sz w:val="32"/>
          <w:szCs w:val="32"/>
          <w:highlight w:val="none"/>
        </w:rPr>
      </w:pPr>
    </w:p>
    <w:p>
      <w:pPr>
        <w:spacing w:line="360" w:lineRule="auto"/>
        <w:ind w:firstLine="640" w:firstLineChars="200"/>
        <w:jc w:val="left"/>
        <w:rPr>
          <w:color w:val="auto"/>
          <w:sz w:val="32"/>
          <w:szCs w:val="32"/>
          <w:highlight w:val="none"/>
        </w:rPr>
      </w:pPr>
    </w:p>
    <w:p>
      <w:pPr>
        <w:spacing w:line="360" w:lineRule="auto"/>
        <w:ind w:firstLine="640" w:firstLineChars="200"/>
        <w:jc w:val="left"/>
        <w:rPr>
          <w:color w:val="auto"/>
          <w:sz w:val="32"/>
          <w:szCs w:val="32"/>
          <w:highlight w:val="none"/>
        </w:rPr>
      </w:pPr>
    </w:p>
    <w:p>
      <w:pPr>
        <w:spacing w:line="360" w:lineRule="auto"/>
        <w:ind w:right="480"/>
        <w:rPr>
          <w:color w:val="auto"/>
          <w:sz w:val="32"/>
          <w:szCs w:val="32"/>
          <w:highlight w:val="none"/>
        </w:rPr>
      </w:pPr>
    </w:p>
    <w:p>
      <w:pPr>
        <w:pStyle w:val="2"/>
        <w:rPr>
          <w:rFonts w:ascii="Times New Roman" w:hAnsi="Times New Roman"/>
          <w:color w:val="auto"/>
          <w:sz w:val="32"/>
          <w:szCs w:val="32"/>
          <w:highlight w:val="none"/>
        </w:rPr>
      </w:pPr>
    </w:p>
    <w:p>
      <w:pPr>
        <w:pStyle w:val="2"/>
        <w:rPr>
          <w:rFonts w:ascii="Times New Roman" w:hAnsi="Times New Roman"/>
          <w:color w:val="auto"/>
          <w:sz w:val="32"/>
          <w:szCs w:val="32"/>
          <w:highlight w:val="none"/>
        </w:rPr>
      </w:pPr>
    </w:p>
    <w:p>
      <w:pPr>
        <w:adjustRightInd w:val="0"/>
        <w:snapToGrid w:val="0"/>
        <w:spacing w:line="360" w:lineRule="auto"/>
        <w:ind w:firstLine="320" w:firstLineChars="100"/>
        <w:jc w:val="right"/>
        <w:rPr>
          <w:rFonts w:hint="eastAsia" w:eastAsia="宋体"/>
          <w:color w:val="auto"/>
          <w:sz w:val="32"/>
          <w:szCs w:val="32"/>
          <w:highlight w:val="none"/>
          <w:lang w:eastAsia="zh-CN"/>
        </w:rPr>
      </w:pPr>
      <w:r>
        <w:rPr>
          <w:rFonts w:hint="eastAsia"/>
          <w:color w:val="auto"/>
          <w:sz w:val="32"/>
          <w:szCs w:val="32"/>
          <w:highlight w:val="none"/>
          <w:lang w:eastAsia="zh-CN"/>
        </w:rPr>
        <w:t>无锡市振华开祥科技有限公司</w:t>
      </w:r>
    </w:p>
    <w:p>
      <w:pPr>
        <w:adjustRightInd w:val="0"/>
        <w:snapToGrid w:val="0"/>
        <w:spacing w:line="360" w:lineRule="auto"/>
        <w:ind w:right="641" w:firstLine="5120" w:firstLineChars="1600"/>
        <w:rPr>
          <w:color w:val="auto"/>
          <w:sz w:val="32"/>
          <w:szCs w:val="32"/>
          <w:highlight w:val="none"/>
        </w:rPr>
      </w:pPr>
      <w:r>
        <w:rPr>
          <w:color w:val="auto"/>
          <w:sz w:val="32"/>
          <w:szCs w:val="32"/>
          <w:highlight w:val="none"/>
        </w:rPr>
        <w:t>签发人：</w:t>
      </w:r>
    </w:p>
    <w:p>
      <w:pPr>
        <w:adjustRightInd w:val="0"/>
        <w:snapToGrid w:val="0"/>
        <w:spacing w:line="360" w:lineRule="auto"/>
        <w:ind w:right="-48" w:rightChars="0" w:firstLine="5120" w:firstLineChars="1600"/>
        <w:rPr>
          <w:color w:val="auto"/>
          <w:sz w:val="32"/>
          <w:szCs w:val="32"/>
          <w:highlight w:val="none"/>
        </w:rPr>
      </w:pPr>
      <w:r>
        <w:rPr>
          <w:color w:val="auto"/>
          <w:sz w:val="32"/>
          <w:szCs w:val="32"/>
          <w:highlight w:val="none"/>
        </w:rPr>
        <w:t>日  期：  年  月</w:t>
      </w:r>
      <w:r>
        <w:rPr>
          <w:rFonts w:hint="eastAsia"/>
          <w:color w:val="auto"/>
          <w:sz w:val="32"/>
          <w:szCs w:val="32"/>
          <w:highlight w:val="none"/>
          <w:lang w:val="en-US" w:eastAsia="zh-CN"/>
        </w:rPr>
        <w:t xml:space="preserve">  </w:t>
      </w:r>
      <w:r>
        <w:rPr>
          <w:color w:val="auto"/>
          <w:sz w:val="32"/>
          <w:szCs w:val="32"/>
          <w:highlight w:val="none"/>
        </w:rPr>
        <w:t>日</w:t>
      </w:r>
    </w:p>
    <w:p>
      <w:pPr>
        <w:rPr>
          <w:color w:val="auto"/>
          <w:highlight w:val="none"/>
        </w:rPr>
      </w:pPr>
    </w:p>
    <w:p>
      <w:pPr>
        <w:jc w:val="center"/>
        <w:rPr>
          <w:b/>
          <w:bCs/>
          <w:color w:val="auto"/>
          <w:kern w:val="0"/>
          <w:sz w:val="32"/>
          <w:szCs w:val="32"/>
          <w:highlight w:val="none"/>
        </w:rPr>
      </w:pPr>
    </w:p>
    <w:p>
      <w:pPr>
        <w:snapToGrid w:val="0"/>
        <w:spacing w:line="400" w:lineRule="exact"/>
        <w:jc w:val="center"/>
        <w:rPr>
          <w:b/>
          <w:color w:val="auto"/>
          <w:sz w:val="28"/>
          <w:szCs w:val="28"/>
          <w:highlight w:val="none"/>
        </w:rPr>
        <w:sectPr>
          <w:footerReference r:id="rId3" w:type="default"/>
          <w:pgSz w:w="11906" w:h="16838"/>
          <w:pgMar w:top="1440" w:right="1417" w:bottom="1440" w:left="1417" w:header="851" w:footer="992" w:gutter="0"/>
          <w:pgBorders>
            <w:top w:val="none" w:sz="0" w:space="0"/>
            <w:left w:val="none" w:sz="0" w:space="0"/>
            <w:bottom w:val="none" w:sz="0" w:space="0"/>
            <w:right w:val="none" w:sz="0" w:space="0"/>
          </w:pgBorders>
          <w:cols w:space="720" w:num="1"/>
          <w:docGrid w:type="lines" w:linePitch="312" w:charSpace="0"/>
        </w:sectPr>
      </w:pPr>
    </w:p>
    <w:p>
      <w:pPr>
        <w:snapToGrid w:val="0"/>
        <w:jc w:val="center"/>
        <w:rPr>
          <w:b/>
          <w:color w:val="auto"/>
          <w:sz w:val="44"/>
          <w:szCs w:val="44"/>
          <w:highlight w:val="none"/>
        </w:rPr>
      </w:pPr>
      <w:r>
        <w:rPr>
          <w:b/>
          <w:color w:val="auto"/>
          <w:sz w:val="44"/>
          <w:szCs w:val="44"/>
          <w:highlight w:val="none"/>
        </w:rPr>
        <w:t>目  录</w:t>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TOC \o "1-2" \h \z \u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_Toc23367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第一部分  综合应急预案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_Toc23367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_Toc30057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 总则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_Toc30057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_Toc10371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 编制目的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_Toc10371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_Toc14117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 编制依据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_Toc14117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_Toc20001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 适用范围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_Toc20001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_Toc20596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1.4 预案体系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_Toc20596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 工作原则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_Toc983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_Toc18951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2 组织机构及职责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_Toc18951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_Toc26654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 组织体系</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_Toc26654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_Toc18134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2.2 指挥机构组成及职责</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_Toc18134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_Toc7907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 应急救援指挥部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_Toc7907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_Toc7308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2.4应急救援小组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_Toc7308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_Toc10965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 监控预警</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_Toc10965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_Toc24604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 监控</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_Toc24604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_Toc32275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 预警</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_Toc32275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_Toc5288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 信息报告</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_Toc5288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_Toc18506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4.1 信息报告程序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_Toc18506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_Toc13727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4.2 信息报告内容及方式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_Toc13727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_Toc7984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 环境应急监测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_Toc7984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_Toc18546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5.1</w:t>
      </w:r>
      <w:r>
        <w:rPr>
          <w:rFonts w:hint="default" w:ascii="Times New Roman" w:hAnsi="Times New Roman" w:eastAsia="宋体" w:cs="Times New Roman"/>
          <w:color w:val="auto"/>
          <w:sz w:val="24"/>
          <w:szCs w:val="24"/>
          <w:highlight w:val="none"/>
        </w:rPr>
        <w:t xml:space="preserve"> 应急监测启动及工作原则</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_Toc18546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_Toc26741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lang w:val="en-US" w:eastAsia="zh-CN"/>
        </w:rPr>
        <w:t>5.2 水环境监测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_Toc26741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_Toc3074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w:t>
      </w:r>
      <w:r>
        <w:rPr>
          <w:rFonts w:hint="default"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rPr>
        <w:t xml:space="preserve"> 大气环境监测</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_Toc3074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_Toc20942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 环境应急响应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_Toc20942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_Toc32135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6.1 响应程序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_Toc32135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_Toc6066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 响应分级</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_Toc6066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_Toc29466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6.3 应急启动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_Toc29466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_Toc7512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6.4 应急处置</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_Toc7512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_Toc31406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7 应急终止</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_Toc31406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_Toc23085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7.1 应急终止的条件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_Toc23085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_Toc29210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 应急终止的程序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_Toc29210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_Toc28745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 应急终止后的行动</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_Toc28745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_Toc10312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8 事后恢复</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_Toc10312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_Toc6998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 善后处理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_Toc6998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_Toc6400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8.2 保险理赔</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_Toc6400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_Toc25525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 保障措施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_Toc25525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_Toc8170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 经费保障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_Toc8170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_Toc8184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9.2 制度保障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_Toc8184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_Toc9404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 应急物资装备保障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_Toc9404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_Toc24283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9.4 应急队伍保障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_Toc24283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_Toc4521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9.5 通信与信息保障</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_Toc4521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_Toc26219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10 预案管理</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_Toc26219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_Toc11924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10.1 应急培训</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_Toc11924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_Toc6395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10.2 演练</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_Toc6395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_Toc3733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10.3 预案的修订</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_Toc3733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_Toc22284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10.4 预案的实施和生效时间</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_Toc22284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_Toc27335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第二部分 专项应急预案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_Toc27335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_Toc28007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 泄漏事故专项应急预案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_Toc28007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_Toc23683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1.1总体要求</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_Toc23683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_Toc22762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1.2 突发环境事件特征</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_Toc22762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72</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_Toc14960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1.3 应急组织机构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_Toc14960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_Toc13787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1.4 应急处置程序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_Toc13787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_Toc14096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1.5 应急处置措施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_Toc14096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_Toc7874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 火灾事故专项应急预案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_Toc7874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_Toc7953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2.1总体要求</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_Toc7953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_Toc8674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2.2 突发环境事件特征</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_Toc8674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_Toc16430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2.3 应急组织机构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_Toc16430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77</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_Toc2818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2.4 应急处置程序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_Toc2818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_Toc11153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2.5 应急处置措施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_Toc11153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79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_Toc12337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 危废仓库专项应急预案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_Toc12337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_Toc29465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3.1 总体要求</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_Toc29465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_Toc27896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3.2 突发环境事件特征</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_Toc27896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_Toc22727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3.3 应急组织机构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_Toc22727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_Toc25990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3.4 应急处置程序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_Toc25990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84</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5"/>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_Toc31094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3.5 应急处置措施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_Toc31094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86</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_Toc20234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第三部分 现场处置方案</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_Toc20234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_Toc6743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1 总体要求</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_Toc6743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_Toc5059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2 环境风险单元特征</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_Toc5059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88</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_Toc5937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3 应急组织机构</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_Toc5937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89</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_Toc30913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4 应急处置程序</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_Toc30913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90</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_Toc8117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5 应急处置措施</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_Toc8117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91</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_Toc23140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6 应急处置卡</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_Toc23140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93</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_Toc9318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第四部分  附件、附图</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_Toc9318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_Toc32285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1 附件</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_Toc32285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pStyle w:val="14"/>
        <w:tabs>
          <w:tab w:val="right" w:leader="dot" w:pos="9072"/>
        </w:tabs>
        <w:spacing w:line="360" w:lineRule="auto"/>
        <w:rPr>
          <w:rFonts w:hint="default" w:ascii="Times New Roman" w:hAnsi="Times New Roman" w:eastAsia="宋体" w:cs="Times New Roman"/>
          <w:color w:val="auto"/>
          <w:sz w:val="24"/>
          <w:szCs w:val="24"/>
          <w:highlight w:val="none"/>
        </w:rPr>
        <w:sectPr>
          <w:footerReference r:id="rId4"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_Toc6128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kern w:val="0"/>
          <w:sz w:val="24"/>
          <w:szCs w:val="24"/>
          <w:highlight w:val="none"/>
        </w:rPr>
        <w:t>2 附图</w:t>
      </w:r>
      <w:r>
        <w:rPr>
          <w:rFonts w:hint="default" w:ascii="Times New Roman" w:hAnsi="Times New Roman" w:eastAsia="宋体" w:cs="Times New Roman"/>
          <w:color w:val="auto"/>
          <w:sz w:val="24"/>
          <w:szCs w:val="24"/>
          <w:highlight w:val="none"/>
        </w:rPr>
        <w:tab/>
      </w: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PAGEREF _Toc6128 \h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95</w:t>
      </w:r>
      <w:r>
        <w:rPr>
          <w:rFonts w:hint="default" w:ascii="Times New Roman" w:hAnsi="Times New Roman" w:eastAsia="宋体" w:cs="Times New Roman"/>
          <w:color w:val="auto"/>
          <w:sz w:val="24"/>
          <w:szCs w:val="24"/>
          <w:highlight w:val="none"/>
        </w:rPr>
        <w:fldChar w:fldCharType="end"/>
      </w:r>
      <w:r>
        <w:rPr>
          <w:rFonts w:hint="default" w:ascii="Times New Roman" w:hAnsi="Times New Roman" w:eastAsia="宋体" w:cs="Times New Roman"/>
          <w:color w:val="auto"/>
          <w:sz w:val="24"/>
          <w:szCs w:val="24"/>
          <w:highlight w:val="none"/>
        </w:rPr>
        <w:fldChar w:fldCharType="end"/>
      </w:r>
    </w:p>
    <w:p>
      <w:pPr>
        <w:rPr>
          <w:rFonts w:hint="default"/>
          <w:color w:val="auto"/>
          <w:highlight w:val="none"/>
        </w:rPr>
      </w:pPr>
    </w:p>
    <w:p>
      <w:pPr>
        <w:snapToGrid w:val="0"/>
        <w:spacing w:line="360" w:lineRule="auto"/>
        <w:ind w:left="-240" w:leftChars="-100" w:right="360" w:rightChars="15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fldChar w:fldCharType="end"/>
      </w:r>
    </w:p>
    <w:p>
      <w:pPr>
        <w:snapToGrid w:val="0"/>
        <w:spacing w:line="360" w:lineRule="auto"/>
        <w:rPr>
          <w:rFonts w:hint="default" w:ascii="Times New Roman" w:hAnsi="Times New Roman" w:eastAsia="宋体" w:cs="Times New Roman"/>
          <w:color w:val="auto"/>
          <w:sz w:val="24"/>
          <w:szCs w:val="24"/>
          <w:highlight w:val="none"/>
        </w:rPr>
        <w:sectPr>
          <w:footerReference r:id="rId5"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4"/>
        <w:spacing w:line="360" w:lineRule="auto"/>
        <w:jc w:val="center"/>
        <w:rPr>
          <w:color w:val="auto"/>
          <w:sz w:val="36"/>
          <w:szCs w:val="48"/>
          <w:highlight w:val="none"/>
        </w:rPr>
      </w:pPr>
      <w:bookmarkStart w:id="0" w:name="_Toc23367"/>
      <w:bookmarkStart w:id="1" w:name="_Toc240876299"/>
      <w:bookmarkStart w:id="2" w:name="_Toc273391629"/>
      <w:bookmarkStart w:id="3" w:name="_Toc240876348"/>
      <w:bookmarkStart w:id="4" w:name="_Toc240876349"/>
      <w:bookmarkStart w:id="5" w:name="_Toc240876207"/>
      <w:bookmarkStart w:id="6" w:name="_Toc28103182"/>
      <w:bookmarkStart w:id="7" w:name="_Toc266547491"/>
      <w:bookmarkStart w:id="8" w:name="_Toc240876298"/>
      <w:bookmarkStart w:id="9" w:name="_Toc240876393"/>
      <w:bookmarkStart w:id="10" w:name="_Toc273391305"/>
      <w:bookmarkStart w:id="11" w:name="_Toc240876392"/>
      <w:r>
        <w:rPr>
          <w:color w:val="auto"/>
          <w:sz w:val="36"/>
          <w:szCs w:val="48"/>
          <w:highlight w:val="none"/>
        </w:rPr>
        <w:t>第一部分  综合应急预案</w:t>
      </w:r>
      <w:bookmarkEnd w:id="0"/>
    </w:p>
    <w:p>
      <w:pPr>
        <w:pStyle w:val="4"/>
        <w:spacing w:line="360" w:lineRule="auto"/>
        <w:rPr>
          <w:color w:val="auto"/>
          <w:highlight w:val="none"/>
        </w:rPr>
      </w:pPr>
      <w:bookmarkStart w:id="12" w:name="_Toc30057"/>
      <w:r>
        <w:rPr>
          <w:color w:val="auto"/>
          <w:highlight w:val="none"/>
        </w:rPr>
        <w:t>1 总则</w:t>
      </w:r>
      <w:bookmarkEnd w:id="1"/>
      <w:bookmarkEnd w:id="2"/>
      <w:bookmarkEnd w:id="3"/>
      <w:bookmarkEnd w:id="4"/>
      <w:bookmarkEnd w:id="5"/>
      <w:bookmarkEnd w:id="6"/>
      <w:bookmarkEnd w:id="7"/>
      <w:bookmarkEnd w:id="8"/>
      <w:bookmarkEnd w:id="9"/>
      <w:bookmarkEnd w:id="10"/>
      <w:bookmarkEnd w:id="11"/>
      <w:bookmarkEnd w:id="12"/>
    </w:p>
    <w:p>
      <w:pPr>
        <w:pStyle w:val="5"/>
        <w:spacing w:line="360" w:lineRule="auto"/>
        <w:rPr>
          <w:color w:val="auto"/>
          <w:highlight w:val="none"/>
        </w:rPr>
      </w:pPr>
      <w:bookmarkStart w:id="13" w:name="_Toc240876300"/>
      <w:bookmarkStart w:id="14" w:name="_Toc273391630"/>
      <w:bookmarkStart w:id="15" w:name="_Toc240876350"/>
      <w:bookmarkStart w:id="16" w:name="_Toc266547492"/>
      <w:bookmarkStart w:id="17" w:name="_Toc10371"/>
      <w:bookmarkStart w:id="18" w:name="_Toc28103183"/>
      <w:bookmarkStart w:id="19" w:name="_Toc273391306"/>
      <w:r>
        <w:rPr>
          <w:color w:val="auto"/>
          <w:highlight w:val="none"/>
        </w:rPr>
        <w:t>1.1 编制目的</w:t>
      </w:r>
      <w:bookmarkEnd w:id="13"/>
      <w:bookmarkEnd w:id="14"/>
      <w:bookmarkEnd w:id="15"/>
      <w:bookmarkEnd w:id="16"/>
      <w:bookmarkEnd w:id="17"/>
      <w:bookmarkEnd w:id="18"/>
      <w:bookmarkEnd w:id="19"/>
    </w:p>
    <w:p>
      <w:pPr>
        <w:adjustRightInd w:val="0"/>
        <w:spacing w:line="360" w:lineRule="auto"/>
        <w:ind w:firstLine="480" w:firstLineChars="200"/>
        <w:rPr>
          <w:color w:val="auto"/>
          <w:szCs w:val="28"/>
          <w:highlight w:val="none"/>
        </w:rPr>
      </w:pPr>
      <w:r>
        <w:rPr>
          <w:rFonts w:hint="eastAsia"/>
          <w:color w:val="auto"/>
          <w:szCs w:val="28"/>
          <w:highlight w:val="none"/>
        </w:rPr>
        <w:t>为了健全企业突发环境事件应急机制，做好应急准备，提高企业应对突发环境事件的能力，确保突发环境事件或由安全生产次生、衍生的各类突发环境事件发生后，企业能及时、有序、高效地组织应急救援工作，防止污染周边环境，将事件造成的损失与社会危害降到最低，保障公众生命健康和财产安全，维护社会稳定，并实现企业与地方政府及其相关部门现场处置工作的顺利过渡和有效衔接，特制定企业应急预案。</w:t>
      </w:r>
    </w:p>
    <w:p>
      <w:pPr>
        <w:adjustRightInd w:val="0"/>
        <w:snapToGrid w:val="0"/>
        <w:spacing w:line="360" w:lineRule="auto"/>
        <w:ind w:firstLine="480" w:firstLineChars="200"/>
        <w:rPr>
          <w:rFonts w:hint="eastAsia"/>
          <w:color w:val="auto"/>
          <w:sz w:val="24"/>
          <w:highlight w:val="none"/>
        </w:rPr>
      </w:pPr>
      <w:r>
        <w:rPr>
          <w:rFonts w:hint="eastAsia" w:ascii="宋体_x0013_.崛钃.." w:hAnsi="宋体_x0013_.崛钃.." w:eastAsia="宋体_x0013_.崛钃.."/>
          <w:color w:val="auto"/>
          <w:sz w:val="24"/>
          <w:szCs w:val="24"/>
          <w:highlight w:val="none"/>
        </w:rPr>
        <w:t>无锡市振华开祥科技有限公司于</w:t>
      </w:r>
      <w:r>
        <w:rPr>
          <w:rFonts w:hint="eastAsia" w:ascii="Times New Roman" w:hAnsi="Times New Roman" w:eastAsia="Times New Roman"/>
          <w:color w:val="auto"/>
          <w:sz w:val="24"/>
          <w:szCs w:val="24"/>
          <w:highlight w:val="none"/>
        </w:rPr>
        <w:t>2014</w:t>
      </w:r>
      <w:r>
        <w:rPr>
          <w:rFonts w:hint="eastAsia" w:ascii="宋体_x0013_.崛钃.." w:hAnsi="宋体_x0013_.崛钃.." w:eastAsia="宋体_x0013_.崛钃.."/>
          <w:color w:val="auto"/>
          <w:sz w:val="24"/>
          <w:szCs w:val="24"/>
          <w:highlight w:val="none"/>
        </w:rPr>
        <w:t>年收购无锡冠裕汽车零部件表面处理有限公司正式成立，</w:t>
      </w:r>
      <w:r>
        <w:rPr>
          <w:rFonts w:hint="eastAsia"/>
          <w:color w:val="auto"/>
          <w:sz w:val="24"/>
          <w:szCs w:val="24"/>
          <w:highlight w:val="none"/>
          <w:lang w:val="en-US" w:eastAsia="zh-CN"/>
        </w:rPr>
        <w:t>公司</w:t>
      </w:r>
      <w:r>
        <w:rPr>
          <w:color w:val="auto"/>
          <w:sz w:val="24"/>
          <w:szCs w:val="24"/>
          <w:highlight w:val="none"/>
          <w:lang w:val="en-US" w:eastAsia="zh-CN"/>
        </w:rPr>
        <w:t>位于无锡惠山经济开发区洛社配套区表面处理工业园</w:t>
      </w:r>
      <w:r>
        <w:rPr>
          <w:rFonts w:hint="eastAsia"/>
          <w:color w:val="auto"/>
          <w:sz w:val="24"/>
          <w:szCs w:val="24"/>
          <w:highlight w:val="none"/>
          <w:lang w:val="en-US" w:eastAsia="zh-CN"/>
        </w:rPr>
        <w:t>，主要从事燃油喷射部件镀铬，属于专业电镀企业。</w:t>
      </w:r>
      <w:r>
        <w:rPr>
          <w:rFonts w:hint="eastAsia" w:ascii="宋体_x0013_.崛钃.." w:hAnsi="宋体_x0013_.崛钃.." w:eastAsia="宋体_x0013_.崛钃.."/>
          <w:color w:val="auto"/>
          <w:sz w:val="24"/>
          <w:szCs w:val="24"/>
          <w:highlight w:val="none"/>
        </w:rPr>
        <w:t>无锡市振华开祥科技有限公司</w:t>
      </w:r>
      <w:r>
        <w:rPr>
          <w:rFonts w:hint="eastAsia"/>
          <w:color w:val="auto"/>
          <w:sz w:val="24"/>
          <w:highlight w:val="none"/>
        </w:rPr>
        <w:t>突发环境事件应急预案于2020年</w:t>
      </w:r>
      <w:r>
        <w:rPr>
          <w:rFonts w:hint="eastAsia"/>
          <w:color w:val="auto"/>
          <w:sz w:val="24"/>
          <w:highlight w:val="none"/>
          <w:lang w:val="en-US" w:eastAsia="zh-CN"/>
        </w:rPr>
        <w:t>3</w:t>
      </w:r>
      <w:r>
        <w:rPr>
          <w:rFonts w:hint="eastAsia"/>
          <w:color w:val="auto"/>
          <w:sz w:val="24"/>
          <w:highlight w:val="none"/>
        </w:rPr>
        <w:t>月</w:t>
      </w:r>
      <w:r>
        <w:rPr>
          <w:rFonts w:hint="eastAsia"/>
          <w:color w:val="auto"/>
          <w:sz w:val="24"/>
          <w:highlight w:val="none"/>
          <w:lang w:val="en-US" w:eastAsia="zh-CN"/>
        </w:rPr>
        <w:t>18</w:t>
      </w:r>
      <w:r>
        <w:rPr>
          <w:rFonts w:hint="eastAsia"/>
          <w:color w:val="auto"/>
          <w:sz w:val="24"/>
          <w:highlight w:val="none"/>
        </w:rPr>
        <w:t>日通过</w:t>
      </w:r>
      <w:r>
        <w:rPr>
          <w:rFonts w:hint="eastAsia"/>
          <w:color w:val="auto"/>
          <w:sz w:val="24"/>
          <w:highlight w:val="none"/>
          <w:lang w:val="en-US" w:eastAsia="zh-CN"/>
        </w:rPr>
        <w:t>无锡市惠山区环境监察大队</w:t>
      </w:r>
      <w:r>
        <w:rPr>
          <w:rFonts w:hint="eastAsia"/>
          <w:color w:val="auto"/>
          <w:sz w:val="24"/>
          <w:highlight w:val="none"/>
        </w:rPr>
        <w:t>备案，</w:t>
      </w:r>
      <w:r>
        <w:rPr>
          <w:color w:val="auto"/>
          <w:sz w:val="24"/>
          <w:highlight w:val="none"/>
        </w:rPr>
        <w:t>风险等级</w:t>
      </w:r>
      <w:r>
        <w:rPr>
          <w:rFonts w:hint="eastAsia"/>
          <w:color w:val="auto"/>
          <w:sz w:val="24"/>
          <w:highlight w:val="none"/>
        </w:rPr>
        <w:t>表示为“</w:t>
      </w:r>
      <w:r>
        <w:rPr>
          <w:rFonts w:hint="eastAsia"/>
          <w:color w:val="auto"/>
          <w:sz w:val="24"/>
          <w:highlight w:val="none"/>
          <w:lang w:val="en-US" w:eastAsia="zh-CN"/>
        </w:rPr>
        <w:t>一般</w:t>
      </w:r>
      <w:r>
        <w:rPr>
          <w:rFonts w:hint="eastAsia"/>
          <w:color w:val="auto"/>
          <w:sz w:val="24"/>
          <w:highlight w:val="none"/>
        </w:rPr>
        <w:t>【</w:t>
      </w:r>
      <w:r>
        <w:rPr>
          <w:rFonts w:hint="eastAsia"/>
          <w:color w:val="auto"/>
          <w:sz w:val="24"/>
          <w:highlight w:val="none"/>
          <w:lang w:val="en-US" w:eastAsia="zh-CN"/>
        </w:rPr>
        <w:t>一般</w:t>
      </w:r>
      <w:r>
        <w:rPr>
          <w:rFonts w:hint="eastAsia"/>
          <w:color w:val="auto"/>
          <w:sz w:val="24"/>
          <w:highlight w:val="none"/>
        </w:rPr>
        <w:t>-大气（Q</w:t>
      </w:r>
      <w:r>
        <w:rPr>
          <w:rFonts w:hint="eastAsia"/>
          <w:color w:val="auto"/>
          <w:sz w:val="24"/>
          <w:highlight w:val="none"/>
          <w:lang w:val="en-US" w:eastAsia="zh-CN"/>
        </w:rPr>
        <w:t>0</w:t>
      </w:r>
      <w:r>
        <w:rPr>
          <w:rFonts w:hint="eastAsia"/>
          <w:color w:val="auto"/>
          <w:sz w:val="24"/>
          <w:highlight w:val="none"/>
        </w:rPr>
        <w:t>）+</w:t>
      </w:r>
      <w:r>
        <w:rPr>
          <w:rFonts w:hint="eastAsia"/>
          <w:color w:val="auto"/>
          <w:sz w:val="24"/>
          <w:highlight w:val="none"/>
          <w:lang w:val="en-US" w:eastAsia="zh-CN"/>
        </w:rPr>
        <w:t>一般</w:t>
      </w:r>
      <w:r>
        <w:rPr>
          <w:rFonts w:hint="eastAsia"/>
          <w:color w:val="auto"/>
          <w:sz w:val="24"/>
          <w:highlight w:val="none"/>
        </w:rPr>
        <w:t>-水（Q</w:t>
      </w:r>
      <w:r>
        <w:rPr>
          <w:rFonts w:hint="eastAsia"/>
          <w:color w:val="auto"/>
          <w:sz w:val="24"/>
          <w:highlight w:val="none"/>
          <w:lang w:val="en-US" w:eastAsia="zh-CN"/>
        </w:rPr>
        <w:t>0</w:t>
      </w:r>
      <w:r>
        <w:rPr>
          <w:rFonts w:hint="eastAsia"/>
          <w:color w:val="auto"/>
          <w:sz w:val="24"/>
          <w:highlight w:val="none"/>
        </w:rPr>
        <w:t>）】”。</w:t>
      </w:r>
    </w:p>
    <w:p>
      <w:pPr>
        <w:adjustRightInd w:val="0"/>
        <w:snapToGrid w:val="0"/>
        <w:spacing w:line="360" w:lineRule="auto"/>
        <w:ind w:firstLine="480" w:firstLineChars="200"/>
        <w:rPr>
          <w:rFonts w:hint="eastAsia"/>
          <w:color w:val="auto"/>
          <w:sz w:val="24"/>
          <w:highlight w:val="none"/>
        </w:rPr>
      </w:pPr>
      <w:r>
        <w:rPr>
          <w:rFonts w:hint="eastAsia" w:ascii="宋体_x0013_.崛钃.." w:hAnsi="宋体_x0013_.崛钃.." w:eastAsia="宋体_x0013_.崛钃.." w:cs="Times New Roman"/>
          <w:color w:val="auto"/>
          <w:sz w:val="24"/>
          <w:szCs w:val="24"/>
          <w:highlight w:val="none"/>
        </w:rPr>
        <w:t>根据《企业事业单位突发环境事件应急预案备案管理办法（试行）》（环发[2015]4号），要求企业结合环境应急预案实施情况，至少每三年对环境应急预案进行一次修订。自2020年备案后，公司应急管理组织指挥体系与职责、应急资源发生了变化。根据《企业突发环境事件风险评估指南（试行）》等文件规定，划定环境风险等级已满三年的应当修订本企业的突发环境事件应急预案</w:t>
      </w:r>
      <w:r>
        <w:rPr>
          <w:rFonts w:hint="eastAsia"/>
          <w:color w:val="auto"/>
          <w:sz w:val="24"/>
          <w:highlight w:val="none"/>
        </w:rPr>
        <w:t>报告。因此，公司结合实际生产情况，对突发环境事件应急预案进行修订。</w:t>
      </w:r>
    </w:p>
    <w:p>
      <w:pPr>
        <w:adjustRightInd w:val="0"/>
        <w:snapToGrid w:val="0"/>
        <w:spacing w:line="360" w:lineRule="auto"/>
        <w:ind w:firstLine="480" w:firstLineChars="200"/>
        <w:rPr>
          <w:rFonts w:hint="eastAsia"/>
          <w:color w:val="auto"/>
          <w:kern w:val="0"/>
          <w:highlight w:val="none"/>
        </w:rPr>
        <w:sectPr>
          <w:footerReference r:id="rId6" w:type="default"/>
          <w:pgSz w:w="11906" w:h="16838"/>
          <w:pgMar w:top="1440" w:right="1417" w:bottom="1440" w:left="1417" w:header="851" w:footer="992" w:gutter="0"/>
          <w:pgBorders>
            <w:top w:val="none" w:sz="0" w:space="0"/>
            <w:left w:val="none" w:sz="0" w:space="0"/>
            <w:bottom w:val="none" w:sz="0" w:space="0"/>
            <w:right w:val="none" w:sz="0" w:space="0"/>
          </w:pgBorders>
          <w:pgNumType w:fmt="decimal" w:start="1"/>
          <w:cols w:space="720" w:num="1"/>
          <w:docGrid w:type="linesAndChars" w:linePitch="326" w:charSpace="0"/>
        </w:sectPr>
      </w:pPr>
      <w:r>
        <w:rPr>
          <w:rFonts w:hint="eastAsia"/>
          <w:color w:val="auto"/>
          <w:kern w:val="0"/>
          <w:highlight w:val="none"/>
        </w:rPr>
        <w:t>因此，为进一步规范公司对突发环境事件应急管理，正确应对和有序处理、处置突发环境事件，提高公司的应急处置能力，控制和减轻突发环境所造成的危害，特修订本预案。本预案作为公司环保管理体系中的重要组成部分，通过对突发环境事件作出有序响应，及时组织有效救援，可最大限度减少事件造成的损失，是事故预防、救援、处置的行动指南。</w:t>
      </w:r>
    </w:p>
    <w:p>
      <w:pPr>
        <w:pStyle w:val="5"/>
        <w:rPr>
          <w:color w:val="auto"/>
          <w:highlight w:val="none"/>
        </w:rPr>
      </w:pPr>
      <w:bookmarkStart w:id="20" w:name="_Toc273391308"/>
      <w:bookmarkStart w:id="21" w:name="_Toc28103184"/>
      <w:bookmarkStart w:id="22" w:name="_Toc273391632"/>
      <w:bookmarkStart w:id="23" w:name="_Toc14117"/>
      <w:r>
        <w:rPr>
          <w:color w:val="auto"/>
          <w:highlight w:val="none"/>
        </w:rPr>
        <w:t>1.2 编制依据</w:t>
      </w:r>
      <w:bookmarkEnd w:id="20"/>
      <w:bookmarkEnd w:id="21"/>
      <w:bookmarkEnd w:id="22"/>
      <w:bookmarkEnd w:id="23"/>
    </w:p>
    <w:p>
      <w:pPr>
        <w:pStyle w:val="6"/>
        <w:rPr>
          <w:color w:val="auto"/>
          <w:highlight w:val="none"/>
        </w:rPr>
      </w:pPr>
      <w:bookmarkStart w:id="24" w:name="_Toc28103185"/>
      <w:r>
        <w:rPr>
          <w:color w:val="auto"/>
          <w:highlight w:val="none"/>
        </w:rPr>
        <w:t>1.2.1 国家法律法规及规范性文件</w:t>
      </w:r>
      <w:bookmarkEnd w:id="24"/>
    </w:p>
    <w:p>
      <w:pPr>
        <w:numPr>
          <w:ilvl w:val="0"/>
          <w:numId w:val="2"/>
        </w:numPr>
        <w:adjustRightInd w:val="0"/>
        <w:spacing w:line="360" w:lineRule="auto"/>
        <w:ind w:left="0" w:firstLine="480" w:firstLineChars="200"/>
        <w:rPr>
          <w:color w:val="auto"/>
          <w:highlight w:val="none"/>
        </w:rPr>
      </w:pPr>
      <w:r>
        <w:rPr>
          <w:color w:val="auto"/>
          <w:highlight w:val="none"/>
        </w:rPr>
        <w:t>《中华人民共和国环境保护法》（中华人民共和国主席令第九号）；</w:t>
      </w:r>
    </w:p>
    <w:p>
      <w:pPr>
        <w:numPr>
          <w:ilvl w:val="0"/>
          <w:numId w:val="2"/>
        </w:numPr>
        <w:adjustRightInd w:val="0"/>
        <w:spacing w:line="360" w:lineRule="auto"/>
        <w:ind w:left="0" w:firstLine="480" w:firstLineChars="200"/>
        <w:rPr>
          <w:color w:val="auto"/>
          <w:highlight w:val="none"/>
        </w:rPr>
      </w:pPr>
      <w:r>
        <w:rPr>
          <w:color w:val="auto"/>
          <w:highlight w:val="none"/>
        </w:rPr>
        <w:t>《中华人民共和国突发事件应对法》（中华人民共和国主席令第六十九号）；</w:t>
      </w:r>
    </w:p>
    <w:p>
      <w:pPr>
        <w:numPr>
          <w:ilvl w:val="0"/>
          <w:numId w:val="2"/>
        </w:numPr>
        <w:adjustRightInd w:val="0"/>
        <w:spacing w:line="360" w:lineRule="auto"/>
        <w:ind w:left="0" w:firstLine="480" w:firstLineChars="200"/>
        <w:rPr>
          <w:color w:val="auto"/>
          <w:highlight w:val="none"/>
        </w:rPr>
      </w:pPr>
      <w:r>
        <w:rPr>
          <w:color w:val="auto"/>
          <w:highlight w:val="none"/>
        </w:rPr>
        <w:t>《中华人民共和国水污染防治法》（2017年修订版）（中华人民共和国主席令第七十号）；</w:t>
      </w:r>
    </w:p>
    <w:p>
      <w:pPr>
        <w:numPr>
          <w:ilvl w:val="0"/>
          <w:numId w:val="2"/>
        </w:numPr>
        <w:adjustRightInd w:val="0"/>
        <w:spacing w:line="360" w:lineRule="auto"/>
        <w:ind w:left="0" w:firstLine="480" w:firstLineChars="200"/>
        <w:rPr>
          <w:color w:val="auto"/>
          <w:highlight w:val="none"/>
        </w:rPr>
      </w:pPr>
      <w:r>
        <w:rPr>
          <w:color w:val="auto"/>
          <w:highlight w:val="none"/>
        </w:rPr>
        <w:t>《中华人民共和国大气污染防治法》（2018年修订版）（中华人民共和国主席令第三十一号）；</w:t>
      </w:r>
    </w:p>
    <w:p>
      <w:pPr>
        <w:numPr>
          <w:ilvl w:val="0"/>
          <w:numId w:val="2"/>
        </w:numPr>
        <w:adjustRightInd w:val="0"/>
        <w:spacing w:line="360" w:lineRule="auto"/>
        <w:ind w:left="0" w:firstLine="480" w:firstLineChars="200"/>
        <w:rPr>
          <w:color w:val="auto"/>
          <w:highlight w:val="none"/>
        </w:rPr>
      </w:pPr>
      <w:r>
        <w:rPr>
          <w:color w:val="auto"/>
          <w:highlight w:val="none"/>
        </w:rPr>
        <w:t>《中华人民共和国固体废物污染环境防治法》（2020年9月1日施行）；</w:t>
      </w:r>
    </w:p>
    <w:p>
      <w:pPr>
        <w:numPr>
          <w:ilvl w:val="0"/>
          <w:numId w:val="2"/>
        </w:numPr>
        <w:adjustRightInd w:val="0"/>
        <w:spacing w:line="360" w:lineRule="auto"/>
        <w:ind w:left="0" w:firstLine="480" w:firstLineChars="200"/>
        <w:rPr>
          <w:color w:val="auto"/>
          <w:highlight w:val="none"/>
        </w:rPr>
      </w:pPr>
      <w:r>
        <w:rPr>
          <w:color w:val="auto"/>
          <w:highlight w:val="none"/>
        </w:rPr>
        <w:t>《中华人民共和国土壤污染防治法》（2019年1月1日起实行）</w:t>
      </w:r>
      <w:r>
        <w:rPr>
          <w:rFonts w:hint="eastAsia"/>
          <w:color w:val="auto"/>
          <w:highlight w:val="none"/>
        </w:rPr>
        <w:t>；</w:t>
      </w:r>
    </w:p>
    <w:p>
      <w:pPr>
        <w:numPr>
          <w:ilvl w:val="0"/>
          <w:numId w:val="2"/>
        </w:numPr>
        <w:adjustRightInd w:val="0"/>
        <w:spacing w:line="360" w:lineRule="auto"/>
        <w:ind w:left="0" w:firstLine="480" w:firstLineChars="200"/>
        <w:rPr>
          <w:color w:val="auto"/>
          <w:highlight w:val="none"/>
        </w:rPr>
      </w:pPr>
      <w:r>
        <w:rPr>
          <w:color w:val="auto"/>
          <w:highlight w:val="none"/>
        </w:rPr>
        <w:t>《中华人民共和国</w:t>
      </w:r>
      <w:r>
        <w:rPr>
          <w:rFonts w:hint="eastAsia"/>
          <w:color w:val="auto"/>
          <w:highlight w:val="none"/>
        </w:rPr>
        <w:t>食品安全法</w:t>
      </w:r>
      <w:r>
        <w:rPr>
          <w:color w:val="auto"/>
          <w:highlight w:val="none"/>
        </w:rPr>
        <w:t>》（</w:t>
      </w:r>
      <w:r>
        <w:rPr>
          <w:rFonts w:hint="eastAsia"/>
          <w:color w:val="auto"/>
          <w:highlight w:val="none"/>
        </w:rPr>
        <w:t>2021年4月修订</w:t>
      </w:r>
      <w:r>
        <w:rPr>
          <w:color w:val="auto"/>
          <w:highlight w:val="none"/>
        </w:rPr>
        <w:t>）</w:t>
      </w:r>
      <w:r>
        <w:rPr>
          <w:rFonts w:hint="eastAsia"/>
          <w:color w:val="auto"/>
          <w:highlight w:val="none"/>
        </w:rPr>
        <w:t>；</w:t>
      </w:r>
    </w:p>
    <w:p>
      <w:pPr>
        <w:numPr>
          <w:ilvl w:val="0"/>
          <w:numId w:val="2"/>
        </w:numPr>
        <w:adjustRightInd w:val="0"/>
        <w:spacing w:line="360" w:lineRule="auto"/>
        <w:ind w:left="0" w:firstLine="480" w:firstLineChars="200"/>
        <w:rPr>
          <w:color w:val="auto"/>
          <w:highlight w:val="none"/>
        </w:rPr>
      </w:pPr>
      <w:r>
        <w:rPr>
          <w:color w:val="auto"/>
          <w:highlight w:val="none"/>
        </w:rPr>
        <w:t>《</w:t>
      </w:r>
      <w:r>
        <w:rPr>
          <w:rFonts w:hint="eastAsia"/>
          <w:color w:val="auto"/>
          <w:highlight w:val="none"/>
        </w:rPr>
        <w:t>突发事件应急预案管理办法</w:t>
      </w:r>
      <w:r>
        <w:rPr>
          <w:color w:val="auto"/>
          <w:highlight w:val="none"/>
        </w:rPr>
        <w:t>》（</w:t>
      </w:r>
      <w:r>
        <w:rPr>
          <w:rFonts w:hint="eastAsia"/>
          <w:color w:val="auto"/>
          <w:highlight w:val="none"/>
        </w:rPr>
        <w:t>国办发[2013]101号</w:t>
      </w:r>
      <w:r>
        <w:rPr>
          <w:color w:val="auto"/>
          <w:highlight w:val="none"/>
        </w:rPr>
        <w:t>）；</w:t>
      </w:r>
    </w:p>
    <w:p>
      <w:pPr>
        <w:numPr>
          <w:ilvl w:val="0"/>
          <w:numId w:val="2"/>
        </w:numPr>
        <w:adjustRightInd w:val="0"/>
        <w:spacing w:line="360" w:lineRule="auto"/>
        <w:ind w:left="0" w:firstLine="480" w:firstLineChars="200"/>
        <w:rPr>
          <w:color w:val="auto"/>
          <w:highlight w:val="none"/>
        </w:rPr>
      </w:pPr>
      <w:r>
        <w:rPr>
          <w:color w:val="auto"/>
          <w:highlight w:val="none"/>
        </w:rPr>
        <w:t>《</w:t>
      </w:r>
      <w:r>
        <w:rPr>
          <w:rFonts w:hint="eastAsia"/>
          <w:color w:val="auto"/>
          <w:highlight w:val="none"/>
        </w:rPr>
        <w:t>国家突发环境事件应急预案</w:t>
      </w:r>
      <w:r>
        <w:rPr>
          <w:color w:val="auto"/>
          <w:highlight w:val="none"/>
        </w:rPr>
        <w:t>》（</w:t>
      </w:r>
      <w:r>
        <w:rPr>
          <w:rFonts w:hint="eastAsia"/>
          <w:color w:val="auto"/>
          <w:highlight w:val="none"/>
        </w:rPr>
        <w:t>国办函[2014]119号</w:t>
      </w:r>
      <w:r>
        <w:rPr>
          <w:color w:val="auto"/>
          <w:highlight w:val="none"/>
        </w:rPr>
        <w:t>）；</w:t>
      </w:r>
    </w:p>
    <w:p>
      <w:pPr>
        <w:numPr>
          <w:ilvl w:val="0"/>
          <w:numId w:val="2"/>
        </w:numPr>
        <w:adjustRightInd w:val="0"/>
        <w:spacing w:line="360" w:lineRule="auto"/>
        <w:ind w:left="0" w:firstLine="480" w:firstLineChars="200"/>
        <w:rPr>
          <w:color w:val="auto"/>
          <w:highlight w:val="none"/>
        </w:rPr>
      </w:pPr>
      <w:r>
        <w:rPr>
          <w:color w:val="auto"/>
          <w:highlight w:val="none"/>
        </w:rPr>
        <w:t>《突发环境事件信息报告办法》（中华人民共和国环境保护部令第17号）；</w:t>
      </w:r>
    </w:p>
    <w:p>
      <w:pPr>
        <w:numPr>
          <w:ilvl w:val="0"/>
          <w:numId w:val="2"/>
        </w:numPr>
        <w:adjustRightInd w:val="0"/>
        <w:spacing w:line="360" w:lineRule="auto"/>
        <w:ind w:left="0" w:firstLine="480" w:firstLineChars="200"/>
        <w:rPr>
          <w:color w:val="auto"/>
          <w:highlight w:val="none"/>
        </w:rPr>
      </w:pPr>
      <w:r>
        <w:rPr>
          <w:color w:val="auto"/>
          <w:highlight w:val="none"/>
        </w:rPr>
        <w:t>《</w:t>
      </w:r>
      <w:r>
        <w:rPr>
          <w:rFonts w:hint="eastAsia"/>
          <w:color w:val="auto"/>
          <w:highlight w:val="none"/>
        </w:rPr>
        <w:t>突发环境事件应急预案管理办法</w:t>
      </w:r>
      <w:r>
        <w:rPr>
          <w:color w:val="auto"/>
          <w:highlight w:val="none"/>
        </w:rPr>
        <w:t>》（中华人民共和国环境保护部令第</w:t>
      </w:r>
      <w:r>
        <w:rPr>
          <w:rFonts w:hint="eastAsia"/>
          <w:color w:val="auto"/>
          <w:highlight w:val="none"/>
        </w:rPr>
        <w:t>34</w:t>
      </w:r>
      <w:r>
        <w:rPr>
          <w:color w:val="auto"/>
          <w:highlight w:val="none"/>
        </w:rPr>
        <w:t>号）；</w:t>
      </w:r>
    </w:p>
    <w:p>
      <w:pPr>
        <w:numPr>
          <w:ilvl w:val="0"/>
          <w:numId w:val="2"/>
        </w:numPr>
        <w:adjustRightInd w:val="0"/>
        <w:spacing w:line="360" w:lineRule="auto"/>
        <w:ind w:left="0" w:firstLine="480" w:firstLineChars="200"/>
        <w:rPr>
          <w:color w:val="auto"/>
          <w:highlight w:val="none"/>
        </w:rPr>
      </w:pPr>
      <w:r>
        <w:rPr>
          <w:color w:val="auto"/>
          <w:highlight w:val="none"/>
        </w:rPr>
        <w:t>《</w:t>
      </w:r>
      <w:r>
        <w:rPr>
          <w:rFonts w:hint="eastAsia"/>
          <w:color w:val="auto"/>
          <w:highlight w:val="none"/>
        </w:rPr>
        <w:t>企业突发环境事件隐患排查和治理工作指南（试行）</w:t>
      </w:r>
      <w:r>
        <w:rPr>
          <w:color w:val="auto"/>
          <w:highlight w:val="none"/>
        </w:rPr>
        <w:t>》（中华人民共和国环境保护部</w:t>
      </w:r>
      <w:r>
        <w:rPr>
          <w:rFonts w:hint="eastAsia"/>
          <w:color w:val="auto"/>
          <w:highlight w:val="none"/>
        </w:rPr>
        <w:t>公告2016年74号</w:t>
      </w:r>
      <w:r>
        <w:rPr>
          <w:color w:val="auto"/>
          <w:highlight w:val="none"/>
        </w:rPr>
        <w:t>）；</w:t>
      </w:r>
    </w:p>
    <w:p>
      <w:pPr>
        <w:numPr>
          <w:ilvl w:val="0"/>
          <w:numId w:val="2"/>
        </w:numPr>
        <w:adjustRightInd w:val="0"/>
        <w:spacing w:line="360" w:lineRule="auto"/>
        <w:ind w:left="0" w:firstLine="480" w:firstLineChars="200"/>
        <w:rPr>
          <w:color w:val="auto"/>
          <w:highlight w:val="none"/>
        </w:rPr>
      </w:pPr>
      <w:r>
        <w:rPr>
          <w:color w:val="auto"/>
          <w:highlight w:val="none"/>
        </w:rPr>
        <w:t>关于印发《企业事业单位突发环境事件应急预案备案管理办法（试行）》的通知</w:t>
      </w:r>
      <w:r>
        <w:rPr>
          <w:rFonts w:hint="eastAsia"/>
          <w:color w:val="auto"/>
          <w:highlight w:val="none"/>
        </w:rPr>
        <w:t>（</w:t>
      </w:r>
      <w:r>
        <w:rPr>
          <w:color w:val="auto"/>
          <w:highlight w:val="none"/>
        </w:rPr>
        <w:t>环发[2015]4号</w:t>
      </w:r>
      <w:r>
        <w:rPr>
          <w:rFonts w:hint="eastAsia"/>
          <w:color w:val="auto"/>
          <w:highlight w:val="none"/>
        </w:rPr>
        <w:t>）</w:t>
      </w:r>
      <w:r>
        <w:rPr>
          <w:color w:val="auto"/>
          <w:highlight w:val="none"/>
        </w:rPr>
        <w:t>，环境保护部，2015年1月8日；</w:t>
      </w:r>
    </w:p>
    <w:p>
      <w:pPr>
        <w:numPr>
          <w:ilvl w:val="0"/>
          <w:numId w:val="2"/>
        </w:numPr>
        <w:adjustRightInd w:val="0"/>
        <w:spacing w:line="360" w:lineRule="auto"/>
        <w:ind w:left="0" w:firstLine="480" w:firstLineChars="200"/>
        <w:rPr>
          <w:color w:val="auto"/>
          <w:highlight w:val="none"/>
        </w:rPr>
      </w:pPr>
      <w:r>
        <w:rPr>
          <w:color w:val="auto"/>
          <w:highlight w:val="none"/>
        </w:rPr>
        <w:t>《建设项目环境保护管理条例》（中华人民共和国国务院令 第253号）；</w:t>
      </w:r>
    </w:p>
    <w:p>
      <w:pPr>
        <w:numPr>
          <w:ilvl w:val="0"/>
          <w:numId w:val="2"/>
        </w:numPr>
        <w:adjustRightInd w:val="0"/>
        <w:spacing w:line="360" w:lineRule="auto"/>
        <w:ind w:left="0" w:firstLine="480" w:firstLineChars="200"/>
        <w:rPr>
          <w:color w:val="auto"/>
          <w:highlight w:val="none"/>
        </w:rPr>
      </w:pPr>
      <w:r>
        <w:rPr>
          <w:color w:val="auto"/>
          <w:highlight w:val="none"/>
        </w:rPr>
        <w:t>《中华人民共和国监控化学品管理条例》（中华人民共和国国务院令第190号）；</w:t>
      </w:r>
    </w:p>
    <w:p>
      <w:pPr>
        <w:numPr>
          <w:ilvl w:val="0"/>
          <w:numId w:val="2"/>
        </w:numPr>
        <w:adjustRightInd w:val="0"/>
        <w:spacing w:line="360" w:lineRule="auto"/>
        <w:ind w:left="0" w:firstLine="480" w:firstLineChars="200"/>
        <w:rPr>
          <w:color w:val="auto"/>
          <w:highlight w:val="none"/>
        </w:rPr>
      </w:pPr>
      <w:r>
        <w:rPr>
          <w:color w:val="auto"/>
          <w:highlight w:val="none"/>
        </w:rPr>
        <w:t>《易制毒化学品管理条例》（中华人民共和国国务院令第445号）；</w:t>
      </w:r>
    </w:p>
    <w:p>
      <w:pPr>
        <w:numPr>
          <w:ilvl w:val="0"/>
          <w:numId w:val="2"/>
        </w:numPr>
        <w:adjustRightInd w:val="0"/>
        <w:spacing w:line="360" w:lineRule="auto"/>
        <w:ind w:left="0" w:firstLine="480" w:firstLineChars="200"/>
        <w:rPr>
          <w:color w:val="auto"/>
          <w:highlight w:val="none"/>
        </w:rPr>
      </w:pPr>
      <w:r>
        <w:rPr>
          <w:color w:val="auto"/>
          <w:highlight w:val="none"/>
        </w:rPr>
        <w:t>《危险化学品安全管理条例》（中华人民共和国国务院令第591号）；</w:t>
      </w:r>
    </w:p>
    <w:p>
      <w:pPr>
        <w:numPr>
          <w:ilvl w:val="0"/>
          <w:numId w:val="2"/>
        </w:numPr>
        <w:adjustRightInd w:val="0"/>
        <w:spacing w:line="360" w:lineRule="auto"/>
        <w:ind w:left="0" w:firstLine="480" w:firstLineChars="200"/>
        <w:rPr>
          <w:color w:val="auto"/>
          <w:highlight w:val="none"/>
        </w:rPr>
      </w:pPr>
      <w:r>
        <w:rPr>
          <w:color w:val="auto"/>
          <w:highlight w:val="none"/>
        </w:rPr>
        <w:t>《国务院关于落实科学发展观加强环境保护的决定》（国发[2005]39号）；</w:t>
      </w:r>
    </w:p>
    <w:p>
      <w:pPr>
        <w:numPr>
          <w:ilvl w:val="0"/>
          <w:numId w:val="2"/>
        </w:numPr>
        <w:adjustRightInd w:val="0"/>
        <w:spacing w:line="360" w:lineRule="auto"/>
        <w:ind w:left="0" w:firstLine="480" w:firstLineChars="200"/>
        <w:rPr>
          <w:color w:val="auto"/>
          <w:highlight w:val="none"/>
        </w:rPr>
      </w:pPr>
      <w:r>
        <w:rPr>
          <w:color w:val="auto"/>
          <w:highlight w:val="none"/>
        </w:rPr>
        <w:t>《关于开展全国重点行业企业环境风险及化学品检查工作的通知》（环办[2010]13号）；</w:t>
      </w:r>
    </w:p>
    <w:p>
      <w:pPr>
        <w:numPr>
          <w:ilvl w:val="0"/>
          <w:numId w:val="2"/>
        </w:numPr>
        <w:adjustRightInd w:val="0"/>
        <w:spacing w:line="360" w:lineRule="auto"/>
        <w:ind w:left="0" w:firstLine="480" w:firstLineChars="200"/>
        <w:rPr>
          <w:color w:val="auto"/>
          <w:highlight w:val="none"/>
        </w:rPr>
      </w:pPr>
      <w:r>
        <w:rPr>
          <w:color w:val="auto"/>
          <w:highlight w:val="none"/>
        </w:rPr>
        <w:t>《关于开展涉及易燃易爆危险品建设项目环境风险排查和整改的通知》（环办[2010]111号）；</w:t>
      </w:r>
    </w:p>
    <w:p>
      <w:pPr>
        <w:numPr>
          <w:ilvl w:val="0"/>
          <w:numId w:val="2"/>
        </w:numPr>
        <w:adjustRightInd w:val="0"/>
        <w:spacing w:line="360" w:lineRule="auto"/>
        <w:ind w:left="0" w:firstLine="480" w:firstLineChars="200"/>
        <w:rPr>
          <w:color w:val="auto"/>
          <w:highlight w:val="none"/>
        </w:rPr>
      </w:pPr>
      <w:r>
        <w:rPr>
          <w:color w:val="auto"/>
          <w:highlight w:val="none"/>
        </w:rPr>
        <w:t>《关于印发&lt;突发环境事件应急预案管理暂行办法&gt;的通知》（环发[2010]113号）；</w:t>
      </w:r>
    </w:p>
    <w:p>
      <w:pPr>
        <w:numPr>
          <w:ilvl w:val="0"/>
          <w:numId w:val="2"/>
        </w:numPr>
        <w:adjustRightInd w:val="0"/>
        <w:spacing w:line="360" w:lineRule="auto"/>
        <w:ind w:left="0" w:firstLine="480" w:firstLineChars="200"/>
        <w:rPr>
          <w:color w:val="auto"/>
          <w:highlight w:val="none"/>
        </w:rPr>
      </w:pPr>
      <w:r>
        <w:rPr>
          <w:color w:val="auto"/>
          <w:highlight w:val="none"/>
        </w:rPr>
        <w:t>《关于进一步加强环境影响评价管理防范环境风险的通知》（环发[2012]77号）；</w:t>
      </w:r>
    </w:p>
    <w:p>
      <w:pPr>
        <w:numPr>
          <w:ilvl w:val="0"/>
          <w:numId w:val="2"/>
        </w:numPr>
        <w:adjustRightInd w:val="0"/>
        <w:spacing w:line="360" w:lineRule="auto"/>
        <w:ind w:left="0" w:firstLine="480" w:firstLineChars="200"/>
        <w:rPr>
          <w:color w:val="auto"/>
          <w:highlight w:val="none"/>
        </w:rPr>
      </w:pPr>
      <w:r>
        <w:rPr>
          <w:color w:val="auto"/>
          <w:highlight w:val="none"/>
        </w:rPr>
        <w:t>《关于切实加强风险防范严格环境影响评价管理的通知》（环发[2012]98号）；</w:t>
      </w:r>
    </w:p>
    <w:p>
      <w:pPr>
        <w:numPr>
          <w:ilvl w:val="0"/>
          <w:numId w:val="2"/>
        </w:numPr>
        <w:adjustRightInd w:val="0"/>
        <w:spacing w:line="360" w:lineRule="auto"/>
        <w:ind w:left="0" w:firstLine="480" w:firstLineChars="200"/>
        <w:rPr>
          <w:color w:val="auto"/>
          <w:highlight w:val="none"/>
        </w:rPr>
      </w:pPr>
      <w:r>
        <w:rPr>
          <w:color w:val="auto"/>
          <w:highlight w:val="none"/>
        </w:rPr>
        <w:t>《危险化学品事故应急救援指挥导则》（AQ/T3052-2015）；</w:t>
      </w:r>
    </w:p>
    <w:p>
      <w:pPr>
        <w:numPr>
          <w:ilvl w:val="0"/>
          <w:numId w:val="2"/>
        </w:numPr>
        <w:adjustRightInd w:val="0"/>
        <w:spacing w:line="360" w:lineRule="auto"/>
        <w:ind w:left="0" w:firstLine="480" w:firstLineChars="200"/>
        <w:rPr>
          <w:color w:val="auto"/>
          <w:highlight w:val="none"/>
        </w:rPr>
      </w:pPr>
      <w:r>
        <w:rPr>
          <w:color w:val="auto"/>
          <w:highlight w:val="none"/>
        </w:rPr>
        <w:t>《危险化学品目录》（2015年版）；</w:t>
      </w:r>
    </w:p>
    <w:p>
      <w:pPr>
        <w:numPr>
          <w:ilvl w:val="0"/>
          <w:numId w:val="2"/>
        </w:numPr>
        <w:adjustRightInd w:val="0"/>
        <w:spacing w:line="360" w:lineRule="auto"/>
        <w:ind w:left="0" w:firstLine="480" w:firstLineChars="200"/>
        <w:rPr>
          <w:color w:val="auto"/>
          <w:highlight w:val="none"/>
        </w:rPr>
      </w:pPr>
      <w:r>
        <w:rPr>
          <w:color w:val="auto"/>
          <w:highlight w:val="none"/>
        </w:rPr>
        <w:t>《建设项目环境影响评价分类管理名录》（20</w:t>
      </w:r>
      <w:r>
        <w:rPr>
          <w:rFonts w:hint="eastAsia"/>
          <w:color w:val="auto"/>
          <w:highlight w:val="none"/>
        </w:rPr>
        <w:t>21版</w:t>
      </w:r>
      <w:r>
        <w:rPr>
          <w:color w:val="auto"/>
          <w:highlight w:val="none"/>
        </w:rPr>
        <w:t>）；</w:t>
      </w:r>
    </w:p>
    <w:p>
      <w:pPr>
        <w:numPr>
          <w:ilvl w:val="0"/>
          <w:numId w:val="2"/>
        </w:numPr>
        <w:adjustRightInd w:val="0"/>
        <w:spacing w:line="360" w:lineRule="auto"/>
        <w:ind w:left="0" w:firstLine="480" w:firstLineChars="200"/>
        <w:rPr>
          <w:color w:val="auto"/>
          <w:highlight w:val="none"/>
        </w:rPr>
      </w:pPr>
      <w:r>
        <w:rPr>
          <w:color w:val="auto"/>
          <w:highlight w:val="none"/>
        </w:rPr>
        <w:t>《国家危险废物名录》（20</w:t>
      </w:r>
      <w:r>
        <w:rPr>
          <w:rFonts w:hint="eastAsia"/>
          <w:color w:val="auto"/>
          <w:highlight w:val="none"/>
        </w:rPr>
        <w:t>21</w:t>
      </w:r>
      <w:r>
        <w:rPr>
          <w:color w:val="auto"/>
          <w:highlight w:val="none"/>
        </w:rPr>
        <w:t>年版）；</w:t>
      </w:r>
    </w:p>
    <w:p>
      <w:pPr>
        <w:numPr>
          <w:ilvl w:val="0"/>
          <w:numId w:val="2"/>
        </w:numPr>
        <w:adjustRightInd w:val="0"/>
        <w:spacing w:line="360" w:lineRule="auto"/>
        <w:ind w:left="0" w:firstLine="480" w:firstLineChars="200"/>
        <w:rPr>
          <w:color w:val="auto"/>
          <w:highlight w:val="none"/>
        </w:rPr>
      </w:pPr>
      <w:r>
        <w:rPr>
          <w:rFonts w:hint="eastAsia"/>
          <w:color w:val="auto"/>
          <w:highlight w:val="none"/>
        </w:rPr>
        <w:t>《突发环境事件应急监测技术规范》（HJ589-2021）</w:t>
      </w:r>
      <w:r>
        <w:rPr>
          <w:color w:val="auto"/>
          <w:szCs w:val="28"/>
          <w:highlight w:val="none"/>
        </w:rPr>
        <w:t>。</w:t>
      </w:r>
    </w:p>
    <w:p>
      <w:pPr>
        <w:pStyle w:val="6"/>
        <w:rPr>
          <w:color w:val="auto"/>
          <w:highlight w:val="none"/>
        </w:rPr>
      </w:pPr>
      <w:bookmarkStart w:id="25" w:name="_Toc28103186"/>
      <w:r>
        <w:rPr>
          <w:color w:val="auto"/>
          <w:highlight w:val="none"/>
        </w:rPr>
        <w:t>1.2.2 地方环保法律法规</w:t>
      </w:r>
      <w:bookmarkEnd w:id="25"/>
    </w:p>
    <w:p>
      <w:pPr>
        <w:numPr>
          <w:ilvl w:val="0"/>
          <w:numId w:val="3"/>
        </w:numPr>
        <w:adjustRightInd w:val="0"/>
        <w:spacing w:line="360" w:lineRule="auto"/>
        <w:ind w:left="0" w:firstLine="480" w:firstLineChars="200"/>
        <w:rPr>
          <w:color w:val="auto"/>
          <w:highlight w:val="none"/>
        </w:rPr>
      </w:pPr>
      <w:r>
        <w:rPr>
          <w:color w:val="auto"/>
          <w:highlight w:val="none"/>
        </w:rPr>
        <w:t>《</w:t>
      </w:r>
      <w:r>
        <w:rPr>
          <w:rFonts w:hint="eastAsia"/>
          <w:color w:val="auto"/>
          <w:highlight w:val="none"/>
        </w:rPr>
        <w:t>江苏省大气污染防治条例</w:t>
      </w:r>
      <w:r>
        <w:rPr>
          <w:color w:val="auto"/>
          <w:highlight w:val="none"/>
        </w:rPr>
        <w:t>》（</w:t>
      </w:r>
      <w:r>
        <w:rPr>
          <w:rFonts w:hint="eastAsia"/>
          <w:color w:val="auto"/>
          <w:highlight w:val="none"/>
        </w:rPr>
        <w:t>2018年11月修订</w:t>
      </w:r>
      <w:r>
        <w:rPr>
          <w:color w:val="auto"/>
          <w:highlight w:val="none"/>
        </w:rPr>
        <w:t>）</w:t>
      </w:r>
      <w:r>
        <w:rPr>
          <w:rFonts w:hint="eastAsia"/>
          <w:color w:val="auto"/>
          <w:highlight w:val="none"/>
        </w:rPr>
        <w:t>；</w:t>
      </w:r>
    </w:p>
    <w:p>
      <w:pPr>
        <w:numPr>
          <w:ilvl w:val="0"/>
          <w:numId w:val="3"/>
        </w:numPr>
        <w:adjustRightInd w:val="0"/>
        <w:spacing w:line="360" w:lineRule="auto"/>
        <w:ind w:left="0" w:firstLine="480" w:firstLineChars="200"/>
        <w:rPr>
          <w:color w:val="auto"/>
          <w:highlight w:val="none"/>
        </w:rPr>
      </w:pPr>
      <w:r>
        <w:rPr>
          <w:color w:val="auto"/>
          <w:highlight w:val="none"/>
        </w:rPr>
        <w:t>《</w:t>
      </w:r>
      <w:r>
        <w:rPr>
          <w:rFonts w:hint="eastAsia"/>
          <w:color w:val="auto"/>
          <w:highlight w:val="none"/>
        </w:rPr>
        <w:t>江苏省水污染防治条例</w:t>
      </w:r>
      <w:r>
        <w:rPr>
          <w:color w:val="auto"/>
          <w:highlight w:val="none"/>
        </w:rPr>
        <w:t>》（</w:t>
      </w:r>
      <w:r>
        <w:rPr>
          <w:rFonts w:hint="eastAsia"/>
          <w:color w:val="auto"/>
          <w:highlight w:val="none"/>
        </w:rPr>
        <w:t>2020年11月修订</w:t>
      </w:r>
      <w:r>
        <w:rPr>
          <w:color w:val="auto"/>
          <w:highlight w:val="none"/>
        </w:rPr>
        <w:t>）</w:t>
      </w:r>
      <w:r>
        <w:rPr>
          <w:rFonts w:hint="eastAsia"/>
          <w:color w:val="auto"/>
          <w:highlight w:val="none"/>
        </w:rPr>
        <w:t>；</w:t>
      </w:r>
    </w:p>
    <w:p>
      <w:pPr>
        <w:numPr>
          <w:ilvl w:val="0"/>
          <w:numId w:val="3"/>
        </w:numPr>
        <w:adjustRightInd w:val="0"/>
        <w:spacing w:line="360" w:lineRule="auto"/>
        <w:ind w:left="0" w:firstLine="480" w:firstLineChars="200"/>
        <w:rPr>
          <w:color w:val="auto"/>
          <w:highlight w:val="none"/>
        </w:rPr>
      </w:pPr>
      <w:r>
        <w:rPr>
          <w:color w:val="auto"/>
          <w:highlight w:val="none"/>
        </w:rPr>
        <w:t>《</w:t>
      </w:r>
      <w:r>
        <w:rPr>
          <w:rFonts w:hint="eastAsia"/>
          <w:color w:val="auto"/>
          <w:highlight w:val="none"/>
        </w:rPr>
        <w:t>江苏省土壤污染防治条例</w:t>
      </w:r>
      <w:r>
        <w:rPr>
          <w:color w:val="auto"/>
          <w:highlight w:val="none"/>
        </w:rPr>
        <w:t>》（</w:t>
      </w:r>
      <w:r>
        <w:rPr>
          <w:rFonts w:hint="eastAsia"/>
          <w:color w:val="auto"/>
          <w:highlight w:val="none"/>
        </w:rPr>
        <w:t>2022年3月通过</w:t>
      </w:r>
      <w:r>
        <w:rPr>
          <w:color w:val="auto"/>
          <w:highlight w:val="none"/>
        </w:rPr>
        <w:t>）</w:t>
      </w:r>
      <w:r>
        <w:rPr>
          <w:rFonts w:hint="eastAsia"/>
          <w:color w:val="auto"/>
          <w:highlight w:val="none"/>
        </w:rPr>
        <w:t>；</w:t>
      </w:r>
    </w:p>
    <w:p>
      <w:pPr>
        <w:numPr>
          <w:ilvl w:val="0"/>
          <w:numId w:val="3"/>
        </w:numPr>
        <w:adjustRightInd w:val="0"/>
        <w:spacing w:line="360" w:lineRule="auto"/>
        <w:ind w:left="0"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《省政府关于印发江苏省突发事件总体应急预案的通知》（苏政发〔2020〕6号）；</w:t>
      </w:r>
    </w:p>
    <w:p>
      <w:pPr>
        <w:numPr>
          <w:ilvl w:val="0"/>
          <w:numId w:val="3"/>
        </w:numPr>
        <w:adjustRightInd w:val="0"/>
        <w:spacing w:line="360" w:lineRule="auto"/>
        <w:ind w:left="0"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《江苏省突发环境事件总体应急预案》；</w:t>
      </w:r>
    </w:p>
    <w:p>
      <w:pPr>
        <w:numPr>
          <w:ilvl w:val="0"/>
          <w:numId w:val="3"/>
        </w:numPr>
        <w:adjustRightInd w:val="0"/>
        <w:spacing w:line="360" w:lineRule="auto"/>
        <w:ind w:left="0"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《关于印发《无锡市环境保护局突发环境事件应急预案》的通知》（锡环应发[2016]16号）；</w:t>
      </w:r>
    </w:p>
    <w:p>
      <w:pPr>
        <w:numPr>
          <w:ilvl w:val="0"/>
          <w:numId w:val="3"/>
        </w:numPr>
        <w:adjustRightInd w:val="0"/>
        <w:spacing w:line="360" w:lineRule="auto"/>
        <w:ind w:left="0"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《无锡市突发事件总体应急预案》；</w:t>
      </w:r>
    </w:p>
    <w:p>
      <w:pPr>
        <w:numPr>
          <w:ilvl w:val="0"/>
          <w:numId w:val="3"/>
        </w:numPr>
        <w:adjustRightInd w:val="0"/>
        <w:spacing w:line="360" w:lineRule="auto"/>
        <w:ind w:left="0"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《无锡市</w:t>
      </w:r>
      <w:r>
        <w:rPr>
          <w:rFonts w:hint="eastAsia" w:ascii="Times New Roman" w:hAnsi="Times New Roman" w:eastAsia="宋体" w:cs="Times New Roman"/>
          <w:color w:val="auto"/>
          <w:highlight w:val="none"/>
        </w:rPr>
        <w:t>惠山区</w:t>
      </w:r>
      <w:r>
        <w:rPr>
          <w:rFonts w:ascii="Times New Roman" w:hAnsi="Times New Roman" w:eastAsia="宋体" w:cs="Times New Roman"/>
          <w:color w:val="auto"/>
          <w:highlight w:val="none"/>
        </w:rPr>
        <w:t>突发公共事件总体应急预案》；</w:t>
      </w:r>
    </w:p>
    <w:p>
      <w:pPr>
        <w:numPr>
          <w:ilvl w:val="0"/>
          <w:numId w:val="3"/>
        </w:numPr>
        <w:adjustRightInd w:val="0"/>
        <w:spacing w:line="360" w:lineRule="auto"/>
        <w:ind w:left="0" w:firstLine="48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《无锡金属表面处理科技工业园</w:t>
      </w:r>
      <w:r>
        <w:rPr>
          <w:rFonts w:hint="eastAsia" w:ascii="Times New Roman" w:hAnsi="Times New Roman" w:eastAsia="宋体" w:cs="Times New Roman"/>
          <w:color w:val="auto"/>
          <w:highlight w:val="none"/>
          <w:lang w:val="en-US" w:eastAsia="zh-CN"/>
        </w:rPr>
        <w:t>区突发环境事件应急预案</w:t>
      </w:r>
      <w:r>
        <w:rPr>
          <w:rFonts w:hint="eastAsia" w:ascii="Times New Roman" w:hAnsi="Times New Roman" w:eastAsia="宋体" w:cs="Times New Roman"/>
          <w:color w:val="auto"/>
          <w:highlight w:val="none"/>
          <w:lang w:eastAsia="zh-CN"/>
        </w:rPr>
        <w:t>》</w:t>
      </w:r>
    </w:p>
    <w:p>
      <w:pPr>
        <w:numPr>
          <w:ilvl w:val="0"/>
          <w:numId w:val="3"/>
        </w:numPr>
        <w:adjustRightInd w:val="0"/>
        <w:spacing w:line="360" w:lineRule="auto"/>
        <w:ind w:left="0"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关于印发《江苏省突发环境事件应急预案管理办法》的通知，苏环规[2014]2号，江苏省环境保护厅，2014年2月17日；</w:t>
      </w:r>
    </w:p>
    <w:p>
      <w:pPr>
        <w:numPr>
          <w:ilvl w:val="0"/>
          <w:numId w:val="3"/>
        </w:numPr>
        <w:adjustRightInd w:val="0"/>
        <w:spacing w:line="360" w:lineRule="auto"/>
        <w:ind w:left="0"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关于印发《江苏省突发环境事件报告和调查处理办法》的通知，苏环规[2014]3号，江苏省环境保护厅，2014年2月17日；</w:t>
      </w:r>
    </w:p>
    <w:p>
      <w:pPr>
        <w:numPr>
          <w:ilvl w:val="0"/>
          <w:numId w:val="3"/>
        </w:numPr>
        <w:adjustRightInd w:val="0"/>
        <w:spacing w:line="360" w:lineRule="auto"/>
        <w:ind w:left="0" w:firstLine="480"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《关于企业事业单位突发环境事件应急预案备案管理有关事项的通知》（苏环办〔2015〕224号）。</w:t>
      </w:r>
    </w:p>
    <w:p>
      <w:pPr>
        <w:pStyle w:val="6"/>
        <w:rPr>
          <w:color w:val="auto"/>
          <w:highlight w:val="none"/>
        </w:rPr>
      </w:pPr>
      <w:bookmarkStart w:id="26" w:name="_Toc28103187"/>
      <w:r>
        <w:rPr>
          <w:color w:val="auto"/>
          <w:highlight w:val="none"/>
        </w:rPr>
        <w:t>1.2.3 相关技术规范和标准</w:t>
      </w:r>
      <w:bookmarkEnd w:id="26"/>
    </w:p>
    <w:p>
      <w:pPr>
        <w:numPr>
          <w:ilvl w:val="0"/>
          <w:numId w:val="4"/>
        </w:numPr>
        <w:adjustRightInd w:val="0"/>
        <w:spacing w:line="360" w:lineRule="auto"/>
        <w:ind w:left="0" w:firstLine="480" w:firstLineChars="200"/>
        <w:rPr>
          <w:color w:val="auto"/>
          <w:highlight w:val="none"/>
        </w:rPr>
      </w:pPr>
      <w:bookmarkStart w:id="27" w:name="_Toc308426120"/>
      <w:bookmarkStart w:id="28" w:name="_Toc308423671"/>
      <w:r>
        <w:rPr>
          <w:color w:val="auto"/>
          <w:highlight w:val="none"/>
        </w:rPr>
        <w:t>《企事业单位和工业园区突发环境事件应急预案编制导则》（DB32/T 3795-2020）</w:t>
      </w:r>
    </w:p>
    <w:p>
      <w:pPr>
        <w:numPr>
          <w:ilvl w:val="0"/>
          <w:numId w:val="4"/>
        </w:numPr>
        <w:adjustRightInd w:val="0"/>
        <w:spacing w:line="360" w:lineRule="auto"/>
        <w:ind w:left="0" w:firstLine="480" w:firstLineChars="200"/>
        <w:rPr>
          <w:color w:val="auto"/>
          <w:highlight w:val="none"/>
        </w:rPr>
      </w:pPr>
      <w:r>
        <w:rPr>
          <w:color w:val="auto"/>
          <w:highlight w:val="none"/>
        </w:rPr>
        <w:t>《建设项目环境风险评价技术导则》</w:t>
      </w:r>
      <w:r>
        <w:rPr>
          <w:rFonts w:hint="eastAsia"/>
          <w:color w:val="auto"/>
          <w:highlight w:val="none"/>
        </w:rPr>
        <w:t>（</w:t>
      </w:r>
      <w:r>
        <w:rPr>
          <w:color w:val="auto"/>
          <w:highlight w:val="none"/>
        </w:rPr>
        <w:t>HJ169-2018</w:t>
      </w:r>
      <w:r>
        <w:rPr>
          <w:rFonts w:hint="eastAsia"/>
          <w:color w:val="auto"/>
          <w:highlight w:val="none"/>
        </w:rPr>
        <w:t>）</w:t>
      </w:r>
      <w:r>
        <w:rPr>
          <w:color w:val="auto"/>
          <w:highlight w:val="none"/>
        </w:rPr>
        <w:t>；</w:t>
      </w:r>
    </w:p>
    <w:p>
      <w:pPr>
        <w:numPr>
          <w:ilvl w:val="0"/>
          <w:numId w:val="4"/>
        </w:numPr>
        <w:adjustRightInd w:val="0"/>
        <w:spacing w:line="360" w:lineRule="auto"/>
        <w:ind w:left="0" w:firstLine="480" w:firstLineChars="200"/>
        <w:rPr>
          <w:color w:val="auto"/>
          <w:highlight w:val="none"/>
        </w:rPr>
      </w:pPr>
      <w:r>
        <w:rPr>
          <w:color w:val="auto"/>
          <w:highlight w:val="none"/>
        </w:rPr>
        <w:t>《危险化学品重大危险源辨识》</w:t>
      </w:r>
      <w:r>
        <w:rPr>
          <w:rFonts w:hint="eastAsia"/>
          <w:color w:val="auto"/>
          <w:highlight w:val="none"/>
        </w:rPr>
        <w:t>（</w:t>
      </w:r>
      <w:r>
        <w:rPr>
          <w:color w:val="auto"/>
          <w:highlight w:val="none"/>
        </w:rPr>
        <w:t>GB18218</w:t>
      </w:r>
      <w:r>
        <w:rPr>
          <w:rFonts w:hint="eastAsia"/>
          <w:color w:val="auto"/>
          <w:highlight w:val="none"/>
        </w:rPr>
        <w:t>-</w:t>
      </w:r>
      <w:r>
        <w:rPr>
          <w:color w:val="auto"/>
          <w:highlight w:val="none"/>
        </w:rPr>
        <w:t>2018</w:t>
      </w:r>
      <w:r>
        <w:rPr>
          <w:rFonts w:hint="eastAsia"/>
          <w:color w:val="auto"/>
          <w:highlight w:val="none"/>
        </w:rPr>
        <w:t>）</w:t>
      </w:r>
      <w:r>
        <w:rPr>
          <w:color w:val="auto"/>
          <w:highlight w:val="none"/>
        </w:rPr>
        <w:t>；</w:t>
      </w:r>
    </w:p>
    <w:p>
      <w:pPr>
        <w:numPr>
          <w:ilvl w:val="0"/>
          <w:numId w:val="4"/>
        </w:numPr>
        <w:adjustRightInd w:val="0"/>
        <w:spacing w:line="360" w:lineRule="auto"/>
        <w:ind w:left="0" w:firstLine="480" w:firstLineChars="200"/>
        <w:rPr>
          <w:color w:val="auto"/>
          <w:highlight w:val="none"/>
        </w:rPr>
      </w:pPr>
      <w:r>
        <w:rPr>
          <w:color w:val="auto"/>
          <w:highlight w:val="none"/>
        </w:rPr>
        <w:t>《常用化学危险品贮存通则》（GB15603</w:t>
      </w:r>
      <w:r>
        <w:rPr>
          <w:rFonts w:hint="eastAsia"/>
          <w:color w:val="auto"/>
          <w:highlight w:val="none"/>
        </w:rPr>
        <w:t>-</w:t>
      </w:r>
      <w:r>
        <w:rPr>
          <w:color w:val="auto"/>
          <w:highlight w:val="none"/>
        </w:rPr>
        <w:t>1995）；</w:t>
      </w:r>
    </w:p>
    <w:p>
      <w:pPr>
        <w:numPr>
          <w:ilvl w:val="0"/>
          <w:numId w:val="4"/>
        </w:numPr>
        <w:adjustRightInd w:val="0"/>
        <w:spacing w:line="360" w:lineRule="auto"/>
        <w:ind w:left="0" w:firstLine="480" w:firstLineChars="200"/>
        <w:rPr>
          <w:color w:val="auto"/>
          <w:highlight w:val="none"/>
        </w:rPr>
      </w:pPr>
      <w:r>
        <w:rPr>
          <w:color w:val="auto"/>
          <w:highlight w:val="none"/>
        </w:rPr>
        <w:t>《化学品分类和危险性公示 通则》（GB13690-2009）；</w:t>
      </w:r>
    </w:p>
    <w:p>
      <w:pPr>
        <w:numPr>
          <w:ilvl w:val="0"/>
          <w:numId w:val="4"/>
        </w:numPr>
        <w:adjustRightInd w:val="0"/>
        <w:spacing w:line="360" w:lineRule="auto"/>
        <w:ind w:left="0" w:firstLine="480" w:firstLineChars="200"/>
        <w:rPr>
          <w:color w:val="auto"/>
          <w:highlight w:val="none"/>
        </w:rPr>
      </w:pPr>
      <w:r>
        <w:rPr>
          <w:color w:val="auto"/>
          <w:highlight w:val="none"/>
        </w:rPr>
        <w:t>《常用危险化学品标志》（2015年版）；</w:t>
      </w:r>
    </w:p>
    <w:p>
      <w:pPr>
        <w:numPr>
          <w:ilvl w:val="0"/>
          <w:numId w:val="4"/>
        </w:numPr>
        <w:adjustRightInd w:val="0"/>
        <w:spacing w:line="360" w:lineRule="auto"/>
        <w:ind w:left="0" w:firstLine="480" w:firstLineChars="200"/>
        <w:rPr>
          <w:color w:val="auto"/>
          <w:highlight w:val="none"/>
        </w:rPr>
      </w:pPr>
      <w:r>
        <w:rPr>
          <w:color w:val="auto"/>
          <w:highlight w:val="none"/>
        </w:rPr>
        <w:t>《一般工业固体废物贮存和填埋污染控制标准》（GB 18599-2020）；</w:t>
      </w:r>
    </w:p>
    <w:p>
      <w:pPr>
        <w:numPr>
          <w:ilvl w:val="0"/>
          <w:numId w:val="4"/>
        </w:numPr>
        <w:adjustRightInd w:val="0"/>
        <w:spacing w:line="360" w:lineRule="auto"/>
        <w:ind w:left="0" w:firstLine="480" w:firstLineChars="200"/>
        <w:rPr>
          <w:color w:val="auto"/>
          <w:highlight w:val="none"/>
        </w:rPr>
      </w:pPr>
      <w:r>
        <w:rPr>
          <w:color w:val="auto"/>
          <w:highlight w:val="none"/>
        </w:rPr>
        <w:t>《危险废物贮存污染控制标准》（GB18597-2001）以及修改单；</w:t>
      </w:r>
    </w:p>
    <w:p>
      <w:pPr>
        <w:numPr>
          <w:ilvl w:val="0"/>
          <w:numId w:val="4"/>
        </w:numPr>
        <w:adjustRightInd w:val="0"/>
        <w:spacing w:line="360" w:lineRule="auto"/>
        <w:ind w:left="0" w:firstLine="480" w:firstLineChars="200"/>
        <w:rPr>
          <w:color w:val="auto"/>
          <w:highlight w:val="none"/>
        </w:rPr>
      </w:pPr>
      <w:r>
        <w:rPr>
          <w:color w:val="auto"/>
          <w:highlight w:val="none"/>
        </w:rPr>
        <w:t>《地表水环境质量标准》（GB3838-2002）；</w:t>
      </w:r>
    </w:p>
    <w:p>
      <w:pPr>
        <w:numPr>
          <w:ilvl w:val="0"/>
          <w:numId w:val="4"/>
        </w:numPr>
        <w:adjustRightInd w:val="0"/>
        <w:spacing w:line="360" w:lineRule="auto"/>
        <w:ind w:left="0" w:firstLine="480" w:firstLineChars="200"/>
        <w:rPr>
          <w:color w:val="auto"/>
          <w:highlight w:val="none"/>
        </w:rPr>
      </w:pPr>
      <w:r>
        <w:rPr>
          <w:color w:val="auto"/>
          <w:highlight w:val="none"/>
        </w:rPr>
        <w:t>《地下水质量标准》（GB/T 14848-2017）；</w:t>
      </w:r>
    </w:p>
    <w:p>
      <w:pPr>
        <w:numPr>
          <w:ilvl w:val="0"/>
          <w:numId w:val="4"/>
        </w:numPr>
        <w:adjustRightInd w:val="0"/>
        <w:spacing w:line="360" w:lineRule="auto"/>
        <w:ind w:left="0" w:firstLine="480" w:firstLineChars="200"/>
        <w:rPr>
          <w:color w:val="auto"/>
          <w:highlight w:val="none"/>
        </w:rPr>
      </w:pPr>
      <w:r>
        <w:rPr>
          <w:color w:val="auto"/>
          <w:highlight w:val="none"/>
        </w:rPr>
        <w:t>《环境空气质量标准》（GB3095-2012）；</w:t>
      </w:r>
    </w:p>
    <w:p>
      <w:pPr>
        <w:numPr>
          <w:ilvl w:val="0"/>
          <w:numId w:val="4"/>
        </w:numPr>
        <w:adjustRightInd w:val="0"/>
        <w:spacing w:line="360" w:lineRule="auto"/>
        <w:ind w:left="0" w:firstLine="480" w:firstLineChars="200"/>
        <w:rPr>
          <w:color w:val="auto"/>
          <w:highlight w:val="none"/>
        </w:rPr>
      </w:pPr>
      <w:r>
        <w:rPr>
          <w:color w:val="auto"/>
          <w:highlight w:val="none"/>
        </w:rPr>
        <w:t>《土壤环境质量 建设用地土壤污染风险管控标准》（GB36600-2018）；</w:t>
      </w:r>
    </w:p>
    <w:p>
      <w:pPr>
        <w:numPr>
          <w:ilvl w:val="0"/>
          <w:numId w:val="4"/>
        </w:numPr>
        <w:adjustRightInd w:val="0"/>
        <w:spacing w:line="360" w:lineRule="auto"/>
        <w:ind w:left="0" w:firstLine="480" w:firstLineChars="200"/>
        <w:rPr>
          <w:color w:val="auto"/>
          <w:highlight w:val="none"/>
        </w:rPr>
      </w:pPr>
      <w:r>
        <w:rPr>
          <w:color w:val="auto"/>
          <w:highlight w:val="none"/>
        </w:rPr>
        <w:t>《污水综合排放标准》（GB8978-1996）；</w:t>
      </w:r>
    </w:p>
    <w:p>
      <w:pPr>
        <w:numPr>
          <w:ilvl w:val="0"/>
          <w:numId w:val="4"/>
        </w:numPr>
        <w:adjustRightInd w:val="0"/>
        <w:spacing w:line="360" w:lineRule="auto"/>
        <w:ind w:left="0" w:firstLine="480" w:firstLineChars="200"/>
        <w:rPr>
          <w:color w:val="auto"/>
          <w:highlight w:val="none"/>
        </w:rPr>
      </w:pPr>
      <w:r>
        <w:rPr>
          <w:color w:val="auto"/>
          <w:highlight w:val="none"/>
        </w:rPr>
        <w:t>《城镇污水处理厂污染物排放标准》（GB18918-2002）；</w:t>
      </w:r>
    </w:p>
    <w:p>
      <w:pPr>
        <w:numPr>
          <w:ilvl w:val="0"/>
          <w:numId w:val="4"/>
        </w:numPr>
        <w:adjustRightInd w:val="0"/>
        <w:spacing w:line="360" w:lineRule="auto"/>
        <w:ind w:left="0" w:firstLine="480" w:firstLineChars="200"/>
        <w:rPr>
          <w:color w:val="auto"/>
          <w:highlight w:val="none"/>
        </w:rPr>
      </w:pPr>
      <w:r>
        <w:rPr>
          <w:color w:val="auto"/>
          <w:highlight w:val="none"/>
        </w:rPr>
        <w:t>《大气污染物综合排放标准》（</w:t>
      </w:r>
      <w:r>
        <w:rPr>
          <w:rFonts w:hint="eastAsia"/>
          <w:color w:val="auto"/>
          <w:highlight w:val="none"/>
        </w:rPr>
        <w:t>DB</w:t>
      </w:r>
      <w:r>
        <w:rPr>
          <w:color w:val="auto"/>
          <w:highlight w:val="none"/>
        </w:rPr>
        <w:t>32 4041</w:t>
      </w:r>
      <w:r>
        <w:rPr>
          <w:rFonts w:hint="eastAsia"/>
          <w:color w:val="auto"/>
          <w:highlight w:val="none"/>
        </w:rPr>
        <w:t>-</w:t>
      </w:r>
      <w:r>
        <w:rPr>
          <w:color w:val="auto"/>
          <w:highlight w:val="none"/>
        </w:rPr>
        <w:t>2021）；</w:t>
      </w:r>
    </w:p>
    <w:p>
      <w:pPr>
        <w:numPr>
          <w:ilvl w:val="0"/>
          <w:numId w:val="4"/>
        </w:numPr>
        <w:adjustRightInd w:val="0"/>
        <w:spacing w:line="360" w:lineRule="auto"/>
        <w:ind w:left="0" w:firstLine="480" w:firstLineChars="200"/>
        <w:rPr>
          <w:color w:val="auto"/>
          <w:highlight w:val="none"/>
        </w:rPr>
      </w:pPr>
      <w:r>
        <w:rPr>
          <w:color w:val="auto"/>
          <w:highlight w:val="none"/>
        </w:rPr>
        <w:t>《大气污染物综合排放标准详解》；</w:t>
      </w:r>
    </w:p>
    <w:p>
      <w:pPr>
        <w:numPr>
          <w:ilvl w:val="0"/>
          <w:numId w:val="4"/>
        </w:numPr>
        <w:adjustRightInd w:val="0"/>
        <w:spacing w:line="360" w:lineRule="auto"/>
        <w:ind w:left="0" w:firstLine="480" w:firstLineChars="200"/>
        <w:rPr>
          <w:color w:val="auto"/>
          <w:highlight w:val="none"/>
        </w:rPr>
      </w:pPr>
      <w:r>
        <w:rPr>
          <w:color w:val="auto"/>
          <w:highlight w:val="none"/>
        </w:rPr>
        <w:t>《工作场所有害因素职业接触限值 第一部分：化学有害因素》（GBZ 2.1）；</w:t>
      </w:r>
    </w:p>
    <w:p>
      <w:pPr>
        <w:adjustRightInd w:val="0"/>
        <w:snapToGrid w:val="0"/>
        <w:spacing w:line="360" w:lineRule="auto"/>
        <w:ind w:firstLine="480" w:firstLineChars="200"/>
        <w:rPr>
          <w:color w:val="auto"/>
          <w:szCs w:val="28"/>
          <w:highlight w:val="none"/>
        </w:rPr>
      </w:pPr>
      <w:r>
        <w:rPr>
          <w:color w:val="auto"/>
          <w:highlight w:val="none"/>
        </w:rPr>
        <w:t>《工业企业设计卫生标准》（GBZ1-2010）。</w:t>
      </w:r>
    </w:p>
    <w:bookmarkEnd w:id="27"/>
    <w:bookmarkEnd w:id="28"/>
    <w:p>
      <w:pPr>
        <w:pStyle w:val="5"/>
        <w:rPr>
          <w:color w:val="auto"/>
          <w:highlight w:val="none"/>
        </w:rPr>
      </w:pPr>
      <w:bookmarkStart w:id="29" w:name="_Toc273391633"/>
      <w:bookmarkStart w:id="30" w:name="_Toc28103188"/>
      <w:bookmarkStart w:id="31" w:name="_Toc266547493"/>
      <w:bookmarkStart w:id="32" w:name="_Toc273391309"/>
      <w:bookmarkStart w:id="33" w:name="_Toc20001"/>
      <w:r>
        <w:rPr>
          <w:color w:val="auto"/>
          <w:highlight w:val="none"/>
        </w:rPr>
        <w:t>1.3 适用范围</w:t>
      </w:r>
      <w:bookmarkEnd w:id="29"/>
      <w:bookmarkEnd w:id="30"/>
      <w:bookmarkEnd w:id="31"/>
      <w:bookmarkEnd w:id="32"/>
      <w:bookmarkEnd w:id="33"/>
    </w:p>
    <w:p>
      <w:pPr>
        <w:pStyle w:val="6"/>
        <w:rPr>
          <w:color w:val="auto"/>
          <w:highlight w:val="none"/>
        </w:rPr>
      </w:pPr>
      <w:r>
        <w:rPr>
          <w:color w:val="auto"/>
          <w:highlight w:val="none"/>
        </w:rPr>
        <w:t>1.3.1 工作范围</w:t>
      </w:r>
    </w:p>
    <w:p>
      <w:pPr>
        <w:adjustRightInd w:val="0"/>
        <w:snapToGrid w:val="0"/>
        <w:spacing w:line="360" w:lineRule="auto"/>
        <w:ind w:firstLine="480" w:firstLineChars="200"/>
        <w:rPr>
          <w:rFonts w:ascii="Times New Roman" w:hAnsi="Times New Roman" w:eastAsia="宋体" w:cs="Times New Roman"/>
          <w:color w:val="auto"/>
          <w:kern w:val="0"/>
          <w:highlight w:val="none"/>
        </w:rPr>
      </w:pPr>
      <w:r>
        <w:rPr>
          <w:rFonts w:ascii="Times New Roman" w:hAnsi="Times New Roman" w:eastAsia="宋体" w:cs="Times New Roman"/>
          <w:color w:val="auto"/>
          <w:kern w:val="0"/>
          <w:highlight w:val="none"/>
        </w:rPr>
        <w:t>本预案适用于</w:t>
      </w:r>
      <w:r>
        <w:rPr>
          <w:rFonts w:hint="eastAsia" w:ascii="Times New Roman" w:hAnsi="Times New Roman" w:eastAsia="宋体" w:cs="Times New Roman"/>
          <w:color w:val="auto"/>
          <w:kern w:val="0"/>
          <w:highlight w:val="none"/>
          <w:lang w:eastAsia="zh-CN"/>
        </w:rPr>
        <w:t>无锡市振华开祥科技有限公司</w:t>
      </w:r>
      <w:r>
        <w:rPr>
          <w:rFonts w:hint="eastAsia" w:ascii="Times New Roman" w:hAnsi="Times New Roman" w:eastAsia="宋体" w:cs="Times New Roman"/>
          <w:color w:val="auto"/>
          <w:kern w:val="0"/>
          <w:highlight w:val="none"/>
        </w:rPr>
        <w:t>由于从事</w:t>
      </w:r>
      <w:r>
        <w:rPr>
          <w:rFonts w:hint="eastAsia" w:ascii="Times New Roman" w:hAnsi="Times New Roman" w:eastAsia="宋体" w:cs="Times New Roman"/>
          <w:color w:val="auto"/>
          <w:kern w:val="0"/>
          <w:highlight w:val="none"/>
          <w:lang w:val="en-US" w:eastAsia="zh-CN"/>
        </w:rPr>
        <w:t>燃油喷射部件镀铬</w:t>
      </w:r>
      <w:r>
        <w:rPr>
          <w:rFonts w:ascii="Times New Roman" w:hAnsi="Times New Roman" w:eastAsia="宋体" w:cs="Times New Roman"/>
          <w:color w:val="auto"/>
          <w:kern w:val="0"/>
          <w:highlight w:val="none"/>
        </w:rPr>
        <w:t>生产经营活动</w:t>
      </w:r>
      <w:r>
        <w:rPr>
          <w:rFonts w:hint="eastAsia" w:ascii="Times New Roman" w:hAnsi="Times New Roman" w:eastAsia="宋体" w:cs="Times New Roman"/>
          <w:color w:val="auto"/>
          <w:kern w:val="0"/>
          <w:highlight w:val="none"/>
        </w:rPr>
        <w:t>发生</w:t>
      </w:r>
      <w:r>
        <w:rPr>
          <w:rFonts w:ascii="Times New Roman" w:hAnsi="Times New Roman" w:eastAsia="宋体" w:cs="Times New Roman"/>
          <w:color w:val="auto"/>
          <w:kern w:val="0"/>
          <w:highlight w:val="none"/>
        </w:rPr>
        <w:t>的以下各类突发环境事件的应急响应，包括预警、处置、监测等工作。不包括存在生物安全事故和辐射安全事故，且公司</w:t>
      </w:r>
      <w:r>
        <w:rPr>
          <w:rFonts w:hint="eastAsia" w:ascii="Times New Roman" w:hAnsi="Times New Roman" w:eastAsia="宋体" w:cs="Times New Roman"/>
          <w:color w:val="auto"/>
          <w:kern w:val="0"/>
          <w:highlight w:val="none"/>
        </w:rPr>
        <w:t>厂区</w:t>
      </w:r>
      <w:r>
        <w:rPr>
          <w:rFonts w:ascii="Times New Roman" w:hAnsi="Times New Roman" w:eastAsia="宋体" w:cs="Times New Roman"/>
          <w:color w:val="auto"/>
          <w:kern w:val="0"/>
          <w:highlight w:val="none"/>
        </w:rPr>
        <w:t>内不存在生物安全事故风险源及辐射安全事故风险源。</w:t>
      </w:r>
    </w:p>
    <w:p>
      <w:pPr>
        <w:pStyle w:val="6"/>
        <w:rPr>
          <w:color w:val="auto"/>
          <w:highlight w:val="none"/>
        </w:rPr>
      </w:pPr>
      <w:r>
        <w:rPr>
          <w:color w:val="auto"/>
          <w:highlight w:val="none"/>
        </w:rPr>
        <w:t>1.3.2 可能发生的突发环境事件类型</w:t>
      </w:r>
    </w:p>
    <w:p>
      <w:pPr>
        <w:adjustRightInd w:val="0"/>
        <w:snapToGrid w:val="0"/>
        <w:spacing w:line="360" w:lineRule="auto"/>
        <w:ind w:firstLine="480" w:firstLineChars="200"/>
        <w:rPr>
          <w:color w:val="auto"/>
          <w:kern w:val="0"/>
          <w:highlight w:val="none"/>
        </w:rPr>
      </w:pPr>
      <w:r>
        <w:rPr>
          <w:color w:val="auto"/>
          <w:kern w:val="0"/>
          <w:highlight w:val="none"/>
        </w:rPr>
        <w:t>（1）本公司</w:t>
      </w:r>
      <w:r>
        <w:rPr>
          <w:color w:val="auto"/>
          <w:highlight w:val="none"/>
        </w:rPr>
        <w:t>环境风险物质</w:t>
      </w:r>
      <w:r>
        <w:rPr>
          <w:color w:val="auto"/>
          <w:kern w:val="0"/>
          <w:highlight w:val="none"/>
        </w:rPr>
        <w:t>在生产、加工、使用、储存过程中发生的</w:t>
      </w:r>
      <w:r>
        <w:rPr>
          <w:color w:val="auto"/>
          <w:highlight w:val="none"/>
        </w:rPr>
        <w:t>释放、</w:t>
      </w:r>
      <w:r>
        <w:rPr>
          <w:color w:val="auto"/>
          <w:kern w:val="0"/>
          <w:highlight w:val="none"/>
        </w:rPr>
        <w:t>火灾和大面积泄漏等事故；</w:t>
      </w:r>
    </w:p>
    <w:p>
      <w:pPr>
        <w:adjustRightInd w:val="0"/>
        <w:snapToGrid w:val="0"/>
        <w:spacing w:line="360" w:lineRule="auto"/>
        <w:ind w:firstLine="480" w:firstLineChars="200"/>
        <w:rPr>
          <w:color w:val="auto"/>
          <w:kern w:val="0"/>
          <w:highlight w:val="none"/>
        </w:rPr>
      </w:pPr>
      <w:r>
        <w:rPr>
          <w:color w:val="auto"/>
          <w:kern w:val="0"/>
          <w:highlight w:val="none"/>
        </w:rPr>
        <w:t>（2）本公司在非正常工况或污染物处理装置非正常运转条件下向外环境排放污染物造成突发性环境污染事故；</w:t>
      </w:r>
    </w:p>
    <w:p>
      <w:pPr>
        <w:adjustRightInd w:val="0"/>
        <w:snapToGrid w:val="0"/>
        <w:spacing w:line="360" w:lineRule="auto"/>
        <w:ind w:firstLine="480" w:firstLineChars="200"/>
        <w:rPr>
          <w:color w:val="auto"/>
          <w:kern w:val="0"/>
          <w:highlight w:val="none"/>
        </w:rPr>
      </w:pPr>
      <w:r>
        <w:rPr>
          <w:color w:val="auto"/>
          <w:kern w:val="0"/>
          <w:highlight w:val="none"/>
        </w:rPr>
        <w:t>（3）本公司发生</w:t>
      </w:r>
      <w:r>
        <w:rPr>
          <w:color w:val="auto"/>
          <w:highlight w:val="none"/>
        </w:rPr>
        <w:t>环境风险物质</w:t>
      </w:r>
      <w:r>
        <w:rPr>
          <w:color w:val="auto"/>
          <w:kern w:val="0"/>
          <w:highlight w:val="none"/>
        </w:rPr>
        <w:t>泄漏，以及火灾等引发的伴生/次生污染物排放。</w:t>
      </w:r>
    </w:p>
    <w:p>
      <w:pPr>
        <w:pStyle w:val="6"/>
        <w:rPr>
          <w:color w:val="auto"/>
          <w:highlight w:val="none"/>
        </w:rPr>
      </w:pPr>
      <w:r>
        <w:rPr>
          <w:color w:val="auto"/>
          <w:highlight w:val="none"/>
        </w:rPr>
        <w:t>1.3.3 突发环境事件级别</w:t>
      </w:r>
    </w:p>
    <w:p>
      <w:pPr>
        <w:adjustRightInd w:val="0"/>
        <w:snapToGrid w:val="0"/>
        <w:spacing w:line="360" w:lineRule="auto"/>
        <w:ind w:firstLine="480" w:firstLineChars="200"/>
        <w:rPr>
          <w:color w:val="auto"/>
          <w:kern w:val="0"/>
          <w:highlight w:val="none"/>
        </w:rPr>
      </w:pPr>
      <w:r>
        <w:rPr>
          <w:color w:val="auto"/>
          <w:kern w:val="0"/>
          <w:highlight w:val="none"/>
        </w:rPr>
        <w:t>根据本公司突发环境事件的危害程度、影响范围等实际情况，将本公司的突发环境事件细分为三级，即：Ⅰ级事故（厂外级）、Ⅱ级事故（厂区级）、Ⅲ级事故（车间级）。</w:t>
      </w:r>
    </w:p>
    <w:p>
      <w:pPr>
        <w:adjustRightInd w:val="0"/>
        <w:snapToGrid w:val="0"/>
        <w:spacing w:line="360" w:lineRule="auto"/>
        <w:ind w:firstLine="480" w:firstLineChars="200"/>
        <w:rPr>
          <w:color w:val="auto"/>
          <w:kern w:val="0"/>
          <w:highlight w:val="none"/>
        </w:rPr>
      </w:pPr>
      <w:bookmarkStart w:id="34" w:name="_Toc273391310"/>
      <w:bookmarkStart w:id="35" w:name="_Toc28103189"/>
      <w:bookmarkStart w:id="36" w:name="_Toc266547494"/>
      <w:bookmarkStart w:id="37" w:name="_Toc273391634"/>
      <w:r>
        <w:rPr>
          <w:rFonts w:hAnsi="宋体"/>
          <w:color w:val="auto"/>
          <w:kern w:val="0"/>
          <w:highlight w:val="none"/>
        </w:rPr>
        <w:t>Ⅰ</w:t>
      </w:r>
      <w:r>
        <w:rPr>
          <w:color w:val="auto"/>
          <w:kern w:val="0"/>
          <w:highlight w:val="none"/>
        </w:rPr>
        <w:t>级：厂外级，事故超出了企业的范围，影响事故现场之外的周围地区。如</w:t>
      </w:r>
      <w:r>
        <w:rPr>
          <w:rFonts w:hint="eastAsia"/>
          <w:color w:val="auto"/>
          <w:highlight w:val="none"/>
          <w:lang w:val="en-US" w:eastAsia="zh-CN"/>
        </w:rPr>
        <w:t>镀铬起镀液</w:t>
      </w:r>
      <w:r>
        <w:rPr>
          <w:rFonts w:hint="eastAsia"/>
          <w:color w:val="auto"/>
          <w:highlight w:val="none"/>
        </w:rPr>
        <w:t>发生泄漏事故</w:t>
      </w:r>
      <w:r>
        <w:rPr>
          <w:color w:val="auto"/>
          <w:kern w:val="0"/>
          <w:highlight w:val="none"/>
        </w:rPr>
        <w:t>。</w:t>
      </w:r>
      <w:r>
        <w:rPr>
          <w:rFonts w:hint="eastAsia"/>
          <w:color w:val="auto"/>
          <w:kern w:val="0"/>
          <w:highlight w:val="none"/>
          <w:lang w:val="en-US" w:eastAsia="zh-CN"/>
        </w:rPr>
        <w:t>事故发生时，</w:t>
      </w:r>
      <w:r>
        <w:rPr>
          <w:color w:val="auto"/>
          <w:kern w:val="0"/>
          <w:highlight w:val="none"/>
        </w:rPr>
        <w:t>物料泄漏管控不及时，泄漏废液或消防废水流出厂区，进入外环境。</w:t>
      </w:r>
    </w:p>
    <w:p>
      <w:pPr>
        <w:adjustRightInd w:val="0"/>
        <w:snapToGrid w:val="0"/>
        <w:spacing w:line="360" w:lineRule="auto"/>
        <w:ind w:firstLine="480" w:firstLineChars="200"/>
        <w:rPr>
          <w:color w:val="auto"/>
          <w:kern w:val="0"/>
          <w:highlight w:val="none"/>
        </w:rPr>
      </w:pPr>
      <w:r>
        <w:rPr>
          <w:rFonts w:hAnsi="宋体"/>
          <w:color w:val="auto"/>
          <w:kern w:val="0"/>
          <w:highlight w:val="none"/>
        </w:rPr>
        <w:t>Ⅱ</w:t>
      </w:r>
      <w:r>
        <w:rPr>
          <w:color w:val="auto"/>
          <w:kern w:val="0"/>
          <w:highlight w:val="none"/>
        </w:rPr>
        <w:t>级：厂区级，事故限制在企业内的现场周边地区，影响到相邻的生产单元。如废水</w:t>
      </w:r>
      <w:r>
        <w:rPr>
          <w:rFonts w:hint="eastAsia"/>
          <w:color w:val="auto"/>
          <w:highlight w:val="none"/>
          <w:lang w:val="en-US" w:eastAsia="zh-CN"/>
        </w:rPr>
        <w:t>处理设施发生</w:t>
      </w:r>
      <w:r>
        <w:rPr>
          <w:color w:val="auto"/>
          <w:kern w:val="0"/>
          <w:highlight w:val="none"/>
        </w:rPr>
        <w:t>事</w:t>
      </w:r>
      <w:r>
        <w:rPr>
          <w:rFonts w:hint="eastAsia"/>
          <w:color w:val="auto"/>
          <w:kern w:val="0"/>
          <w:highlight w:val="none"/>
          <w:lang w:val="en-US" w:eastAsia="zh-CN"/>
        </w:rPr>
        <w:t>故</w:t>
      </w:r>
      <w:r>
        <w:rPr>
          <w:color w:val="auto"/>
          <w:kern w:val="0"/>
          <w:highlight w:val="none"/>
        </w:rPr>
        <w:t>，泄漏时导致的有毒有害物质影响范围较小，基本可控制在厂区内。</w:t>
      </w:r>
    </w:p>
    <w:p>
      <w:pPr>
        <w:adjustRightInd w:val="0"/>
        <w:snapToGrid w:val="0"/>
        <w:spacing w:line="360" w:lineRule="auto"/>
        <w:ind w:firstLine="480" w:firstLineChars="200"/>
        <w:rPr>
          <w:color w:val="auto"/>
          <w:kern w:val="0"/>
          <w:highlight w:val="none"/>
        </w:rPr>
      </w:pPr>
      <w:r>
        <w:rPr>
          <w:rFonts w:hAnsi="宋体"/>
          <w:color w:val="auto"/>
          <w:highlight w:val="none"/>
        </w:rPr>
        <w:t>Ⅲ</w:t>
      </w:r>
      <w:r>
        <w:rPr>
          <w:color w:val="auto"/>
          <w:highlight w:val="none"/>
        </w:rPr>
        <w:t>级：车间级，事故出现在企业的某个生产单元，影响到局部地区，但限制在单独的装置区域。如</w:t>
      </w:r>
      <w:r>
        <w:rPr>
          <w:rFonts w:hint="eastAsia"/>
          <w:color w:val="auto"/>
          <w:kern w:val="0"/>
          <w:highlight w:val="none"/>
        </w:rPr>
        <w:t>生产</w:t>
      </w:r>
      <w:r>
        <w:rPr>
          <w:color w:val="auto"/>
          <w:kern w:val="0"/>
          <w:highlight w:val="none"/>
        </w:rPr>
        <w:t>车间</w:t>
      </w:r>
      <w:r>
        <w:rPr>
          <w:rFonts w:hint="eastAsia"/>
          <w:color w:val="auto"/>
          <w:kern w:val="0"/>
          <w:highlight w:val="none"/>
          <w:lang w:val="en-US" w:eastAsia="zh-CN"/>
        </w:rPr>
        <w:t>电镀生产线槽液、危废仓库等</w:t>
      </w:r>
      <w:r>
        <w:rPr>
          <w:color w:val="auto"/>
          <w:kern w:val="0"/>
          <w:highlight w:val="none"/>
        </w:rPr>
        <w:t>发生泄漏事故。泄漏后在车间</w:t>
      </w:r>
      <w:r>
        <w:rPr>
          <w:rFonts w:hint="eastAsia"/>
          <w:color w:val="auto"/>
          <w:kern w:val="0"/>
          <w:highlight w:val="none"/>
          <w:lang w:eastAsia="zh-CN"/>
        </w:rPr>
        <w:t>、</w:t>
      </w:r>
      <w:r>
        <w:rPr>
          <w:rFonts w:hint="eastAsia"/>
          <w:color w:val="auto"/>
          <w:kern w:val="0"/>
          <w:highlight w:val="none"/>
          <w:lang w:val="en-US" w:eastAsia="zh-CN"/>
        </w:rPr>
        <w:t>危废仓库</w:t>
      </w:r>
      <w:r>
        <w:rPr>
          <w:color w:val="auto"/>
          <w:kern w:val="0"/>
          <w:highlight w:val="none"/>
        </w:rPr>
        <w:t>内，及时堵漏、收集，可控制在车间</w:t>
      </w:r>
      <w:r>
        <w:rPr>
          <w:rFonts w:hint="eastAsia"/>
          <w:color w:val="auto"/>
          <w:kern w:val="0"/>
          <w:highlight w:val="none"/>
          <w:lang w:val="en-US" w:eastAsia="zh-CN"/>
        </w:rPr>
        <w:t>危废仓库</w:t>
      </w:r>
      <w:r>
        <w:rPr>
          <w:color w:val="auto"/>
          <w:kern w:val="0"/>
          <w:highlight w:val="none"/>
        </w:rPr>
        <w:t>内。</w:t>
      </w:r>
    </w:p>
    <w:p>
      <w:pPr>
        <w:adjustRightInd w:val="0"/>
        <w:snapToGrid w:val="0"/>
        <w:spacing w:line="360" w:lineRule="auto"/>
        <w:ind w:firstLine="480" w:firstLineChars="200"/>
        <w:rPr>
          <w:color w:val="auto"/>
          <w:kern w:val="0"/>
          <w:highlight w:val="none"/>
        </w:rPr>
      </w:pPr>
      <w:r>
        <w:rPr>
          <w:color w:val="auto"/>
          <w:kern w:val="0"/>
          <w:highlight w:val="none"/>
        </w:rPr>
        <w:t>同时，根据《国家突发环境事件应急预案》分级标准，突发环境事件分为特别重大环境事件（I级）、重大环境事件（</w:t>
      </w:r>
      <w:r>
        <w:rPr>
          <w:rFonts w:hint="eastAsia" w:ascii="宋体" w:hAnsi="宋体" w:cs="宋体"/>
          <w:color w:val="auto"/>
          <w:kern w:val="0"/>
          <w:highlight w:val="none"/>
        </w:rPr>
        <w:t>Ⅱ</w:t>
      </w:r>
      <w:r>
        <w:rPr>
          <w:color w:val="auto"/>
          <w:kern w:val="0"/>
          <w:highlight w:val="none"/>
        </w:rPr>
        <w:t>级）、较大环境事件（</w:t>
      </w:r>
      <w:r>
        <w:rPr>
          <w:rFonts w:hint="eastAsia" w:ascii="宋体" w:hAnsi="宋体" w:cs="宋体"/>
          <w:color w:val="auto"/>
          <w:kern w:val="0"/>
          <w:highlight w:val="none"/>
        </w:rPr>
        <w:t>Ⅲ</w:t>
      </w:r>
      <w:r>
        <w:rPr>
          <w:color w:val="auto"/>
          <w:kern w:val="0"/>
          <w:highlight w:val="none"/>
        </w:rPr>
        <w:t>级）和一般环境事件（</w:t>
      </w:r>
      <w:r>
        <w:rPr>
          <w:rFonts w:hint="eastAsia" w:ascii="宋体" w:hAnsi="宋体" w:cs="宋体"/>
          <w:color w:val="auto"/>
          <w:kern w:val="0"/>
          <w:highlight w:val="none"/>
        </w:rPr>
        <w:t>Ⅳ</w:t>
      </w:r>
      <w:r>
        <w:rPr>
          <w:color w:val="auto"/>
          <w:kern w:val="0"/>
          <w:highlight w:val="none"/>
        </w:rPr>
        <w:t>级）四级。</w:t>
      </w:r>
    </w:p>
    <w:p>
      <w:pPr>
        <w:widowControl/>
        <w:snapToGrid w:val="0"/>
        <w:spacing w:line="360" w:lineRule="auto"/>
        <w:ind w:firstLine="480" w:firstLineChars="200"/>
        <w:jc w:val="left"/>
        <w:rPr>
          <w:color w:val="auto"/>
          <w:kern w:val="0"/>
          <w:highlight w:val="none"/>
        </w:rPr>
      </w:pPr>
      <w:r>
        <w:rPr>
          <w:color w:val="auto"/>
          <w:kern w:val="0"/>
          <w:highlight w:val="none"/>
        </w:rPr>
        <w:t>特别重大环境事件（I级）：凡符合下列情形之一的，为特别重大环境事件：</w:t>
      </w:r>
    </w:p>
    <w:p>
      <w:pPr>
        <w:widowControl/>
        <w:snapToGrid w:val="0"/>
        <w:spacing w:line="360" w:lineRule="auto"/>
        <w:ind w:firstLine="480" w:firstLineChars="200"/>
        <w:jc w:val="left"/>
        <w:rPr>
          <w:color w:val="auto"/>
          <w:kern w:val="0"/>
          <w:highlight w:val="none"/>
        </w:rPr>
      </w:pPr>
      <w:r>
        <w:rPr>
          <w:color w:val="auto"/>
          <w:kern w:val="0"/>
          <w:highlight w:val="none"/>
        </w:rPr>
        <w:t>a.发生30人以上死亡，或中毒（重伤）l00人以上；</w:t>
      </w:r>
    </w:p>
    <w:p>
      <w:pPr>
        <w:widowControl/>
        <w:snapToGrid w:val="0"/>
        <w:spacing w:line="360" w:lineRule="auto"/>
        <w:ind w:firstLine="480" w:firstLineChars="200"/>
        <w:jc w:val="left"/>
        <w:rPr>
          <w:color w:val="auto"/>
          <w:kern w:val="0"/>
          <w:highlight w:val="none"/>
        </w:rPr>
      </w:pPr>
      <w:r>
        <w:rPr>
          <w:color w:val="auto"/>
          <w:kern w:val="0"/>
          <w:highlight w:val="none"/>
        </w:rPr>
        <w:t>b.因环境事件需疏散、转移群众5万人以上，或直接经济损失1000万元以上；</w:t>
      </w:r>
    </w:p>
    <w:p>
      <w:pPr>
        <w:widowControl/>
        <w:snapToGrid w:val="0"/>
        <w:spacing w:line="360" w:lineRule="auto"/>
        <w:ind w:firstLine="480" w:firstLineChars="200"/>
        <w:jc w:val="left"/>
        <w:rPr>
          <w:color w:val="auto"/>
          <w:kern w:val="0"/>
          <w:highlight w:val="none"/>
        </w:rPr>
      </w:pPr>
      <w:r>
        <w:rPr>
          <w:color w:val="auto"/>
          <w:kern w:val="0"/>
          <w:highlight w:val="none"/>
        </w:rPr>
        <w:t>c.区域生态功能严重丧失或濒危物种生存环境遭到严重污染；</w:t>
      </w:r>
    </w:p>
    <w:p>
      <w:pPr>
        <w:widowControl/>
        <w:snapToGrid w:val="0"/>
        <w:spacing w:line="360" w:lineRule="auto"/>
        <w:ind w:firstLine="480" w:firstLineChars="200"/>
        <w:jc w:val="left"/>
        <w:rPr>
          <w:color w:val="auto"/>
          <w:kern w:val="0"/>
          <w:highlight w:val="none"/>
        </w:rPr>
      </w:pPr>
      <w:r>
        <w:rPr>
          <w:color w:val="auto"/>
          <w:kern w:val="0"/>
          <w:highlight w:val="none"/>
        </w:rPr>
        <w:t>d.因环境污染使当地正常的经济、社会活动受到严重影响；</w:t>
      </w:r>
    </w:p>
    <w:p>
      <w:pPr>
        <w:widowControl/>
        <w:snapToGrid w:val="0"/>
        <w:spacing w:line="360" w:lineRule="auto"/>
        <w:ind w:firstLine="480" w:firstLineChars="200"/>
        <w:jc w:val="left"/>
        <w:rPr>
          <w:color w:val="auto"/>
          <w:kern w:val="0"/>
          <w:highlight w:val="none"/>
        </w:rPr>
      </w:pPr>
      <w:r>
        <w:rPr>
          <w:color w:val="auto"/>
          <w:kern w:val="0"/>
          <w:highlight w:val="none"/>
        </w:rPr>
        <w:t>e.利用放射性物质进行人为破坏事件，或I、II类放射源失控造成大范围严重辐射污染后果，或者放射性同位素和射线装置失控导致3人以上(含3人)急性死亡</w:t>
      </w:r>
      <w:r>
        <w:rPr>
          <w:rFonts w:hint="eastAsia"/>
          <w:color w:val="auto"/>
          <w:kern w:val="0"/>
          <w:highlight w:val="none"/>
        </w:rPr>
        <w:t>；</w:t>
      </w:r>
    </w:p>
    <w:p>
      <w:pPr>
        <w:widowControl/>
        <w:snapToGrid w:val="0"/>
        <w:spacing w:line="360" w:lineRule="auto"/>
        <w:ind w:firstLine="480" w:firstLineChars="200"/>
        <w:jc w:val="left"/>
        <w:rPr>
          <w:color w:val="auto"/>
          <w:kern w:val="0"/>
          <w:highlight w:val="none"/>
        </w:rPr>
      </w:pPr>
      <w:r>
        <w:rPr>
          <w:color w:val="auto"/>
          <w:kern w:val="0"/>
          <w:highlight w:val="none"/>
        </w:rPr>
        <w:t>f.因环境污染造成重要城市主要水源地取水中断的污染事故；</w:t>
      </w:r>
    </w:p>
    <w:p>
      <w:pPr>
        <w:adjustRightInd w:val="0"/>
        <w:snapToGrid w:val="0"/>
        <w:spacing w:line="360" w:lineRule="auto"/>
        <w:ind w:firstLine="480" w:firstLineChars="200"/>
        <w:rPr>
          <w:color w:val="auto"/>
          <w:kern w:val="0"/>
          <w:highlight w:val="none"/>
        </w:rPr>
      </w:pPr>
      <w:r>
        <w:rPr>
          <w:color w:val="auto"/>
          <w:kern w:val="0"/>
          <w:highlight w:val="none"/>
        </w:rPr>
        <w:t>g.因危险化学品(含剧毒品)生产和贮运中发生泄漏，严重影响人民群众生产、生活的污染事故。</w:t>
      </w:r>
    </w:p>
    <w:p>
      <w:pPr>
        <w:widowControl/>
        <w:snapToGrid w:val="0"/>
        <w:spacing w:line="360" w:lineRule="auto"/>
        <w:ind w:firstLine="480" w:firstLineChars="200"/>
        <w:jc w:val="left"/>
        <w:rPr>
          <w:color w:val="auto"/>
          <w:kern w:val="0"/>
          <w:highlight w:val="none"/>
        </w:rPr>
      </w:pPr>
      <w:r>
        <w:rPr>
          <w:color w:val="auto"/>
          <w:kern w:val="0"/>
          <w:highlight w:val="none"/>
        </w:rPr>
        <w:t>重大环境事件（</w:t>
      </w:r>
      <w:r>
        <w:rPr>
          <w:rFonts w:hint="eastAsia" w:ascii="宋体" w:hAnsi="宋体" w:cs="宋体"/>
          <w:color w:val="auto"/>
          <w:kern w:val="0"/>
          <w:highlight w:val="none"/>
        </w:rPr>
        <w:t>Ⅱ</w:t>
      </w:r>
      <w:r>
        <w:rPr>
          <w:color w:val="auto"/>
          <w:kern w:val="0"/>
          <w:highlight w:val="none"/>
        </w:rPr>
        <w:t>级）：凡符合下列情形之一的，为重大环境事件：</w:t>
      </w:r>
    </w:p>
    <w:p>
      <w:pPr>
        <w:widowControl/>
        <w:snapToGrid w:val="0"/>
        <w:spacing w:line="360" w:lineRule="auto"/>
        <w:ind w:firstLine="480" w:firstLineChars="200"/>
        <w:jc w:val="left"/>
        <w:rPr>
          <w:color w:val="auto"/>
          <w:kern w:val="0"/>
          <w:highlight w:val="none"/>
        </w:rPr>
      </w:pPr>
      <w:r>
        <w:rPr>
          <w:color w:val="auto"/>
          <w:kern w:val="0"/>
          <w:highlight w:val="none"/>
        </w:rPr>
        <w:t>a.发生10人以上、30人以下死亡，或中毒（重伤）50人以上、100人以下；</w:t>
      </w:r>
    </w:p>
    <w:p>
      <w:pPr>
        <w:widowControl/>
        <w:snapToGrid w:val="0"/>
        <w:spacing w:line="360" w:lineRule="auto"/>
        <w:ind w:firstLine="480" w:firstLineChars="200"/>
        <w:jc w:val="left"/>
        <w:rPr>
          <w:color w:val="auto"/>
          <w:kern w:val="0"/>
          <w:highlight w:val="none"/>
        </w:rPr>
      </w:pPr>
      <w:r>
        <w:rPr>
          <w:color w:val="auto"/>
          <w:kern w:val="0"/>
          <w:highlight w:val="none"/>
        </w:rPr>
        <w:t>b.区域生态功能部分丧失或濒危物种生存环境受到污染；</w:t>
      </w:r>
    </w:p>
    <w:p>
      <w:pPr>
        <w:widowControl/>
        <w:snapToGrid w:val="0"/>
        <w:spacing w:line="360" w:lineRule="auto"/>
        <w:ind w:firstLine="480" w:firstLineChars="200"/>
        <w:jc w:val="left"/>
        <w:rPr>
          <w:color w:val="auto"/>
          <w:kern w:val="0"/>
          <w:highlight w:val="none"/>
        </w:rPr>
      </w:pPr>
      <w:r>
        <w:rPr>
          <w:color w:val="auto"/>
          <w:kern w:val="0"/>
          <w:highlight w:val="none"/>
        </w:rPr>
        <w:t>c.因环境污染使当地经济、社会活动受到较大影响，疏散转移群众1万人以上、5万人以下的；</w:t>
      </w:r>
    </w:p>
    <w:p>
      <w:pPr>
        <w:widowControl/>
        <w:snapToGrid w:val="0"/>
        <w:spacing w:line="360" w:lineRule="auto"/>
        <w:ind w:firstLine="480" w:firstLineChars="200"/>
        <w:jc w:val="left"/>
        <w:rPr>
          <w:color w:val="auto"/>
          <w:kern w:val="0"/>
          <w:highlight w:val="none"/>
        </w:rPr>
      </w:pPr>
      <w:r>
        <w:rPr>
          <w:color w:val="auto"/>
          <w:kern w:val="0"/>
          <w:highlight w:val="none"/>
        </w:rPr>
        <w:t>d.</w:t>
      </w:r>
      <w:r>
        <w:rPr>
          <w:rFonts w:hint="eastAsia" w:ascii="宋体" w:hAnsi="宋体" w:cs="宋体"/>
          <w:color w:val="auto"/>
          <w:kern w:val="0"/>
          <w:highlight w:val="none"/>
        </w:rPr>
        <w:t>Ⅰ</w:t>
      </w:r>
      <w:r>
        <w:rPr>
          <w:color w:val="auto"/>
          <w:kern w:val="0"/>
          <w:highlight w:val="none"/>
        </w:rPr>
        <w:t>、</w:t>
      </w:r>
      <w:r>
        <w:rPr>
          <w:rFonts w:hint="eastAsia" w:ascii="宋体" w:hAnsi="宋体" w:cs="宋体"/>
          <w:color w:val="auto"/>
          <w:kern w:val="0"/>
          <w:highlight w:val="none"/>
        </w:rPr>
        <w:t>Ⅱ</w:t>
      </w:r>
      <w:r>
        <w:rPr>
          <w:color w:val="auto"/>
          <w:kern w:val="0"/>
          <w:highlight w:val="none"/>
        </w:rPr>
        <w:t>类放射源丢失、被盗或失控，或者放射性同位素和射线装置失控导致2人以下（含2人）急性死亡或者10人以上（含10人）急性重度放射病、局部器官残疾；</w:t>
      </w:r>
    </w:p>
    <w:p>
      <w:pPr>
        <w:widowControl/>
        <w:snapToGrid w:val="0"/>
        <w:spacing w:line="360" w:lineRule="auto"/>
        <w:ind w:firstLine="480" w:firstLineChars="200"/>
        <w:jc w:val="left"/>
        <w:rPr>
          <w:color w:val="auto"/>
          <w:kern w:val="0"/>
          <w:highlight w:val="none"/>
        </w:rPr>
      </w:pPr>
      <w:r>
        <w:rPr>
          <w:color w:val="auto"/>
          <w:kern w:val="0"/>
          <w:highlight w:val="none"/>
        </w:rPr>
        <w:t>e.因环境污染造成重要河流、湖泊、水库及沿海水域大面积污染，或县级以上城镇水源地取水中断的污染事件。</w:t>
      </w:r>
    </w:p>
    <w:p>
      <w:pPr>
        <w:widowControl/>
        <w:snapToGrid w:val="0"/>
        <w:spacing w:line="360" w:lineRule="auto"/>
        <w:ind w:firstLine="480" w:firstLineChars="200"/>
        <w:jc w:val="left"/>
        <w:rPr>
          <w:color w:val="auto"/>
          <w:kern w:val="0"/>
          <w:highlight w:val="none"/>
        </w:rPr>
      </w:pPr>
      <w:r>
        <w:rPr>
          <w:color w:val="auto"/>
          <w:kern w:val="0"/>
          <w:highlight w:val="none"/>
        </w:rPr>
        <w:t>较大环境事件（</w:t>
      </w:r>
      <w:r>
        <w:rPr>
          <w:rFonts w:hint="eastAsia" w:ascii="宋体" w:hAnsi="宋体" w:cs="宋体"/>
          <w:color w:val="auto"/>
          <w:kern w:val="0"/>
          <w:highlight w:val="none"/>
        </w:rPr>
        <w:t>Ⅲ</w:t>
      </w:r>
      <w:r>
        <w:rPr>
          <w:color w:val="auto"/>
          <w:kern w:val="0"/>
          <w:highlight w:val="none"/>
        </w:rPr>
        <w:t>级）：凡符合下列情形之一的，为较大环境事件：</w:t>
      </w:r>
    </w:p>
    <w:p>
      <w:pPr>
        <w:widowControl/>
        <w:snapToGrid w:val="0"/>
        <w:spacing w:line="360" w:lineRule="auto"/>
        <w:ind w:firstLine="480" w:firstLineChars="200"/>
        <w:jc w:val="left"/>
        <w:rPr>
          <w:color w:val="auto"/>
          <w:kern w:val="0"/>
          <w:highlight w:val="none"/>
        </w:rPr>
      </w:pPr>
      <w:r>
        <w:rPr>
          <w:color w:val="auto"/>
          <w:kern w:val="0"/>
          <w:highlight w:val="none"/>
        </w:rPr>
        <w:t>a.发生3人以上、10人以下死亡，或中毒（重伤）50人以下；</w:t>
      </w:r>
    </w:p>
    <w:p>
      <w:pPr>
        <w:widowControl/>
        <w:snapToGrid w:val="0"/>
        <w:spacing w:line="360" w:lineRule="auto"/>
        <w:ind w:firstLine="480" w:firstLineChars="200"/>
        <w:jc w:val="left"/>
        <w:rPr>
          <w:color w:val="auto"/>
          <w:kern w:val="0"/>
          <w:highlight w:val="none"/>
        </w:rPr>
      </w:pPr>
      <w:r>
        <w:rPr>
          <w:color w:val="auto"/>
          <w:kern w:val="0"/>
          <w:highlight w:val="none"/>
        </w:rPr>
        <w:t>b.因环境污染造成跨地级行政区域纠纷，使当地经济、社会活动受到影响的；</w:t>
      </w:r>
    </w:p>
    <w:p>
      <w:pPr>
        <w:widowControl/>
        <w:snapToGrid w:val="0"/>
        <w:spacing w:line="360" w:lineRule="auto"/>
        <w:ind w:firstLine="480" w:firstLineChars="200"/>
        <w:jc w:val="left"/>
        <w:rPr>
          <w:color w:val="auto"/>
          <w:kern w:val="0"/>
          <w:highlight w:val="none"/>
        </w:rPr>
      </w:pPr>
      <w:r>
        <w:rPr>
          <w:color w:val="auto"/>
          <w:kern w:val="0"/>
          <w:highlight w:val="none"/>
        </w:rPr>
        <w:t>c.</w:t>
      </w:r>
      <w:r>
        <w:rPr>
          <w:rFonts w:hint="eastAsia" w:ascii="宋体" w:hAnsi="宋体" w:cs="宋体"/>
          <w:color w:val="auto"/>
          <w:kern w:val="0"/>
          <w:highlight w:val="none"/>
        </w:rPr>
        <w:t>Ⅲ</w:t>
      </w:r>
      <w:r>
        <w:rPr>
          <w:color w:val="auto"/>
          <w:kern w:val="0"/>
          <w:highlight w:val="none"/>
        </w:rPr>
        <w:t>类放射源丢失、被盗或失控，或者放射性同位素和射线装置失控导致9人以下（含9人）急性重度放射病、局部器官残疾。</w:t>
      </w:r>
    </w:p>
    <w:p>
      <w:pPr>
        <w:widowControl/>
        <w:snapToGrid w:val="0"/>
        <w:spacing w:line="360" w:lineRule="auto"/>
        <w:ind w:firstLine="480" w:firstLineChars="200"/>
        <w:jc w:val="left"/>
        <w:rPr>
          <w:color w:val="auto"/>
          <w:kern w:val="0"/>
          <w:highlight w:val="none"/>
        </w:rPr>
      </w:pPr>
      <w:r>
        <w:rPr>
          <w:color w:val="auto"/>
          <w:kern w:val="0"/>
          <w:highlight w:val="none"/>
        </w:rPr>
        <w:t>一般环境事件（</w:t>
      </w:r>
      <w:r>
        <w:rPr>
          <w:rFonts w:hint="eastAsia" w:ascii="宋体" w:hAnsi="宋体" w:cs="宋体"/>
          <w:color w:val="auto"/>
          <w:kern w:val="0"/>
          <w:highlight w:val="none"/>
        </w:rPr>
        <w:t>Ⅳ</w:t>
      </w:r>
      <w:r>
        <w:rPr>
          <w:color w:val="auto"/>
          <w:kern w:val="0"/>
          <w:highlight w:val="none"/>
        </w:rPr>
        <w:t>级）：凡符合下列情形之一的，为一般环境事件：</w:t>
      </w:r>
    </w:p>
    <w:p>
      <w:pPr>
        <w:widowControl/>
        <w:snapToGrid w:val="0"/>
        <w:spacing w:line="360" w:lineRule="auto"/>
        <w:ind w:firstLine="480" w:firstLineChars="200"/>
        <w:jc w:val="left"/>
        <w:rPr>
          <w:color w:val="auto"/>
          <w:kern w:val="0"/>
          <w:highlight w:val="none"/>
        </w:rPr>
      </w:pPr>
      <w:r>
        <w:rPr>
          <w:color w:val="auto"/>
          <w:kern w:val="0"/>
          <w:highlight w:val="none"/>
        </w:rPr>
        <w:t>a.发生3人以下死亡；</w:t>
      </w:r>
    </w:p>
    <w:p>
      <w:pPr>
        <w:widowControl/>
        <w:snapToGrid w:val="0"/>
        <w:spacing w:line="360" w:lineRule="auto"/>
        <w:ind w:firstLine="480" w:firstLineChars="200"/>
        <w:jc w:val="left"/>
        <w:rPr>
          <w:color w:val="auto"/>
          <w:kern w:val="0"/>
          <w:highlight w:val="none"/>
        </w:rPr>
      </w:pPr>
      <w:r>
        <w:rPr>
          <w:color w:val="auto"/>
          <w:kern w:val="0"/>
          <w:highlight w:val="none"/>
        </w:rPr>
        <w:t>b.因环境污染造成跨县级行政区域纠纷，引起一般群体性影响的；</w:t>
      </w:r>
    </w:p>
    <w:p>
      <w:pPr>
        <w:widowControl/>
        <w:snapToGrid w:val="0"/>
        <w:spacing w:line="360" w:lineRule="auto"/>
        <w:ind w:firstLine="480" w:firstLineChars="200"/>
        <w:jc w:val="left"/>
        <w:rPr>
          <w:color w:val="auto"/>
          <w:kern w:val="0"/>
          <w:highlight w:val="none"/>
        </w:rPr>
      </w:pPr>
      <w:r>
        <w:rPr>
          <w:color w:val="auto"/>
          <w:kern w:val="0"/>
          <w:highlight w:val="none"/>
        </w:rPr>
        <w:t>c.</w:t>
      </w:r>
      <w:r>
        <w:rPr>
          <w:rFonts w:hint="eastAsia" w:ascii="宋体" w:hAnsi="宋体" w:cs="宋体"/>
          <w:color w:val="auto"/>
          <w:kern w:val="0"/>
          <w:highlight w:val="none"/>
        </w:rPr>
        <w:t>Ⅳ</w:t>
      </w:r>
      <w:r>
        <w:rPr>
          <w:color w:val="auto"/>
          <w:kern w:val="0"/>
          <w:highlight w:val="none"/>
        </w:rPr>
        <w:t>、</w:t>
      </w:r>
      <w:r>
        <w:rPr>
          <w:rFonts w:hint="eastAsia" w:ascii="宋体" w:hAnsi="宋体" w:cs="宋体"/>
          <w:color w:val="auto"/>
          <w:kern w:val="0"/>
          <w:highlight w:val="none"/>
        </w:rPr>
        <w:t>Ⅴ</w:t>
      </w:r>
      <w:r>
        <w:rPr>
          <w:color w:val="auto"/>
          <w:kern w:val="0"/>
          <w:highlight w:val="none"/>
        </w:rPr>
        <w:t>类放射源丢失、被盗或失控，或者放射性同位素和射线装置失控导致人员受到超过年剂量限值的照射。</w:t>
      </w:r>
    </w:p>
    <w:p>
      <w:pPr>
        <w:adjustRightInd w:val="0"/>
        <w:snapToGrid w:val="0"/>
        <w:spacing w:line="360" w:lineRule="auto"/>
        <w:ind w:firstLine="480" w:firstLineChars="200"/>
        <w:rPr>
          <w:color w:val="auto"/>
          <w:sz w:val="24"/>
          <w:highlight w:val="none"/>
        </w:rPr>
      </w:pPr>
      <w:r>
        <w:rPr>
          <w:color w:val="auto"/>
          <w:highlight w:val="none"/>
        </w:rPr>
        <w:t>根据分析，确定本项目风险事故情形为</w:t>
      </w:r>
      <w:r>
        <w:rPr>
          <w:b/>
          <w:bCs/>
          <w:color w:val="auto"/>
          <w:highlight w:val="none"/>
        </w:rPr>
        <w:t>：</w:t>
      </w:r>
      <w:r>
        <w:rPr>
          <w:rFonts w:hint="eastAsia" w:ascii="Times New Roman" w:hAnsi="Times New Roman" w:eastAsia="宋体"/>
          <w:b/>
          <w:bCs/>
          <w:color w:val="auto"/>
          <w:sz w:val="24"/>
          <w:szCs w:val="24"/>
          <w:highlight w:val="none"/>
          <w:lang w:val="en-US" w:eastAsia="zh-CN"/>
        </w:rPr>
        <w:t>镀铬起镀液</w:t>
      </w:r>
      <w:r>
        <w:rPr>
          <w:rFonts w:hint="eastAsia" w:ascii="Times New Roman" w:hAnsi="Times New Roman" w:eastAsia="宋体"/>
          <w:b/>
          <w:bCs/>
          <w:color w:val="auto"/>
          <w:sz w:val="24"/>
          <w:szCs w:val="24"/>
          <w:highlight w:val="none"/>
        </w:rPr>
        <w:t>发生泄漏</w:t>
      </w:r>
      <w:r>
        <w:rPr>
          <w:rFonts w:hint="eastAsia" w:ascii="Times New Roman" w:hAnsi="Times New Roman" w:eastAsia="宋体"/>
          <w:b/>
          <w:bCs/>
          <w:color w:val="auto"/>
          <w:sz w:val="24"/>
          <w:szCs w:val="24"/>
          <w:highlight w:val="none"/>
          <w:lang w:val="en-US" w:eastAsia="zh-CN"/>
        </w:rPr>
        <w:t>造成</w:t>
      </w:r>
      <w:r>
        <w:rPr>
          <w:rFonts w:hint="eastAsia" w:ascii="Times New Roman" w:hAnsi="Times New Roman" w:eastAsia="宋体"/>
          <w:b/>
          <w:bCs/>
          <w:color w:val="auto"/>
          <w:sz w:val="24"/>
          <w:szCs w:val="24"/>
          <w:highlight w:val="none"/>
        </w:rPr>
        <w:t>的环境污染事故</w:t>
      </w:r>
      <w:r>
        <w:rPr>
          <w:rFonts w:hint="eastAsia" w:ascii="Times New Roman" w:hAnsi="Times New Roman" w:eastAsia="宋体"/>
          <w:b/>
          <w:bCs/>
          <w:color w:val="auto"/>
          <w:sz w:val="24"/>
          <w:szCs w:val="24"/>
          <w:highlight w:val="none"/>
          <w:lang w:val="en-US" w:eastAsia="zh-CN"/>
        </w:rPr>
        <w:t>以及废气处理设施故障造成</w:t>
      </w:r>
      <w:r>
        <w:rPr>
          <w:rFonts w:hint="eastAsia" w:ascii="Times New Roman" w:hAnsi="Times New Roman" w:eastAsia="宋体"/>
          <w:b/>
          <w:bCs/>
          <w:color w:val="auto"/>
          <w:sz w:val="24"/>
          <w:szCs w:val="24"/>
          <w:highlight w:val="none"/>
        </w:rPr>
        <w:t>的环境污染事故。</w:t>
      </w:r>
    </w:p>
    <w:p>
      <w:pPr>
        <w:pStyle w:val="10"/>
        <w:spacing w:after="0" w:line="360" w:lineRule="auto"/>
        <w:ind w:left="-45" w:leftChars="-19" w:firstLine="480" w:firstLineChars="200"/>
        <w:rPr>
          <w:rFonts w:hint="eastAsia"/>
          <w:color w:val="auto"/>
          <w:highlight w:val="none"/>
          <w:lang w:eastAsia="zh-CN"/>
        </w:rPr>
      </w:pPr>
      <w:r>
        <w:rPr>
          <w:color w:val="auto"/>
          <w:highlight w:val="none"/>
        </w:rPr>
        <w:t>通过计算机程序模拟预测计算，得到代表性事故后果影响值。预测结果表明：</w:t>
      </w:r>
      <w:r>
        <w:rPr>
          <w:rFonts w:hint="eastAsia"/>
          <w:color w:val="auto"/>
          <w:highlight w:val="none"/>
        </w:rPr>
        <w:t>在事故排放状态下，各污染物的最大落地浓度</w:t>
      </w:r>
      <w:r>
        <w:rPr>
          <w:rFonts w:hint="eastAsia"/>
          <w:color w:val="auto"/>
          <w:highlight w:val="none"/>
          <w:lang w:val="en-US" w:eastAsia="zh-CN"/>
        </w:rPr>
        <w:t>均未超过</w:t>
      </w:r>
      <w:r>
        <w:rPr>
          <w:color w:val="auto"/>
          <w:highlight w:val="none"/>
        </w:rPr>
        <w:t>毒性终点浓度</w:t>
      </w:r>
      <w:r>
        <w:rPr>
          <w:rFonts w:hint="eastAsia"/>
          <w:color w:val="auto"/>
          <w:highlight w:val="none"/>
          <w:lang w:eastAsia="zh-CN"/>
        </w:rPr>
        <w:t>。</w:t>
      </w:r>
    </w:p>
    <w:p>
      <w:pPr>
        <w:pStyle w:val="29"/>
        <w:keepNext w:val="0"/>
        <w:keepLines w:val="0"/>
        <w:suppressLineNumbers w:val="0"/>
        <w:spacing w:before="0" w:beforeAutospacing="0" w:after="0" w:afterAutospacing="0"/>
        <w:ind w:left="0" w:right="0"/>
        <w:rPr>
          <w:color w:val="auto"/>
          <w:highlight w:val="none"/>
        </w:rPr>
      </w:pPr>
      <w:r>
        <w:rPr>
          <w:rFonts w:hint="eastAsia" w:ascii="Times New Roman" w:hAnsi="Times New Roman" w:eastAsia="宋体"/>
          <w:bCs w:val="0"/>
          <w:color w:val="auto"/>
          <w:highlight w:val="none"/>
        </w:rPr>
        <w:t>在事故状况下，</w:t>
      </w:r>
      <w:r>
        <w:rPr>
          <w:rFonts w:hint="eastAsia" w:ascii="Times New Roman" w:hAnsi="Times New Roman" w:eastAsia="宋体"/>
          <w:bCs w:val="0"/>
          <w:color w:val="auto"/>
          <w:highlight w:val="none"/>
          <w:lang w:eastAsia="zh-CN"/>
        </w:rPr>
        <w:t>生产车间</w:t>
      </w:r>
      <w:r>
        <w:rPr>
          <w:rFonts w:hint="eastAsia" w:ascii="Times New Roman" w:hAnsi="Times New Roman" w:eastAsia="宋体"/>
          <w:bCs w:val="0"/>
          <w:color w:val="auto"/>
          <w:highlight w:val="none"/>
          <w:lang w:val="en-US" w:eastAsia="zh-CN"/>
        </w:rPr>
        <w:t>电镀区槽体</w:t>
      </w:r>
      <w:r>
        <w:rPr>
          <w:rFonts w:hint="eastAsia" w:ascii="Times New Roman" w:hAnsi="Times New Roman" w:eastAsia="宋体"/>
          <w:bCs w:val="0"/>
          <w:color w:val="auto"/>
          <w:highlight w:val="none"/>
        </w:rPr>
        <w:t>发生意外破损连续渗漏的情况下，污染物随</w:t>
      </w:r>
      <w:r>
        <w:rPr>
          <w:rFonts w:hint="default" w:ascii="Times New Roman" w:hAnsi="Times New Roman" w:eastAsia="宋体"/>
          <w:bCs w:val="0"/>
          <w:color w:val="auto"/>
          <w:highlight w:val="none"/>
        </w:rPr>
        <w:t>时间不断向</w:t>
      </w:r>
      <w:r>
        <w:rPr>
          <w:rFonts w:hint="eastAsia" w:ascii="Times New Roman" w:hAnsi="Times New Roman" w:eastAsia="宋体"/>
          <w:bCs w:val="0"/>
          <w:color w:val="auto"/>
          <w:highlight w:val="none"/>
        </w:rPr>
        <w:t>下部</w:t>
      </w:r>
      <w:r>
        <w:rPr>
          <w:rFonts w:hint="default" w:ascii="Times New Roman" w:hAnsi="Times New Roman" w:eastAsia="宋体"/>
          <w:bCs w:val="0"/>
          <w:color w:val="auto"/>
          <w:highlight w:val="none"/>
        </w:rPr>
        <w:t>迁移扩散</w:t>
      </w:r>
      <w:r>
        <w:rPr>
          <w:rFonts w:hint="eastAsia" w:ascii="Times New Roman" w:hAnsi="Times New Roman" w:eastAsia="宋体"/>
          <w:bCs w:val="0"/>
          <w:color w:val="auto"/>
          <w:highlight w:val="none"/>
        </w:rPr>
        <w:t>。</w:t>
      </w:r>
      <w:r>
        <w:rPr>
          <w:rFonts w:hint="eastAsia" w:ascii="Times New Roman" w:hAnsi="Times New Roman" w:eastAsia="宋体"/>
          <w:bCs w:val="0"/>
          <w:color w:val="auto"/>
          <w:highlight w:val="none"/>
          <w:lang w:val="en-US" w:eastAsia="zh-CN"/>
        </w:rPr>
        <w:t>槽液</w:t>
      </w:r>
      <w:r>
        <w:rPr>
          <w:rFonts w:hint="default" w:ascii="Times New Roman" w:hAnsi="Times New Roman" w:eastAsia="宋体"/>
          <w:bCs w:val="0"/>
          <w:color w:val="auto"/>
          <w:highlight w:val="none"/>
        </w:rPr>
        <w:t>（</w:t>
      </w:r>
      <w:r>
        <w:rPr>
          <w:rFonts w:hint="eastAsia" w:ascii="Times New Roman" w:hAnsi="Times New Roman" w:eastAsia="宋体"/>
          <w:bCs w:val="0"/>
          <w:color w:val="auto"/>
          <w:highlight w:val="none"/>
          <w:lang w:eastAsia="zh-CN"/>
        </w:rPr>
        <w:t>以六价铬计</w:t>
      </w:r>
      <w:r>
        <w:rPr>
          <w:rFonts w:hint="default" w:ascii="Times New Roman" w:hAnsi="Times New Roman" w:eastAsia="宋体"/>
          <w:bCs w:val="0"/>
          <w:color w:val="auto"/>
          <w:highlight w:val="none"/>
        </w:rPr>
        <w:t>）渗漏100d后，污染深度</w:t>
      </w:r>
      <w:r>
        <w:rPr>
          <w:rFonts w:hint="eastAsia" w:ascii="Times New Roman" w:hAnsi="Times New Roman" w:eastAsia="宋体"/>
          <w:bCs w:val="0"/>
          <w:color w:val="auto"/>
          <w:highlight w:val="none"/>
          <w:lang w:eastAsia="zh-CN"/>
        </w:rPr>
        <w:t>约</w:t>
      </w:r>
      <w:r>
        <w:rPr>
          <w:rFonts w:hint="default" w:ascii="Times New Roman" w:hAnsi="Times New Roman" w:eastAsia="宋体"/>
          <w:bCs w:val="0"/>
          <w:color w:val="auto"/>
          <w:highlight w:val="none"/>
        </w:rPr>
        <w:t>为</w:t>
      </w:r>
      <w:r>
        <w:rPr>
          <w:rFonts w:hint="eastAsia" w:ascii="Times New Roman" w:hAnsi="Times New Roman" w:eastAsia="宋体"/>
          <w:bCs w:val="0"/>
          <w:color w:val="auto"/>
          <w:highlight w:val="none"/>
        </w:rPr>
        <w:t>0.</w:t>
      </w:r>
      <w:r>
        <w:rPr>
          <w:rFonts w:hint="eastAsia" w:ascii="Times New Roman" w:hAnsi="Times New Roman" w:eastAsia="宋体"/>
          <w:bCs w:val="0"/>
          <w:color w:val="auto"/>
          <w:highlight w:val="none"/>
          <w:lang w:val="en-US" w:eastAsia="zh-CN"/>
        </w:rPr>
        <w:t>1</w:t>
      </w:r>
      <w:r>
        <w:rPr>
          <w:rFonts w:hint="default" w:ascii="Times New Roman" w:hAnsi="Times New Roman" w:eastAsia="宋体"/>
          <w:bCs w:val="0"/>
          <w:color w:val="auto"/>
          <w:highlight w:val="none"/>
        </w:rPr>
        <w:t>m</w:t>
      </w:r>
      <w:r>
        <w:rPr>
          <w:rFonts w:hint="eastAsia" w:ascii="Times New Roman" w:hAnsi="Times New Roman" w:eastAsia="宋体"/>
          <w:bCs w:val="0"/>
          <w:color w:val="auto"/>
          <w:highlight w:val="none"/>
        </w:rPr>
        <w:t>；</w:t>
      </w:r>
      <w:r>
        <w:rPr>
          <w:rFonts w:hint="eastAsia" w:ascii="Times New Roman" w:hAnsi="Times New Roman" w:eastAsia="宋体"/>
          <w:bCs w:val="0"/>
          <w:color w:val="auto"/>
          <w:highlight w:val="none"/>
          <w:lang w:eastAsia="zh-CN"/>
        </w:rPr>
        <w:t>生产废水</w:t>
      </w:r>
      <w:r>
        <w:rPr>
          <w:rFonts w:hint="default" w:ascii="Times New Roman" w:hAnsi="Times New Roman" w:eastAsia="宋体"/>
          <w:bCs w:val="0"/>
          <w:color w:val="auto"/>
          <w:highlight w:val="none"/>
        </w:rPr>
        <w:t>（</w:t>
      </w:r>
      <w:r>
        <w:rPr>
          <w:rFonts w:hint="eastAsia" w:ascii="Times New Roman" w:hAnsi="Times New Roman" w:eastAsia="宋体"/>
          <w:bCs w:val="0"/>
          <w:color w:val="auto"/>
          <w:highlight w:val="none"/>
          <w:lang w:eastAsia="zh-CN"/>
        </w:rPr>
        <w:t>以六价铬计</w:t>
      </w:r>
      <w:r>
        <w:rPr>
          <w:rFonts w:hint="default" w:ascii="Times New Roman" w:hAnsi="Times New Roman" w:eastAsia="宋体"/>
          <w:bCs w:val="0"/>
          <w:color w:val="auto"/>
          <w:highlight w:val="none"/>
        </w:rPr>
        <w:t>）渗漏</w:t>
      </w:r>
      <w:r>
        <w:rPr>
          <w:rFonts w:hint="eastAsia" w:ascii="Times New Roman" w:hAnsi="Times New Roman" w:eastAsia="宋体"/>
          <w:bCs w:val="0"/>
          <w:color w:val="auto"/>
          <w:highlight w:val="none"/>
        </w:rPr>
        <w:t>1年</w:t>
      </w:r>
      <w:r>
        <w:rPr>
          <w:rFonts w:hint="default" w:ascii="Times New Roman" w:hAnsi="Times New Roman" w:eastAsia="宋体"/>
          <w:bCs w:val="0"/>
          <w:color w:val="auto"/>
          <w:highlight w:val="none"/>
        </w:rPr>
        <w:t>后，污染深度为</w:t>
      </w:r>
      <w:r>
        <w:rPr>
          <w:rFonts w:hint="eastAsia" w:ascii="Times New Roman" w:hAnsi="Times New Roman" w:eastAsia="宋体"/>
          <w:bCs w:val="0"/>
          <w:color w:val="auto"/>
          <w:highlight w:val="none"/>
          <w:lang w:val="en-US" w:eastAsia="zh-CN"/>
        </w:rPr>
        <w:t>0.2</w:t>
      </w:r>
      <w:r>
        <w:rPr>
          <w:rFonts w:hint="default" w:ascii="Times New Roman" w:hAnsi="Times New Roman" w:eastAsia="宋体"/>
          <w:bCs w:val="0"/>
          <w:color w:val="auto"/>
          <w:highlight w:val="none"/>
        </w:rPr>
        <w:t>m；</w:t>
      </w:r>
      <w:r>
        <w:rPr>
          <w:rFonts w:hint="eastAsia" w:ascii="Times New Roman" w:hAnsi="Times New Roman" w:eastAsia="宋体"/>
          <w:bCs w:val="0"/>
          <w:color w:val="auto"/>
          <w:highlight w:val="none"/>
          <w:lang w:val="en-US" w:eastAsia="zh-CN"/>
        </w:rPr>
        <w:t>槽液</w:t>
      </w:r>
      <w:r>
        <w:rPr>
          <w:rFonts w:hint="default" w:ascii="Times New Roman" w:hAnsi="Times New Roman" w:eastAsia="宋体"/>
          <w:bCs w:val="0"/>
          <w:color w:val="auto"/>
          <w:highlight w:val="none"/>
        </w:rPr>
        <w:t>（</w:t>
      </w:r>
      <w:r>
        <w:rPr>
          <w:rFonts w:hint="eastAsia" w:ascii="Times New Roman" w:hAnsi="Times New Roman" w:eastAsia="宋体"/>
          <w:bCs w:val="0"/>
          <w:color w:val="auto"/>
          <w:highlight w:val="none"/>
          <w:lang w:eastAsia="zh-CN"/>
        </w:rPr>
        <w:t>以六价铬计</w:t>
      </w:r>
      <w:r>
        <w:rPr>
          <w:rFonts w:hint="default" w:ascii="Times New Roman" w:hAnsi="Times New Roman" w:eastAsia="宋体"/>
          <w:bCs w:val="0"/>
          <w:color w:val="auto"/>
          <w:highlight w:val="none"/>
        </w:rPr>
        <w:t>）渗漏5a后，污染深度为</w:t>
      </w:r>
      <w:r>
        <w:rPr>
          <w:rFonts w:hint="eastAsia" w:ascii="Times New Roman" w:hAnsi="Times New Roman" w:eastAsia="宋体"/>
          <w:bCs w:val="0"/>
          <w:color w:val="auto"/>
          <w:highlight w:val="none"/>
          <w:lang w:val="en-US" w:eastAsia="zh-CN"/>
        </w:rPr>
        <w:t>2.0</w:t>
      </w:r>
      <w:r>
        <w:rPr>
          <w:rFonts w:hint="default" w:ascii="Times New Roman" w:hAnsi="Times New Roman" w:eastAsia="宋体"/>
          <w:bCs w:val="0"/>
          <w:color w:val="auto"/>
          <w:highlight w:val="none"/>
        </w:rPr>
        <w:t>m</w:t>
      </w:r>
      <w:r>
        <w:rPr>
          <w:rFonts w:hint="eastAsia" w:ascii="Times New Roman" w:hAnsi="Times New Roman" w:eastAsia="宋体"/>
          <w:bCs w:val="0"/>
          <w:color w:val="auto"/>
          <w:highlight w:val="none"/>
        </w:rPr>
        <w:t>；</w:t>
      </w:r>
      <w:r>
        <w:rPr>
          <w:rFonts w:hint="eastAsia" w:ascii="Times New Roman" w:hAnsi="Times New Roman" w:eastAsia="宋体"/>
          <w:bCs w:val="0"/>
          <w:color w:val="auto"/>
          <w:highlight w:val="none"/>
          <w:lang w:val="en-US" w:eastAsia="zh-CN"/>
        </w:rPr>
        <w:t>槽液</w:t>
      </w:r>
      <w:r>
        <w:rPr>
          <w:rFonts w:hint="default" w:ascii="Times New Roman" w:hAnsi="Times New Roman" w:eastAsia="宋体"/>
          <w:bCs w:val="0"/>
          <w:color w:val="auto"/>
          <w:highlight w:val="none"/>
        </w:rPr>
        <w:t>（</w:t>
      </w:r>
      <w:r>
        <w:rPr>
          <w:rFonts w:hint="eastAsia" w:ascii="Times New Roman" w:hAnsi="Times New Roman" w:eastAsia="宋体"/>
          <w:bCs w:val="0"/>
          <w:color w:val="auto"/>
          <w:highlight w:val="none"/>
          <w:lang w:eastAsia="zh-CN"/>
        </w:rPr>
        <w:t>以六价铬计</w:t>
      </w:r>
      <w:r>
        <w:rPr>
          <w:rFonts w:hint="default" w:ascii="Times New Roman" w:hAnsi="Times New Roman" w:eastAsia="宋体"/>
          <w:bCs w:val="0"/>
          <w:color w:val="auto"/>
          <w:highlight w:val="none"/>
        </w:rPr>
        <w:t>），土壤层均已污染</w:t>
      </w:r>
      <w:r>
        <w:rPr>
          <w:rFonts w:hint="eastAsia" w:ascii="Times New Roman" w:hAnsi="Times New Roman" w:eastAsia="宋体"/>
          <w:bCs w:val="0"/>
          <w:color w:val="auto"/>
          <w:highlight w:val="none"/>
        </w:rPr>
        <w:t>，</w:t>
      </w:r>
      <w:r>
        <w:rPr>
          <w:rFonts w:hint="default" w:ascii="Times New Roman" w:hAnsi="Times New Roman" w:eastAsia="宋体"/>
          <w:bCs w:val="0"/>
          <w:color w:val="auto"/>
          <w:highlight w:val="none"/>
        </w:rPr>
        <w:t>污染深度为</w:t>
      </w:r>
      <w:r>
        <w:rPr>
          <w:rFonts w:hint="eastAsia" w:ascii="Times New Roman" w:hAnsi="Times New Roman" w:eastAsia="宋体"/>
          <w:bCs w:val="0"/>
          <w:color w:val="auto"/>
          <w:highlight w:val="none"/>
          <w:lang w:val="en-US" w:eastAsia="zh-CN"/>
        </w:rPr>
        <w:t>4.0</w:t>
      </w:r>
      <w:r>
        <w:rPr>
          <w:rFonts w:hint="default" w:ascii="Times New Roman" w:hAnsi="Times New Roman" w:eastAsia="宋体"/>
          <w:bCs w:val="0"/>
          <w:color w:val="auto"/>
          <w:highlight w:val="none"/>
        </w:rPr>
        <w:t>m</w:t>
      </w:r>
      <w:r>
        <w:rPr>
          <w:rFonts w:hint="eastAsia" w:ascii="Times New Roman" w:hAnsi="Times New Roman" w:eastAsia="宋体"/>
          <w:bCs w:val="0"/>
          <w:color w:val="auto"/>
          <w:highlight w:val="none"/>
        </w:rPr>
        <w:t>。</w:t>
      </w:r>
      <w:r>
        <w:rPr>
          <w:rFonts w:hint="eastAsia"/>
          <w:color w:val="auto"/>
          <w:highlight w:val="none"/>
        </w:rPr>
        <w:t>公司发生废水事故排放时，</w:t>
      </w:r>
      <w:r>
        <w:rPr>
          <w:rFonts w:hint="eastAsia" w:ascii="Times New Roman" w:hAnsi="Times New Roman" w:eastAsia="宋体"/>
          <w:bCs w:val="0"/>
          <w:color w:val="auto"/>
          <w:highlight w:val="none"/>
          <w:lang w:eastAsia="zh-CN"/>
        </w:rPr>
        <w:t>六价铬</w:t>
      </w:r>
      <w:r>
        <w:rPr>
          <w:rFonts w:hint="eastAsia"/>
          <w:color w:val="auto"/>
          <w:highlight w:val="none"/>
        </w:rPr>
        <w:t>对下游影响距离约为1</w:t>
      </w:r>
      <w:r>
        <w:rPr>
          <w:rFonts w:hint="eastAsia"/>
          <w:color w:val="auto"/>
          <w:highlight w:val="none"/>
          <w:lang w:val="en-US" w:eastAsia="zh-CN"/>
        </w:rPr>
        <w:t>40</w:t>
      </w:r>
      <w:r>
        <w:rPr>
          <w:rFonts w:hint="eastAsia"/>
          <w:color w:val="auto"/>
          <w:highlight w:val="none"/>
        </w:rPr>
        <w:t>0米。</w:t>
      </w:r>
      <w:r>
        <w:rPr>
          <w:rFonts w:hint="eastAsia"/>
          <w:color w:val="auto"/>
          <w:kern w:val="0"/>
          <w:highlight w:val="none"/>
        </w:rPr>
        <w:t>根据《国家突发环境事件应急预案》分级标准，公司Ⅰ级事故（厂外级）至少达到国家级一般突发环境事件，视情况可能导则事件进一步升级，实际发生时根据事故影响结果分级。</w:t>
      </w:r>
    </w:p>
    <w:p>
      <w:pPr>
        <w:pStyle w:val="5"/>
        <w:outlineLvl w:val="1"/>
        <w:rPr>
          <w:rFonts w:ascii="Times New Roman" w:hAnsi="Times New Roman" w:eastAsia="宋体" w:cs="Times New Roman"/>
          <w:color w:val="auto"/>
          <w:highlight w:val="none"/>
        </w:rPr>
      </w:pPr>
      <w:bookmarkStart w:id="38" w:name="_Toc20596"/>
      <w:r>
        <w:rPr>
          <w:rFonts w:ascii="Times New Roman" w:hAnsi="Times New Roman" w:eastAsia="宋体" w:cs="Times New Roman"/>
          <w:color w:val="auto"/>
          <w:highlight w:val="none"/>
        </w:rPr>
        <w:t>1.4 预案体系</w:t>
      </w:r>
      <w:bookmarkEnd w:id="34"/>
      <w:bookmarkEnd w:id="35"/>
      <w:bookmarkEnd w:id="36"/>
      <w:bookmarkEnd w:id="37"/>
      <w:bookmarkEnd w:id="38"/>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（1）预案体系</w:t>
      </w:r>
    </w:p>
    <w:p>
      <w:pPr>
        <w:keepNext w:val="0"/>
        <w:keepLines w:val="0"/>
        <w:pageBreakBefore w:val="0"/>
        <w:kinsoku/>
        <w:wordWrap/>
        <w:overflowPunct/>
        <w:topLinePunct w:val="0"/>
        <w:autoSpaceDE/>
        <w:autoSpaceDN/>
        <w:bidi w:val="0"/>
        <w:snapToGrid/>
        <w:spacing w:line="360" w:lineRule="auto"/>
        <w:ind w:firstLine="560"/>
        <w:textAlignment w:val="auto"/>
        <w:rPr>
          <w:rFonts w:hint="eastAsia" w:ascii="宋体" w:hAnsi="宋体" w:eastAsia="宋体" w:cs="Times New Roman"/>
          <w:bCs/>
          <w:color w:val="auto"/>
          <w:kern w:val="0"/>
          <w:sz w:val="24"/>
          <w:szCs w:val="24"/>
          <w:highlight w:val="none"/>
          <w:lang w:val="en-US" w:eastAsia="zh-CN" w:bidi="ar-SA"/>
        </w:rPr>
      </w:pPr>
      <w:r>
        <w:rPr>
          <w:rFonts w:hint="eastAsia" w:ascii="宋体" w:hAnsi="宋体" w:eastAsia="宋体" w:cs="Times New Roman"/>
          <w:bCs/>
          <w:color w:val="auto"/>
          <w:kern w:val="0"/>
          <w:sz w:val="24"/>
          <w:szCs w:val="24"/>
          <w:highlight w:val="none"/>
          <w:lang w:val="en-US" w:eastAsia="zh-CN" w:bidi="ar-SA"/>
        </w:rPr>
        <w:t>本公司应急预案体系根据公司实际情况制定本公司突发环境事件综合应急预案、专项应急预案和现场处置预案。综合预案主要体现战略性，专项预案体现战术性，现场处置预案体现操作性。其中综合预案预案由总则、组织机构及职责、监控预警、信息报告、环境应急监测、环境应急响应、应急终止、事后恢复、保障措施、预案管理、附则、附件和附图等十三个章节构成。</w:t>
      </w:r>
    </w:p>
    <w:p>
      <w:pPr>
        <w:adjustRightInd w:val="0"/>
        <w:spacing w:line="360" w:lineRule="auto"/>
        <w:ind w:firstLine="480" w:firstLineChars="200"/>
        <w:rPr>
          <w:bCs/>
          <w:color w:val="auto"/>
          <w:sz w:val="24"/>
          <w:szCs w:val="24"/>
          <w:highlight w:val="none"/>
        </w:rPr>
      </w:pPr>
      <w:r>
        <w:rPr>
          <w:color w:val="auto"/>
          <w:sz w:val="24"/>
          <w:szCs w:val="24"/>
          <w:highlight w:val="none"/>
        </w:rPr>
        <w:t>企业根据自身的风险源分布情况，针对</w:t>
      </w:r>
      <w:r>
        <w:rPr>
          <w:rFonts w:hint="eastAsia"/>
          <w:color w:val="auto"/>
          <w:sz w:val="24"/>
          <w:szCs w:val="24"/>
          <w:highlight w:val="none"/>
          <w:lang w:val="en-US" w:eastAsia="zh-CN"/>
        </w:rPr>
        <w:t>生产车间、危废仓库、酸性库</w:t>
      </w:r>
      <w:r>
        <w:rPr>
          <w:color w:val="auto"/>
          <w:sz w:val="24"/>
          <w:szCs w:val="24"/>
          <w:highlight w:val="none"/>
        </w:rPr>
        <w:t>等重点区域发生泄漏、火灾事故编制专项应急预案。专项应急预案是综合应急预案的组成部分，制定明确的救援程序和具体的应急救援措施，并与总体应急预案进行衔接。同时，将根据实际需要和情势变化，适时进行修订。应急预案的制定、修订程序根据相关部门规定执行。</w:t>
      </w:r>
      <w:r>
        <w:rPr>
          <w:bCs/>
          <w:color w:val="auto"/>
          <w:sz w:val="24"/>
          <w:szCs w:val="24"/>
          <w:highlight w:val="none"/>
        </w:rPr>
        <w:t>突发</w:t>
      </w:r>
      <w:r>
        <w:rPr>
          <w:color w:val="auto"/>
          <w:kern w:val="0"/>
          <w:sz w:val="24"/>
          <w:szCs w:val="24"/>
          <w:highlight w:val="none"/>
        </w:rPr>
        <w:t>环境污染</w:t>
      </w:r>
      <w:r>
        <w:rPr>
          <w:bCs/>
          <w:color w:val="auto"/>
          <w:sz w:val="24"/>
          <w:szCs w:val="24"/>
          <w:highlight w:val="none"/>
        </w:rPr>
        <w:t>事故应急组织体系基本框图如图1.4-1所示。</w:t>
      </w:r>
    </w:p>
    <w:p>
      <w:pPr>
        <w:keepNext w:val="0"/>
        <w:keepLines w:val="0"/>
        <w:pageBreakBefore w:val="0"/>
        <w:kinsoku/>
        <w:wordWrap/>
        <w:overflowPunct/>
        <w:topLinePunct w:val="0"/>
        <w:autoSpaceDE/>
        <w:autoSpaceDN/>
        <w:bidi w:val="0"/>
        <w:adjustRightInd w:val="0"/>
        <w:snapToGrid/>
        <w:spacing w:line="360" w:lineRule="auto"/>
        <w:textAlignment w:val="auto"/>
        <w:rPr>
          <w:rFonts w:hint="eastAsia"/>
          <w:b/>
          <w:bCs/>
          <w:color w:val="auto"/>
          <w:sz w:val="24"/>
          <w:szCs w:val="24"/>
          <w:highlight w:val="none"/>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docGrid w:type="linesAndChars" w:linePitch="326" w:charSpace="0"/>
        </w:sectPr>
      </w:pPr>
      <w:r>
        <w:rPr>
          <w:rFonts w:hint="eastAsia"/>
          <w:b/>
          <w:bCs/>
          <w:color w:val="auto"/>
          <w:sz w:val="24"/>
          <w:szCs w:val="24"/>
          <w:highlight w:val="none"/>
        </w:rPr>
        <w:t xml:space="preserve">     </w:t>
      </w:r>
    </w:p>
    <w:p>
      <w:pPr>
        <w:adjustRightInd w:val="0"/>
        <w:snapToGrid w:val="0"/>
        <w:spacing w:line="360" w:lineRule="auto"/>
        <w:ind w:firstLine="480" w:firstLineChars="200"/>
        <w:jc w:val="center"/>
        <w:rPr>
          <w:bCs/>
          <w:color w:val="auto"/>
          <w:highlight w:val="none"/>
        </w:rPr>
      </w:pPr>
      <w:r>
        <w:rPr>
          <w:bCs/>
          <w:color w:val="auto"/>
          <w:highlight w:val="none"/>
        </w:rPr>
        <mc:AlternateContent>
          <mc:Choice Requires="wpg">
            <w:drawing>
              <wp:anchor distT="0" distB="0" distL="114300" distR="114300" simplePos="0" relativeHeight="251663360" behindDoc="0" locked="0" layoutInCell="1" allowOverlap="1">
                <wp:simplePos x="0" y="0"/>
                <wp:positionH relativeFrom="column">
                  <wp:posOffset>579755</wp:posOffset>
                </wp:positionH>
                <wp:positionV relativeFrom="paragraph">
                  <wp:posOffset>240665</wp:posOffset>
                </wp:positionV>
                <wp:extent cx="7035800" cy="9212580"/>
                <wp:effectExtent l="0" t="4445" r="12700" b="22225"/>
                <wp:wrapNone/>
                <wp:docPr id="231" name="组合 231"/>
                <wp:cNvGraphicFramePr/>
                <a:graphic xmlns:a="http://schemas.openxmlformats.org/drawingml/2006/main">
                  <a:graphicData uri="http://schemas.microsoft.com/office/word/2010/wordprocessingGroup">
                    <wpg:wgp>
                      <wpg:cNvGrpSpPr/>
                      <wpg:grpSpPr>
                        <a:xfrm>
                          <a:off x="0" y="0"/>
                          <a:ext cx="7035800" cy="9212580"/>
                          <a:chOff x="0" y="0"/>
                          <a:chExt cx="10449" cy="13962"/>
                        </a:xfrm>
                      </wpg:grpSpPr>
                      <wps:wsp>
                        <wps:cNvPr id="96" name="圆角矩形 96"/>
                        <wps:cNvSpPr/>
                        <wps:spPr>
                          <a:xfrm>
                            <a:off x="538" y="0"/>
                            <a:ext cx="1997" cy="1152"/>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21"/>
                                </w:rPr>
                              </w:pPr>
                              <w:r>
                                <w:rPr>
                                  <w:rFonts w:hint="eastAsia"/>
                                  <w:sz w:val="18"/>
                                  <w:szCs w:val="21"/>
                                </w:rPr>
                                <w:t>生产车间泄漏、</w:t>
                              </w:r>
                              <w:r>
                                <w:rPr>
                                  <w:rFonts w:hint="eastAsia"/>
                                  <w:sz w:val="18"/>
                                  <w:szCs w:val="21"/>
                                  <w:lang w:val="en-US" w:eastAsia="zh-CN"/>
                                </w:rPr>
                                <w:t>环境污染</w:t>
                              </w:r>
                              <w:r>
                                <w:rPr>
                                  <w:rFonts w:hint="eastAsia"/>
                                  <w:sz w:val="18"/>
                                  <w:szCs w:val="21"/>
                                </w:rPr>
                                <w:t>事故</w:t>
                              </w:r>
                            </w:p>
                          </w:txbxContent>
                        </wps:txbx>
                        <wps:bodyPr upright="1"/>
                      </wps:wsp>
                      <wps:wsp>
                        <wps:cNvPr id="98" name="圆角矩形 98"/>
                        <wps:cNvSpPr/>
                        <wps:spPr>
                          <a:xfrm>
                            <a:off x="3279" y="0"/>
                            <a:ext cx="2485" cy="116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1"/>
                                  <w:szCs w:val="21"/>
                                </w:rPr>
                              </w:pPr>
                              <w:r>
                                <w:rPr>
                                  <w:rFonts w:hint="eastAsia"/>
                                  <w:sz w:val="18"/>
                                  <w:szCs w:val="21"/>
                                  <w:lang w:val="en-US" w:eastAsia="zh-CN"/>
                                </w:rPr>
                                <w:t>酸性</w:t>
                              </w:r>
                              <w:r>
                                <w:rPr>
                                  <w:rFonts w:hint="eastAsia"/>
                                  <w:sz w:val="18"/>
                                  <w:szCs w:val="21"/>
                                </w:rPr>
                                <w:t>仓库物料泄漏、环境污染、中毒事故</w:t>
                              </w:r>
                            </w:p>
                          </w:txbxContent>
                        </wps:txbx>
                        <wps:bodyPr upright="1"/>
                      </wps:wsp>
                      <wps:wsp>
                        <wps:cNvPr id="99" name="圆角矩形 99"/>
                        <wps:cNvSpPr/>
                        <wps:spPr>
                          <a:xfrm>
                            <a:off x="6019" y="0"/>
                            <a:ext cx="2988" cy="116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8"/>
                                  <w:szCs w:val="21"/>
                                </w:rPr>
                              </w:pPr>
                              <w:r>
                                <w:rPr>
                                  <w:rFonts w:hint="eastAsia"/>
                                  <w:sz w:val="18"/>
                                  <w:szCs w:val="21"/>
                                </w:rPr>
                                <w:t>废气处理装置、污水处理站、危险固废堆放仓库泄漏、环境污染、中毒事故</w:t>
                              </w:r>
                            </w:p>
                            <w:p>
                              <w:pPr>
                                <w:rPr>
                                  <w:sz w:val="21"/>
                                  <w:szCs w:val="21"/>
                                </w:rPr>
                              </w:pPr>
                            </w:p>
                          </w:txbxContent>
                        </wps:txbx>
                        <wps:bodyPr upright="1"/>
                      </wps:wsp>
                      <wps:wsp>
                        <wps:cNvPr id="100" name="直接箭头连接符 100"/>
                        <wps:cNvCnPr/>
                        <wps:spPr>
                          <a:xfrm flipV="1">
                            <a:off x="1522" y="2645"/>
                            <a:ext cx="6121" cy="0"/>
                          </a:xfrm>
                          <a:prstGeom prst="straightConnector1">
                            <a:avLst/>
                          </a:prstGeom>
                          <a:ln w="9525" cap="flat" cmpd="sng">
                            <a:solidFill>
                              <a:srgbClr val="000000"/>
                            </a:solidFill>
                            <a:prstDash val="solid"/>
                            <a:headEnd type="none" w="med" len="med"/>
                            <a:tailEnd type="none" w="med" len="med"/>
                          </a:ln>
                        </wps:spPr>
                        <wps:bodyPr/>
                      </wps:wsp>
                      <wps:wsp>
                        <wps:cNvPr id="103" name="直接箭头连接符 103"/>
                        <wps:cNvCnPr/>
                        <wps:spPr>
                          <a:xfrm>
                            <a:off x="4515" y="1164"/>
                            <a:ext cx="1" cy="397"/>
                          </a:xfrm>
                          <a:prstGeom prst="straightConnector1">
                            <a:avLst/>
                          </a:prstGeom>
                          <a:ln w="9525" cap="flat" cmpd="sng">
                            <a:solidFill>
                              <a:srgbClr val="000000"/>
                            </a:solidFill>
                            <a:prstDash val="solid"/>
                            <a:headEnd type="none" w="med" len="med"/>
                            <a:tailEnd type="triangle" w="med" len="med"/>
                          </a:ln>
                        </wps:spPr>
                        <wps:bodyPr/>
                      </wps:wsp>
                      <wps:wsp>
                        <wps:cNvPr id="104" name="直接箭头连接符 104"/>
                        <wps:cNvCnPr/>
                        <wps:spPr>
                          <a:xfrm>
                            <a:off x="7639" y="1152"/>
                            <a:ext cx="1" cy="397"/>
                          </a:xfrm>
                          <a:prstGeom prst="straightConnector1">
                            <a:avLst/>
                          </a:prstGeom>
                          <a:ln w="9525" cap="flat" cmpd="sng">
                            <a:solidFill>
                              <a:srgbClr val="000000"/>
                            </a:solidFill>
                            <a:prstDash val="solid"/>
                            <a:headEnd type="none" w="med" len="med"/>
                            <a:tailEnd type="triangle" w="med" len="med"/>
                          </a:ln>
                        </wps:spPr>
                        <wps:bodyPr/>
                      </wps:wsp>
                      <wps:wsp>
                        <wps:cNvPr id="105" name="直接箭头连接符 105"/>
                        <wps:cNvCnPr/>
                        <wps:spPr>
                          <a:xfrm>
                            <a:off x="1504" y="1165"/>
                            <a:ext cx="1" cy="397"/>
                          </a:xfrm>
                          <a:prstGeom prst="straightConnector1">
                            <a:avLst/>
                          </a:prstGeom>
                          <a:ln w="9525" cap="flat" cmpd="sng">
                            <a:solidFill>
                              <a:srgbClr val="000000"/>
                            </a:solidFill>
                            <a:prstDash val="solid"/>
                            <a:headEnd type="none" w="med" len="med"/>
                            <a:tailEnd type="triangle" w="med" len="med"/>
                          </a:ln>
                        </wps:spPr>
                        <wps:bodyPr/>
                      </wps:wsp>
                      <wps:wsp>
                        <wps:cNvPr id="107" name="矩形 107"/>
                        <wps:cNvSpPr/>
                        <wps:spPr>
                          <a:xfrm>
                            <a:off x="649" y="1554"/>
                            <a:ext cx="1709" cy="7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启动生产车间专项应急预案</w:t>
                              </w:r>
                            </w:p>
                          </w:txbxContent>
                        </wps:txbx>
                        <wps:bodyPr upright="1"/>
                      </wps:wsp>
                      <wps:wsp>
                        <wps:cNvPr id="108" name="矩形 108"/>
                        <wps:cNvSpPr/>
                        <wps:spPr>
                          <a:xfrm>
                            <a:off x="3638" y="1541"/>
                            <a:ext cx="1709" cy="7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启动仓库专项应急预案</w:t>
                              </w:r>
                            </w:p>
                          </w:txbxContent>
                        </wps:txbx>
                        <wps:bodyPr upright="1"/>
                      </wps:wsp>
                      <wps:wsp>
                        <wps:cNvPr id="109" name="矩形 109"/>
                        <wps:cNvSpPr/>
                        <wps:spPr>
                          <a:xfrm>
                            <a:off x="6803" y="1528"/>
                            <a:ext cx="1709" cy="71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启动环保设施专项应急预案</w:t>
                              </w:r>
                            </w:p>
                          </w:txbxContent>
                        </wps:txbx>
                        <wps:bodyPr upright="1"/>
                      </wps:wsp>
                      <wps:wsp>
                        <wps:cNvPr id="111" name="直接箭头连接符 111"/>
                        <wps:cNvCnPr/>
                        <wps:spPr>
                          <a:xfrm>
                            <a:off x="1521" y="2256"/>
                            <a:ext cx="1" cy="397"/>
                          </a:xfrm>
                          <a:prstGeom prst="straightConnector1">
                            <a:avLst/>
                          </a:prstGeom>
                          <a:ln w="9525" cap="flat" cmpd="sng">
                            <a:solidFill>
                              <a:srgbClr val="000000"/>
                            </a:solidFill>
                            <a:prstDash val="solid"/>
                            <a:headEnd type="none" w="med" len="med"/>
                            <a:tailEnd type="triangle" w="med" len="med"/>
                          </a:ln>
                        </wps:spPr>
                        <wps:bodyPr/>
                      </wps:wsp>
                      <wps:wsp>
                        <wps:cNvPr id="112" name="直接箭头连接符 112"/>
                        <wps:cNvCnPr/>
                        <wps:spPr>
                          <a:xfrm>
                            <a:off x="4534" y="2243"/>
                            <a:ext cx="1" cy="397"/>
                          </a:xfrm>
                          <a:prstGeom prst="straightConnector1">
                            <a:avLst/>
                          </a:prstGeom>
                          <a:ln w="9525" cap="flat" cmpd="sng">
                            <a:solidFill>
                              <a:srgbClr val="000000"/>
                            </a:solidFill>
                            <a:prstDash val="solid"/>
                            <a:headEnd type="none" w="med" len="med"/>
                            <a:tailEnd type="triangle" w="med" len="med"/>
                          </a:ln>
                        </wps:spPr>
                        <wps:bodyPr/>
                      </wps:wsp>
                      <wps:wsp>
                        <wps:cNvPr id="113" name="直接箭头连接符 113"/>
                        <wps:cNvCnPr/>
                        <wps:spPr>
                          <a:xfrm>
                            <a:off x="7640" y="2243"/>
                            <a:ext cx="1" cy="397"/>
                          </a:xfrm>
                          <a:prstGeom prst="straightConnector1">
                            <a:avLst/>
                          </a:prstGeom>
                          <a:ln w="9525" cap="flat" cmpd="sng">
                            <a:solidFill>
                              <a:srgbClr val="000000"/>
                            </a:solidFill>
                            <a:prstDash val="solid"/>
                            <a:headEnd type="none" w="med" len="med"/>
                            <a:tailEnd type="triangle" w="med" len="med"/>
                          </a:ln>
                        </wps:spPr>
                        <wps:bodyPr/>
                      </wps:wsp>
                      <wps:wsp>
                        <wps:cNvPr id="115" name="直接箭头连接符 115"/>
                        <wps:cNvCnPr/>
                        <wps:spPr>
                          <a:xfrm>
                            <a:off x="4535" y="2653"/>
                            <a:ext cx="0" cy="397"/>
                          </a:xfrm>
                          <a:prstGeom prst="straightConnector1">
                            <a:avLst/>
                          </a:prstGeom>
                          <a:ln w="9525" cap="flat" cmpd="sng">
                            <a:solidFill>
                              <a:srgbClr val="000000"/>
                            </a:solidFill>
                            <a:prstDash val="solid"/>
                            <a:headEnd type="none" w="med" len="med"/>
                            <a:tailEnd type="triangle" w="med" len="med"/>
                          </a:ln>
                        </wps:spPr>
                        <wps:bodyPr/>
                      </wps:wsp>
                      <wpg:grpSp>
                        <wpg:cNvPr id="230" name="组合 230"/>
                        <wpg:cNvGrpSpPr/>
                        <wpg:grpSpPr>
                          <a:xfrm>
                            <a:off x="0" y="3037"/>
                            <a:ext cx="10449" cy="10925"/>
                            <a:chOff x="0" y="0"/>
                            <a:chExt cx="10449" cy="10925"/>
                          </a:xfrm>
                        </wpg:grpSpPr>
                        <wps:wsp>
                          <wps:cNvPr id="116" name="直接连接符 116"/>
                          <wps:cNvCnPr/>
                          <wps:spPr>
                            <a:xfrm>
                              <a:off x="2961" y="3566"/>
                              <a:ext cx="540" cy="1"/>
                            </a:xfrm>
                            <a:prstGeom prst="line">
                              <a:avLst/>
                            </a:prstGeom>
                            <a:ln w="9525" cap="flat" cmpd="sng">
                              <a:solidFill>
                                <a:srgbClr val="000000"/>
                              </a:solidFill>
                              <a:prstDash val="solid"/>
                              <a:headEnd type="none" w="med" len="med"/>
                              <a:tailEnd type="triangle" w="sm" len="med"/>
                            </a:ln>
                          </wps:spPr>
                          <wps:bodyPr upright="1"/>
                        </wps:wsp>
                        <wps:wsp>
                          <wps:cNvPr id="117" name="直接连接符 117"/>
                          <wps:cNvCnPr/>
                          <wps:spPr>
                            <a:xfrm>
                              <a:off x="171" y="10629"/>
                              <a:ext cx="2416" cy="0"/>
                            </a:xfrm>
                            <a:prstGeom prst="line">
                              <a:avLst/>
                            </a:prstGeom>
                            <a:ln w="9525" cap="flat" cmpd="sng">
                              <a:solidFill>
                                <a:srgbClr val="000000"/>
                              </a:solidFill>
                              <a:prstDash val="solid"/>
                              <a:headEnd type="none" w="med" len="med"/>
                              <a:tailEnd type="triangle" w="sm" len="med"/>
                            </a:ln>
                          </wps:spPr>
                          <wps:bodyPr upright="1"/>
                        </wps:wsp>
                        <wps:wsp>
                          <wps:cNvPr id="118" name="直接连接符 118"/>
                          <wps:cNvCnPr/>
                          <wps:spPr>
                            <a:xfrm>
                              <a:off x="4753" y="4677"/>
                              <a:ext cx="1" cy="1680"/>
                            </a:xfrm>
                            <a:prstGeom prst="line">
                              <a:avLst/>
                            </a:prstGeom>
                            <a:ln w="9525" cap="flat" cmpd="sng">
                              <a:solidFill>
                                <a:srgbClr val="000000"/>
                              </a:solidFill>
                              <a:prstDash val="solid"/>
                              <a:headEnd type="none" w="med" len="med"/>
                              <a:tailEnd type="triangle" w="sm" len="med"/>
                            </a:ln>
                          </wps:spPr>
                          <wps:bodyPr upright="1"/>
                        </wps:wsp>
                        <wps:wsp>
                          <wps:cNvPr id="119" name="直接连接符 119"/>
                          <wps:cNvCnPr/>
                          <wps:spPr>
                            <a:xfrm flipH="1">
                              <a:off x="174" y="3551"/>
                              <a:ext cx="179" cy="0"/>
                            </a:xfrm>
                            <a:prstGeom prst="line">
                              <a:avLst/>
                            </a:prstGeom>
                            <a:ln w="9525" cap="flat" cmpd="sng">
                              <a:solidFill>
                                <a:srgbClr val="000000"/>
                              </a:solidFill>
                              <a:prstDash val="solid"/>
                              <a:headEnd type="none" w="med" len="med"/>
                              <a:tailEnd type="none" w="med" len="med"/>
                            </a:ln>
                          </wps:spPr>
                          <wps:bodyPr upright="1"/>
                        </wps:wsp>
                        <wps:wsp>
                          <wps:cNvPr id="120" name="矩形 120"/>
                          <wps:cNvSpPr/>
                          <wps:spPr>
                            <a:xfrm>
                              <a:off x="3681" y="5024"/>
                              <a:ext cx="4560" cy="2147"/>
                            </a:xfrm>
                            <a:prstGeom prst="rect">
                              <a:avLst/>
                            </a:prstGeom>
                            <a:noFill/>
                            <a:ln w="9525" cap="flat" cmpd="sng">
                              <a:solidFill>
                                <a:srgbClr val="000000"/>
                              </a:solidFill>
                              <a:prstDash val="dash"/>
                              <a:miter/>
                              <a:headEnd type="none" w="med" len="med"/>
                              <a:tailEnd type="none" w="med" len="med"/>
                            </a:ln>
                          </wps:spPr>
                          <wps:bodyPr upright="1"/>
                        </wps:wsp>
                        <wps:wsp>
                          <wps:cNvPr id="121" name="直接连接符 121"/>
                          <wps:cNvCnPr/>
                          <wps:spPr>
                            <a:xfrm>
                              <a:off x="7162" y="4080"/>
                              <a:ext cx="1" cy="1050"/>
                            </a:xfrm>
                            <a:prstGeom prst="line">
                              <a:avLst/>
                            </a:prstGeom>
                            <a:ln w="9525" cap="flat" cmpd="sng">
                              <a:solidFill>
                                <a:srgbClr val="000000"/>
                              </a:solidFill>
                              <a:prstDash val="solid"/>
                              <a:headEnd type="none" w="med" len="med"/>
                              <a:tailEnd type="triangle" w="sm" len="med"/>
                            </a:ln>
                          </wps:spPr>
                          <wps:bodyPr upright="1"/>
                        </wps:wsp>
                        <wps:wsp>
                          <wps:cNvPr id="122" name="直接连接符 122"/>
                          <wps:cNvCnPr/>
                          <wps:spPr>
                            <a:xfrm flipH="1">
                              <a:off x="3471" y="5515"/>
                              <a:ext cx="2715" cy="1"/>
                            </a:xfrm>
                            <a:prstGeom prst="line">
                              <a:avLst/>
                            </a:prstGeom>
                            <a:ln w="9525" cap="flat" cmpd="sng">
                              <a:solidFill>
                                <a:srgbClr val="000000"/>
                              </a:solidFill>
                              <a:prstDash val="solid"/>
                              <a:headEnd type="none" w="med" len="med"/>
                              <a:tailEnd type="triangle" w="sm" len="med"/>
                            </a:ln>
                          </wps:spPr>
                          <wps:bodyPr upright="1"/>
                        </wps:wsp>
                        <wps:wsp>
                          <wps:cNvPr id="123" name="直接连接符 123"/>
                          <wps:cNvCnPr/>
                          <wps:spPr>
                            <a:xfrm>
                              <a:off x="8076" y="5496"/>
                              <a:ext cx="570" cy="1"/>
                            </a:xfrm>
                            <a:prstGeom prst="line">
                              <a:avLst/>
                            </a:prstGeom>
                            <a:ln w="9525" cap="flat" cmpd="sng">
                              <a:solidFill>
                                <a:srgbClr val="000000"/>
                              </a:solidFill>
                              <a:prstDash val="solid"/>
                              <a:headEnd type="none" w="med" len="med"/>
                              <a:tailEnd type="triangle" w="sm" len="med"/>
                            </a:ln>
                          </wps:spPr>
                          <wps:bodyPr upright="1"/>
                        </wps:wsp>
                        <wps:wsp>
                          <wps:cNvPr id="124" name="直接连接符 124"/>
                          <wps:cNvCnPr/>
                          <wps:spPr>
                            <a:xfrm flipH="1">
                              <a:off x="8046" y="5637"/>
                              <a:ext cx="585" cy="1"/>
                            </a:xfrm>
                            <a:prstGeom prst="line">
                              <a:avLst/>
                            </a:prstGeom>
                            <a:ln w="9525" cap="flat" cmpd="sng">
                              <a:solidFill>
                                <a:srgbClr val="000000"/>
                              </a:solidFill>
                              <a:prstDash val="solid"/>
                              <a:headEnd type="none" w="med" len="med"/>
                              <a:tailEnd type="triangle" w="sm" len="med"/>
                            </a:ln>
                          </wps:spPr>
                          <wps:bodyPr upright="1"/>
                        </wps:wsp>
                        <wps:wsp>
                          <wps:cNvPr id="125" name="矩形 125"/>
                          <wps:cNvSpPr/>
                          <wps:spPr>
                            <a:xfrm>
                              <a:off x="8631" y="5271"/>
                              <a:ext cx="1395" cy="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专家咨询组</w:t>
                                </w:r>
                              </w:p>
                            </w:txbxContent>
                          </wps:txbx>
                          <wps:bodyPr upright="1"/>
                        </wps:wsp>
                        <wps:wsp>
                          <wps:cNvPr id="126" name="直接连接符 126"/>
                          <wps:cNvCnPr/>
                          <wps:spPr>
                            <a:xfrm>
                              <a:off x="7266" y="5853"/>
                              <a:ext cx="1" cy="315"/>
                            </a:xfrm>
                            <a:prstGeom prst="line">
                              <a:avLst/>
                            </a:prstGeom>
                            <a:ln w="9525" cap="flat" cmpd="sng">
                              <a:solidFill>
                                <a:srgbClr val="000000"/>
                              </a:solidFill>
                              <a:prstDash val="solid"/>
                              <a:headEnd type="none" w="med" len="med"/>
                              <a:tailEnd type="none" w="med" len="med"/>
                            </a:ln>
                          </wps:spPr>
                          <wps:bodyPr upright="1"/>
                        </wps:wsp>
                        <wps:wsp>
                          <wps:cNvPr id="127" name="直接连接符 127"/>
                          <wps:cNvCnPr/>
                          <wps:spPr>
                            <a:xfrm>
                              <a:off x="7281" y="6211"/>
                              <a:ext cx="1350" cy="1"/>
                            </a:xfrm>
                            <a:prstGeom prst="line">
                              <a:avLst/>
                            </a:prstGeom>
                            <a:ln w="9525" cap="flat" cmpd="sng">
                              <a:solidFill>
                                <a:srgbClr val="000000"/>
                              </a:solidFill>
                              <a:prstDash val="solid"/>
                              <a:headEnd type="none" w="med" len="med"/>
                              <a:tailEnd type="triangle" w="sm" len="med"/>
                            </a:ln>
                          </wps:spPr>
                          <wps:bodyPr upright="1"/>
                        </wps:wsp>
                        <wps:wsp>
                          <wps:cNvPr id="130" name="矩形 130"/>
                          <wps:cNvSpPr/>
                          <wps:spPr>
                            <a:xfrm>
                              <a:off x="8603" y="5974"/>
                              <a:ext cx="1395" cy="46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信息发布组</w:t>
                                </w:r>
                              </w:p>
                            </w:txbxContent>
                          </wps:txbx>
                          <wps:bodyPr upright="1"/>
                        </wps:wsp>
                        <wps:wsp>
                          <wps:cNvPr id="131" name="矩形 131"/>
                          <wps:cNvSpPr/>
                          <wps:spPr>
                            <a:xfrm>
                              <a:off x="411" y="7620"/>
                              <a:ext cx="2250" cy="2250"/>
                            </a:xfrm>
                            <a:prstGeom prst="rect">
                              <a:avLst/>
                            </a:prstGeom>
                            <a:solidFill>
                              <a:srgbClr val="FFFFFF"/>
                            </a:solidFill>
                            <a:ln w="9525" cap="flat" cmpd="sng">
                              <a:solidFill>
                                <a:srgbClr val="000000"/>
                              </a:solidFill>
                              <a:prstDash val="dash"/>
                              <a:miter/>
                              <a:headEnd type="none" w="med" len="med"/>
                              <a:tailEnd type="none" w="med" len="med"/>
                            </a:ln>
                          </wps:spPr>
                          <wps:bodyPr upright="1"/>
                        </wps:wsp>
                        <wps:wsp>
                          <wps:cNvPr id="132" name="矩形 132"/>
                          <wps:cNvSpPr/>
                          <wps:spPr>
                            <a:xfrm>
                              <a:off x="2229" y="8543"/>
                              <a:ext cx="509" cy="1440"/>
                            </a:xfrm>
                            <a:prstGeom prst="rect">
                              <a:avLst/>
                            </a:prstGeom>
                            <a:noFill/>
                            <a:ln>
                              <a:noFill/>
                            </a:ln>
                          </wps:spPr>
                          <wps:txbx>
                            <w:txbxContent>
                              <w:p>
                                <w:pPr>
                                  <w:rPr>
                                    <w:b/>
                                    <w:bCs/>
                                    <w:sz w:val="18"/>
                                    <w:szCs w:val="18"/>
                                  </w:rPr>
                                </w:pPr>
                                <w:r>
                                  <w:rPr>
                                    <w:rFonts w:hint="eastAsia"/>
                                    <w:b/>
                                    <w:bCs/>
                                    <w:sz w:val="18"/>
                                    <w:szCs w:val="18"/>
                                  </w:rPr>
                                  <w:t>外部救援</w:t>
                                </w:r>
                              </w:p>
                            </w:txbxContent>
                          </wps:txbx>
                          <wps:bodyPr upright="1"/>
                        </wps:wsp>
                        <wps:wsp>
                          <wps:cNvPr id="133" name="矩形 133"/>
                          <wps:cNvSpPr/>
                          <wps:spPr>
                            <a:xfrm>
                              <a:off x="667" y="7830"/>
                              <a:ext cx="1575"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外部救援队伍</w:t>
                                </w:r>
                              </w:p>
                            </w:txbxContent>
                          </wps:txbx>
                          <wps:bodyPr upright="1"/>
                        </wps:wsp>
                        <wps:wsp>
                          <wps:cNvPr id="134" name="矩形 134"/>
                          <wps:cNvSpPr/>
                          <wps:spPr>
                            <a:xfrm>
                              <a:off x="6156" y="5114"/>
                              <a:ext cx="1890" cy="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成立相应的应急救援指挥中心</w:t>
                                </w:r>
                              </w:p>
                            </w:txbxContent>
                          </wps:txbx>
                          <wps:bodyPr upright="1"/>
                        </wps:wsp>
                        <wps:wsp>
                          <wps:cNvPr id="135" name="矩形 135"/>
                          <wps:cNvSpPr/>
                          <wps:spPr>
                            <a:xfrm>
                              <a:off x="622" y="8517"/>
                              <a:ext cx="1575"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外部医疗队伍</w:t>
                                </w:r>
                              </w:p>
                            </w:txbxContent>
                          </wps:txbx>
                          <wps:bodyPr upright="1"/>
                        </wps:wsp>
                        <wps:wsp>
                          <wps:cNvPr id="136" name="矩形 136"/>
                          <wps:cNvSpPr/>
                          <wps:spPr>
                            <a:xfrm>
                              <a:off x="3846" y="6297"/>
                              <a:ext cx="1710" cy="7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成立企业应急</w:t>
                                </w:r>
                              </w:p>
                              <w:p>
                                <w:pPr>
                                  <w:jc w:val="center"/>
                                  <w:rPr>
                                    <w:sz w:val="18"/>
                                    <w:szCs w:val="18"/>
                                  </w:rPr>
                                </w:pPr>
                                <w:r>
                                  <w:rPr>
                                    <w:rFonts w:hint="eastAsia"/>
                                    <w:sz w:val="18"/>
                                    <w:szCs w:val="18"/>
                                  </w:rPr>
                                  <w:t>救援指挥中心</w:t>
                                </w:r>
                              </w:p>
                            </w:txbxContent>
                          </wps:txbx>
                          <wps:bodyPr upright="1"/>
                        </wps:wsp>
                        <wps:wsp>
                          <wps:cNvPr id="138" name="矩形 138"/>
                          <wps:cNvSpPr/>
                          <wps:spPr>
                            <a:xfrm>
                              <a:off x="577" y="9371"/>
                              <a:ext cx="1575"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外部监测队伍</w:t>
                                </w:r>
                              </w:p>
                            </w:txbxContent>
                          </wps:txbx>
                          <wps:bodyPr upright="1"/>
                        </wps:wsp>
                        <wps:wsp>
                          <wps:cNvPr id="139" name="矩形 139"/>
                          <wps:cNvSpPr/>
                          <wps:spPr>
                            <a:xfrm>
                              <a:off x="6081" y="6341"/>
                              <a:ext cx="1924" cy="7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成立金属表面园</w:t>
                                </w:r>
                                <w:r>
                                  <w:rPr>
                                    <w:rFonts w:hint="eastAsia"/>
                                    <w:sz w:val="18"/>
                                    <w:szCs w:val="18"/>
                                    <w:lang w:val="en-US" w:eastAsia="zh-CN"/>
                                  </w:rPr>
                                  <w:t>区</w:t>
                                </w:r>
                                <w:r>
                                  <w:rPr>
                                    <w:rFonts w:hint="eastAsia"/>
                                    <w:sz w:val="18"/>
                                    <w:szCs w:val="18"/>
                                  </w:rPr>
                                  <w:t>应急救援现场指挥部</w:t>
                                </w:r>
                              </w:p>
                            </w:txbxContent>
                          </wps:txbx>
                          <wps:bodyPr upright="1"/>
                        </wps:wsp>
                        <wps:wsp>
                          <wps:cNvPr id="140" name="矩形 140"/>
                          <wps:cNvSpPr/>
                          <wps:spPr>
                            <a:xfrm>
                              <a:off x="3536" y="7587"/>
                              <a:ext cx="6913" cy="2628"/>
                            </a:xfrm>
                            <a:prstGeom prst="rect">
                              <a:avLst/>
                            </a:prstGeom>
                            <a:solidFill>
                              <a:srgbClr val="FFFFFF"/>
                            </a:solidFill>
                            <a:ln w="9525" cap="flat" cmpd="sng">
                              <a:solidFill>
                                <a:srgbClr val="000000"/>
                              </a:solidFill>
                              <a:prstDash val="dash"/>
                              <a:miter/>
                              <a:headEnd type="none" w="med" len="med"/>
                              <a:tailEnd type="none" w="med" len="med"/>
                            </a:ln>
                          </wps:spPr>
                          <wps:bodyPr upright="1"/>
                        </wps:wsp>
                        <wps:wsp>
                          <wps:cNvPr id="141" name="圆角矩形 141"/>
                          <wps:cNvSpPr/>
                          <wps:spPr>
                            <a:xfrm>
                              <a:off x="2601" y="10400"/>
                              <a:ext cx="1020" cy="5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21"/>
                                    <w:szCs w:val="21"/>
                                  </w:rPr>
                                </w:pPr>
                                <w:r>
                                  <w:rPr>
                                    <w:rFonts w:hint="eastAsia"/>
                                    <w:sz w:val="21"/>
                                    <w:szCs w:val="21"/>
                                  </w:rPr>
                                  <w:t>结束</w:t>
                                </w:r>
                              </w:p>
                            </w:txbxContent>
                          </wps:txbx>
                          <wps:bodyPr upright="1"/>
                        </wps:wsp>
                        <wps:wsp>
                          <wps:cNvPr id="142" name="直接连接符 142"/>
                          <wps:cNvCnPr/>
                          <wps:spPr>
                            <a:xfrm>
                              <a:off x="6786" y="5850"/>
                              <a:ext cx="1" cy="510"/>
                            </a:xfrm>
                            <a:prstGeom prst="line">
                              <a:avLst/>
                            </a:prstGeom>
                            <a:ln w="9525" cap="flat" cmpd="sng">
                              <a:solidFill>
                                <a:srgbClr val="000000"/>
                              </a:solidFill>
                              <a:prstDash val="solid"/>
                              <a:headEnd type="none" w="med" len="med"/>
                              <a:tailEnd type="triangle" w="sm" len="med"/>
                            </a:ln>
                          </wps:spPr>
                          <wps:bodyPr upright="1"/>
                        </wps:wsp>
                        <wps:wsp>
                          <wps:cNvPr id="143" name="直接连接符 143"/>
                          <wps:cNvCnPr/>
                          <wps:spPr>
                            <a:xfrm>
                              <a:off x="5571" y="6706"/>
                              <a:ext cx="525" cy="1"/>
                            </a:xfrm>
                            <a:prstGeom prst="line">
                              <a:avLst/>
                            </a:prstGeom>
                            <a:ln w="9525" cap="flat" cmpd="sng">
                              <a:solidFill>
                                <a:srgbClr val="000000"/>
                              </a:solidFill>
                              <a:prstDash val="solid"/>
                              <a:headEnd type="none" w="med" len="med"/>
                              <a:tailEnd type="none" w="med" len="med"/>
                            </a:ln>
                          </wps:spPr>
                          <wps:bodyPr upright="1"/>
                        </wps:wsp>
                        <wpg:grpSp>
                          <wpg:cNvPr id="148" name="组合 148"/>
                          <wpg:cNvGrpSpPr/>
                          <wpg:grpSpPr>
                            <a:xfrm>
                              <a:off x="2676" y="8442"/>
                              <a:ext cx="840" cy="135"/>
                              <a:chOff x="0" y="0"/>
                              <a:chExt cx="840" cy="135"/>
                            </a:xfrm>
                          </wpg:grpSpPr>
                          <wps:wsp>
                            <wps:cNvPr id="144" name="直接连接符 144"/>
                            <wps:cNvCnPr/>
                            <wps:spPr>
                              <a:xfrm>
                                <a:off x="0" y="0"/>
                                <a:ext cx="810" cy="1"/>
                              </a:xfrm>
                              <a:prstGeom prst="line">
                                <a:avLst/>
                              </a:prstGeom>
                              <a:ln w="9525" cap="flat" cmpd="sng">
                                <a:solidFill>
                                  <a:srgbClr val="000000"/>
                                </a:solidFill>
                                <a:prstDash val="solid"/>
                                <a:headEnd type="none" w="med" len="med"/>
                                <a:tailEnd type="none" w="med" len="med"/>
                              </a:ln>
                            </wps:spPr>
                            <wps:bodyPr upright="1"/>
                          </wps:wsp>
                          <wps:wsp>
                            <wps:cNvPr id="147" name="直接连接符 147"/>
                            <wps:cNvCnPr/>
                            <wps:spPr>
                              <a:xfrm>
                                <a:off x="30" y="135"/>
                                <a:ext cx="810" cy="1"/>
                              </a:xfrm>
                              <a:prstGeom prst="line">
                                <a:avLst/>
                              </a:prstGeom>
                              <a:ln w="9525" cap="flat" cmpd="sng">
                                <a:solidFill>
                                  <a:srgbClr val="000000"/>
                                </a:solidFill>
                                <a:prstDash val="solid"/>
                                <a:headEnd type="none" w="med" len="med"/>
                                <a:tailEnd type="none" w="med" len="med"/>
                              </a:ln>
                            </wps:spPr>
                            <wps:bodyPr upright="1"/>
                          </wps:wsp>
                        </wpg:grpSp>
                        <wps:wsp>
                          <wps:cNvPr id="149" name="直接连接符 149"/>
                          <wps:cNvCnPr/>
                          <wps:spPr>
                            <a:xfrm flipV="1">
                              <a:off x="7461" y="5865"/>
                              <a:ext cx="1" cy="480"/>
                            </a:xfrm>
                            <a:prstGeom prst="line">
                              <a:avLst/>
                            </a:prstGeom>
                            <a:ln w="9525" cap="flat" cmpd="sng">
                              <a:solidFill>
                                <a:srgbClr val="000000"/>
                              </a:solidFill>
                              <a:prstDash val="solid"/>
                              <a:headEnd type="none" w="med" len="med"/>
                              <a:tailEnd type="triangle" w="sm" len="med"/>
                            </a:ln>
                          </wps:spPr>
                          <wps:bodyPr upright="1"/>
                        </wps:wsp>
                        <wps:wsp>
                          <wps:cNvPr id="150" name="直接连接符 150"/>
                          <wps:cNvCnPr/>
                          <wps:spPr>
                            <a:xfrm>
                              <a:off x="3111" y="8584"/>
                              <a:ext cx="1" cy="1816"/>
                            </a:xfrm>
                            <a:prstGeom prst="line">
                              <a:avLst/>
                            </a:prstGeom>
                            <a:ln w="9525" cap="flat" cmpd="sng">
                              <a:solidFill>
                                <a:srgbClr val="000000"/>
                              </a:solidFill>
                              <a:prstDash val="solid"/>
                              <a:headEnd type="none" w="med" len="med"/>
                              <a:tailEnd type="triangle" w="sm" len="med"/>
                            </a:ln>
                          </wps:spPr>
                          <wps:bodyPr upright="1"/>
                        </wps:wsp>
                        <wps:wsp>
                          <wps:cNvPr id="151" name="矩形 151"/>
                          <wps:cNvSpPr/>
                          <wps:spPr>
                            <a:xfrm>
                              <a:off x="5563" y="7759"/>
                              <a:ext cx="2113" cy="1825"/>
                            </a:xfrm>
                            <a:prstGeom prst="rect">
                              <a:avLst/>
                            </a:prstGeom>
                            <a:solidFill>
                              <a:srgbClr val="FFFFFF"/>
                            </a:solidFill>
                            <a:ln w="9525" cap="flat" cmpd="sng">
                              <a:solidFill>
                                <a:srgbClr val="000000"/>
                              </a:solidFill>
                              <a:prstDash val="dash"/>
                              <a:miter/>
                              <a:headEnd type="none" w="med" len="med"/>
                              <a:tailEnd type="none" w="med" len="med"/>
                            </a:ln>
                          </wps:spPr>
                          <wps:bodyPr upright="1"/>
                        </wps:wsp>
                        <wps:wsp>
                          <wps:cNvPr id="152" name="矩形 152"/>
                          <wps:cNvSpPr/>
                          <wps:spPr>
                            <a:xfrm>
                              <a:off x="8050" y="7833"/>
                              <a:ext cx="2235" cy="1797"/>
                            </a:xfrm>
                            <a:prstGeom prst="rect">
                              <a:avLst/>
                            </a:prstGeom>
                            <a:solidFill>
                              <a:srgbClr val="FFFFFF"/>
                            </a:solidFill>
                            <a:ln w="9525" cap="flat" cmpd="sng">
                              <a:solidFill>
                                <a:srgbClr val="000000"/>
                              </a:solidFill>
                              <a:prstDash val="dash"/>
                              <a:miter/>
                              <a:headEnd type="none" w="med" len="med"/>
                              <a:tailEnd type="none" w="med" len="med"/>
                            </a:ln>
                          </wps:spPr>
                          <wps:bodyPr upright="1"/>
                        </wps:wsp>
                        <wps:wsp>
                          <wps:cNvPr id="153" name="矩形 153"/>
                          <wps:cNvSpPr/>
                          <wps:spPr>
                            <a:xfrm>
                              <a:off x="4086" y="7786"/>
                              <a:ext cx="1110" cy="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技术</w:t>
                                </w:r>
                              </w:p>
                              <w:p>
                                <w:pPr>
                                  <w:jc w:val="center"/>
                                  <w:rPr>
                                    <w:sz w:val="18"/>
                                    <w:szCs w:val="18"/>
                                  </w:rPr>
                                </w:pPr>
                                <w:r>
                                  <w:rPr>
                                    <w:rFonts w:hint="eastAsia"/>
                                    <w:sz w:val="18"/>
                                    <w:szCs w:val="18"/>
                                  </w:rPr>
                                  <w:t>支援组</w:t>
                                </w:r>
                              </w:p>
                            </w:txbxContent>
                          </wps:txbx>
                          <wps:bodyPr upright="1"/>
                        </wps:wsp>
                        <wps:wsp>
                          <wps:cNvPr id="154" name="直接连接符 154"/>
                          <wps:cNvCnPr/>
                          <wps:spPr>
                            <a:xfrm>
                              <a:off x="4596" y="7100"/>
                              <a:ext cx="1" cy="690"/>
                            </a:xfrm>
                            <a:prstGeom prst="line">
                              <a:avLst/>
                            </a:prstGeom>
                            <a:ln w="9525" cap="flat" cmpd="sng">
                              <a:solidFill>
                                <a:srgbClr val="000000"/>
                              </a:solidFill>
                              <a:prstDash val="solid"/>
                              <a:headEnd type="none" w="med" len="med"/>
                              <a:tailEnd type="triangle" w="sm" len="med"/>
                            </a:ln>
                          </wps:spPr>
                          <wps:bodyPr upright="1"/>
                        </wps:wsp>
                        <wps:wsp>
                          <wps:cNvPr id="155" name="直接连接符 155"/>
                          <wps:cNvCnPr/>
                          <wps:spPr>
                            <a:xfrm>
                              <a:off x="5226" y="8197"/>
                              <a:ext cx="315" cy="1"/>
                            </a:xfrm>
                            <a:prstGeom prst="line">
                              <a:avLst/>
                            </a:prstGeom>
                            <a:ln w="9525" cap="flat" cmpd="sng">
                              <a:solidFill>
                                <a:srgbClr val="000000"/>
                              </a:solidFill>
                              <a:prstDash val="solid"/>
                              <a:headEnd type="none" w="med" len="med"/>
                              <a:tailEnd type="triangle" w="sm" len="med"/>
                            </a:ln>
                          </wps:spPr>
                          <wps:bodyPr upright="1"/>
                        </wps:wsp>
                        <wps:wsp>
                          <wps:cNvPr id="157" name="矩形 157"/>
                          <wps:cNvSpPr/>
                          <wps:spPr>
                            <a:xfrm>
                              <a:off x="4148" y="8977"/>
                              <a:ext cx="778" cy="792"/>
                            </a:xfrm>
                            <a:prstGeom prst="rect">
                              <a:avLst/>
                            </a:prstGeom>
                            <a:noFill/>
                            <a:ln>
                              <a:noFill/>
                            </a:ln>
                          </wps:spPr>
                          <wps:txbx>
                            <w:txbxContent>
                              <w:p>
                                <w:pPr>
                                  <w:jc w:val="center"/>
                                  <w:rPr>
                                    <w:b/>
                                    <w:bCs/>
                                    <w:sz w:val="18"/>
                                    <w:szCs w:val="18"/>
                                  </w:rPr>
                                </w:pPr>
                                <w:r>
                                  <w:rPr>
                                    <w:rFonts w:hint="eastAsia"/>
                                    <w:b/>
                                    <w:bCs/>
                                    <w:sz w:val="18"/>
                                    <w:szCs w:val="18"/>
                                  </w:rPr>
                                  <w:t>内部救援</w:t>
                                </w:r>
                              </w:p>
                            </w:txbxContent>
                          </wps:txbx>
                          <wps:bodyPr upright="1"/>
                        </wps:wsp>
                        <wps:wsp>
                          <wps:cNvPr id="158" name="直接连接符 158"/>
                          <wps:cNvCnPr/>
                          <wps:spPr>
                            <a:xfrm>
                              <a:off x="6486" y="7101"/>
                              <a:ext cx="1" cy="675"/>
                            </a:xfrm>
                            <a:prstGeom prst="line">
                              <a:avLst/>
                            </a:prstGeom>
                            <a:ln w="9525" cap="flat" cmpd="sng">
                              <a:solidFill>
                                <a:srgbClr val="000000"/>
                              </a:solidFill>
                              <a:prstDash val="solid"/>
                              <a:headEnd type="none" w="med" len="med"/>
                              <a:tailEnd type="triangle" w="sm" len="med"/>
                            </a:ln>
                          </wps:spPr>
                          <wps:bodyPr upright="1"/>
                        </wps:wsp>
                        <wps:wsp>
                          <wps:cNvPr id="159" name="直接连接符 159"/>
                          <wps:cNvCnPr/>
                          <wps:spPr>
                            <a:xfrm flipV="1">
                              <a:off x="6801" y="7070"/>
                              <a:ext cx="1" cy="705"/>
                            </a:xfrm>
                            <a:prstGeom prst="line">
                              <a:avLst/>
                            </a:prstGeom>
                            <a:ln w="9525" cap="flat" cmpd="sng">
                              <a:solidFill>
                                <a:srgbClr val="000000"/>
                              </a:solidFill>
                              <a:prstDash val="solid"/>
                              <a:headEnd type="none" w="med" len="med"/>
                              <a:tailEnd type="triangle" w="sm" len="med"/>
                            </a:ln>
                          </wps:spPr>
                          <wps:bodyPr upright="1"/>
                        </wps:wsp>
                        <wps:wsp>
                          <wps:cNvPr id="160" name="直接连接符 160"/>
                          <wps:cNvCnPr/>
                          <wps:spPr>
                            <a:xfrm>
                              <a:off x="7821" y="7100"/>
                              <a:ext cx="1" cy="1635"/>
                            </a:xfrm>
                            <a:prstGeom prst="line">
                              <a:avLst/>
                            </a:prstGeom>
                            <a:ln w="9525" cap="flat" cmpd="sng">
                              <a:solidFill>
                                <a:srgbClr val="000000"/>
                              </a:solidFill>
                              <a:prstDash val="solid"/>
                              <a:headEnd type="none" w="med" len="med"/>
                              <a:tailEnd type="none" w="med" len="med"/>
                            </a:ln>
                          </wps:spPr>
                          <wps:bodyPr upright="1"/>
                        </wps:wsp>
                        <wps:wsp>
                          <wps:cNvPr id="161" name="直接连接符 161"/>
                          <wps:cNvCnPr/>
                          <wps:spPr>
                            <a:xfrm>
                              <a:off x="7836" y="8734"/>
                              <a:ext cx="225" cy="1"/>
                            </a:xfrm>
                            <a:prstGeom prst="line">
                              <a:avLst/>
                            </a:prstGeom>
                            <a:ln w="9525" cap="flat" cmpd="sng">
                              <a:solidFill>
                                <a:srgbClr val="000000"/>
                              </a:solidFill>
                              <a:prstDash val="solid"/>
                              <a:headEnd type="none" w="med" len="med"/>
                              <a:tailEnd type="triangle" w="sm" len="med"/>
                            </a:ln>
                          </wps:spPr>
                          <wps:bodyPr upright="1"/>
                        </wps:wsp>
                        <wps:wsp>
                          <wps:cNvPr id="162" name="直接连接符 162"/>
                          <wps:cNvCnPr/>
                          <wps:spPr>
                            <a:xfrm flipV="1">
                              <a:off x="9006" y="7464"/>
                              <a:ext cx="1" cy="360"/>
                            </a:xfrm>
                            <a:prstGeom prst="line">
                              <a:avLst/>
                            </a:prstGeom>
                            <a:ln w="9525" cap="flat" cmpd="sng">
                              <a:solidFill>
                                <a:srgbClr val="000000"/>
                              </a:solidFill>
                              <a:prstDash val="solid"/>
                              <a:headEnd type="none" w="med" len="med"/>
                              <a:tailEnd type="none" w="med" len="med"/>
                            </a:ln>
                          </wps:spPr>
                          <wps:bodyPr upright="1"/>
                        </wps:wsp>
                        <wps:wsp>
                          <wps:cNvPr id="163" name="直接连接符 163"/>
                          <wps:cNvCnPr/>
                          <wps:spPr>
                            <a:xfrm flipH="1">
                              <a:off x="7956" y="7464"/>
                              <a:ext cx="1050" cy="1"/>
                            </a:xfrm>
                            <a:prstGeom prst="line">
                              <a:avLst/>
                            </a:prstGeom>
                            <a:ln w="9525" cap="flat" cmpd="sng">
                              <a:solidFill>
                                <a:srgbClr val="000000"/>
                              </a:solidFill>
                              <a:prstDash val="solid"/>
                              <a:headEnd type="none" w="med" len="med"/>
                              <a:tailEnd type="none" w="med" len="med"/>
                            </a:ln>
                          </wps:spPr>
                          <wps:bodyPr upright="1"/>
                        </wps:wsp>
                        <wps:wsp>
                          <wps:cNvPr id="166" name="直接连接符 166"/>
                          <wps:cNvCnPr/>
                          <wps:spPr>
                            <a:xfrm flipV="1">
                              <a:off x="7956" y="7098"/>
                              <a:ext cx="1" cy="360"/>
                            </a:xfrm>
                            <a:prstGeom prst="line">
                              <a:avLst/>
                            </a:prstGeom>
                            <a:ln w="9525" cap="flat" cmpd="sng">
                              <a:solidFill>
                                <a:srgbClr val="000000"/>
                              </a:solidFill>
                              <a:prstDash val="solid"/>
                              <a:headEnd type="none" w="med" len="med"/>
                              <a:tailEnd type="triangle" w="sm" len="med"/>
                            </a:ln>
                          </wps:spPr>
                          <wps:bodyPr upright="1"/>
                        </wps:wsp>
                        <wps:wsp>
                          <wps:cNvPr id="167" name="矩形 167"/>
                          <wps:cNvSpPr/>
                          <wps:spPr>
                            <a:xfrm>
                              <a:off x="7207" y="8701"/>
                              <a:ext cx="631" cy="792"/>
                            </a:xfrm>
                            <a:prstGeom prst="rect">
                              <a:avLst/>
                            </a:prstGeom>
                            <a:noFill/>
                            <a:ln>
                              <a:noFill/>
                            </a:ln>
                          </wps:spPr>
                          <wps:txbx>
                            <w:txbxContent>
                              <w:p>
                                <w:pPr>
                                  <w:jc w:val="center"/>
                                  <w:rPr>
                                    <w:b/>
                                    <w:bCs/>
                                    <w:sz w:val="21"/>
                                    <w:szCs w:val="21"/>
                                  </w:rPr>
                                </w:pPr>
                                <w:r>
                                  <w:rPr>
                                    <w:rFonts w:hint="eastAsia"/>
                                    <w:b/>
                                    <w:bCs/>
                                    <w:sz w:val="21"/>
                                    <w:szCs w:val="21"/>
                                  </w:rPr>
                                  <w:t>控</w:t>
                                </w:r>
                              </w:p>
                              <w:p>
                                <w:pPr>
                                  <w:jc w:val="center"/>
                                  <w:rPr>
                                    <w:b/>
                                    <w:bCs/>
                                    <w:sz w:val="21"/>
                                    <w:szCs w:val="21"/>
                                  </w:rPr>
                                </w:pPr>
                                <w:r>
                                  <w:rPr>
                                    <w:rFonts w:hint="eastAsia"/>
                                    <w:b/>
                                    <w:bCs/>
                                    <w:sz w:val="21"/>
                                    <w:szCs w:val="21"/>
                                  </w:rPr>
                                  <w:t>险</w:t>
                                </w:r>
                              </w:p>
                            </w:txbxContent>
                          </wps:txbx>
                          <wps:bodyPr upright="1"/>
                        </wps:wsp>
                        <wps:wsp>
                          <wps:cNvPr id="168" name="矩形 168"/>
                          <wps:cNvSpPr/>
                          <wps:spPr>
                            <a:xfrm>
                              <a:off x="9817" y="8641"/>
                              <a:ext cx="631" cy="792"/>
                            </a:xfrm>
                            <a:prstGeom prst="rect">
                              <a:avLst/>
                            </a:prstGeom>
                            <a:noFill/>
                            <a:ln>
                              <a:noFill/>
                            </a:ln>
                          </wps:spPr>
                          <wps:txbx>
                            <w:txbxContent>
                              <w:p>
                                <w:pPr>
                                  <w:jc w:val="center"/>
                                  <w:rPr>
                                    <w:b/>
                                    <w:bCs/>
                                    <w:sz w:val="21"/>
                                    <w:szCs w:val="21"/>
                                  </w:rPr>
                                </w:pPr>
                                <w:r>
                                  <w:rPr>
                                    <w:rFonts w:hint="eastAsia"/>
                                    <w:b/>
                                    <w:bCs/>
                                    <w:sz w:val="21"/>
                                    <w:szCs w:val="21"/>
                                  </w:rPr>
                                  <w:t>救援</w:t>
                                </w:r>
                              </w:p>
                            </w:txbxContent>
                          </wps:txbx>
                          <wps:bodyPr upright="1"/>
                        </wps:wsp>
                        <wps:wsp>
                          <wps:cNvPr id="169" name="矩形 169"/>
                          <wps:cNvSpPr/>
                          <wps:spPr>
                            <a:xfrm>
                              <a:off x="5901" y="7859"/>
                              <a:ext cx="1425"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val="en-US" w:eastAsia="zh-CN"/>
                                  </w:rPr>
                                  <w:t>通讯警戒</w:t>
                                </w:r>
                                <w:r>
                                  <w:rPr>
                                    <w:rFonts w:hint="eastAsia"/>
                                    <w:sz w:val="18"/>
                                    <w:szCs w:val="18"/>
                                  </w:rPr>
                                  <w:t>组</w:t>
                                </w:r>
                              </w:p>
                            </w:txbxContent>
                          </wps:txbx>
                          <wps:bodyPr upright="1"/>
                        </wps:wsp>
                        <wps:wsp>
                          <wps:cNvPr id="170" name="矩形 170"/>
                          <wps:cNvSpPr/>
                          <wps:spPr>
                            <a:xfrm>
                              <a:off x="5901" y="8411"/>
                              <a:ext cx="1425"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val="en-US" w:eastAsia="zh-CN"/>
                                  </w:rPr>
                                  <w:t>抢险灭火</w:t>
                                </w:r>
                                <w:r>
                                  <w:rPr>
                                    <w:rFonts w:hint="eastAsia"/>
                                    <w:sz w:val="18"/>
                                    <w:szCs w:val="18"/>
                                  </w:rPr>
                                  <w:t>组</w:t>
                                </w:r>
                              </w:p>
                            </w:txbxContent>
                          </wps:txbx>
                          <wps:bodyPr upright="1"/>
                        </wps:wsp>
                        <wps:wsp>
                          <wps:cNvPr id="171" name="矩形 171"/>
                          <wps:cNvSpPr/>
                          <wps:spPr>
                            <a:xfrm>
                              <a:off x="5886" y="8972"/>
                              <a:ext cx="1425"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val="en-US" w:eastAsia="zh-CN"/>
                                  </w:rPr>
                                  <w:t>事故处置</w:t>
                                </w:r>
                                <w:r>
                                  <w:rPr>
                                    <w:rFonts w:hint="eastAsia"/>
                                    <w:sz w:val="18"/>
                                    <w:szCs w:val="18"/>
                                  </w:rPr>
                                  <w:t>组</w:t>
                                </w:r>
                              </w:p>
                            </w:txbxContent>
                          </wps:txbx>
                          <wps:bodyPr upright="1"/>
                        </wps:wsp>
                        <wps:wsp>
                          <wps:cNvPr id="173" name="矩形 173"/>
                          <wps:cNvSpPr/>
                          <wps:spPr>
                            <a:xfrm>
                              <a:off x="8466" y="7904"/>
                              <a:ext cx="1425"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val="en-US" w:eastAsia="zh-CN"/>
                                  </w:rPr>
                                  <w:t>救护疏散</w:t>
                                </w:r>
                                <w:r>
                                  <w:rPr>
                                    <w:rFonts w:hint="eastAsia"/>
                                    <w:sz w:val="18"/>
                                    <w:szCs w:val="18"/>
                                  </w:rPr>
                                  <w:t>组</w:t>
                                </w:r>
                              </w:p>
                            </w:txbxContent>
                          </wps:txbx>
                          <wps:bodyPr upright="1"/>
                        </wps:wsp>
                        <wps:wsp>
                          <wps:cNvPr id="174" name="矩形 174"/>
                          <wps:cNvSpPr/>
                          <wps:spPr>
                            <a:xfrm>
                              <a:off x="8467" y="8442"/>
                              <a:ext cx="1425" cy="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val="en-US" w:eastAsia="zh-CN"/>
                                  </w:rPr>
                                  <w:t>后勤保障</w:t>
                                </w:r>
                                <w:r>
                                  <w:rPr>
                                    <w:rFonts w:hint="eastAsia"/>
                                    <w:sz w:val="18"/>
                                    <w:szCs w:val="18"/>
                                  </w:rPr>
                                  <w:t>组</w:t>
                                </w:r>
                              </w:p>
                            </w:txbxContent>
                          </wps:txbx>
                          <wps:bodyPr upright="1"/>
                        </wps:wsp>
                        <wps:wsp>
                          <wps:cNvPr id="175" name="矩形 175"/>
                          <wps:cNvSpPr/>
                          <wps:spPr>
                            <a:xfrm>
                              <a:off x="8481" y="8987"/>
                              <a:ext cx="1425"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应急监测组</w:t>
                                </w:r>
                              </w:p>
                            </w:txbxContent>
                          </wps:txbx>
                          <wps:bodyPr upright="1"/>
                        </wps:wsp>
                        <wps:wsp>
                          <wps:cNvPr id="177" name="矩形 177"/>
                          <wps:cNvSpPr/>
                          <wps:spPr>
                            <a:xfrm>
                              <a:off x="2947" y="3162"/>
                              <a:ext cx="525" cy="435"/>
                            </a:xfrm>
                            <a:prstGeom prst="rect">
                              <a:avLst/>
                            </a:prstGeom>
                            <a:noFill/>
                            <a:ln>
                              <a:noFill/>
                            </a:ln>
                          </wps:spPr>
                          <wps:txbx>
                            <w:txbxContent>
                              <w:p>
                                <w:r>
                                  <w:rPr>
                                    <w:rFonts w:hint="eastAsia"/>
                                  </w:rPr>
                                  <w:t>N</w:t>
                                </w:r>
                              </w:p>
                              <w:p/>
                            </w:txbxContent>
                          </wps:txbx>
                          <wps:bodyPr upright="1"/>
                        </wps:wsp>
                        <wps:wsp>
                          <wps:cNvPr id="178" name="直接连接符 178"/>
                          <wps:cNvCnPr/>
                          <wps:spPr>
                            <a:xfrm>
                              <a:off x="3471" y="2786"/>
                              <a:ext cx="1" cy="1485"/>
                            </a:xfrm>
                            <a:prstGeom prst="line">
                              <a:avLst/>
                            </a:prstGeom>
                            <a:ln w="9525" cap="flat" cmpd="sng">
                              <a:solidFill>
                                <a:srgbClr val="000000"/>
                              </a:solidFill>
                              <a:prstDash val="solid"/>
                              <a:headEnd type="none" w="med" len="med"/>
                              <a:tailEnd type="none" w="med" len="med"/>
                            </a:ln>
                          </wps:spPr>
                          <wps:bodyPr upright="1"/>
                        </wps:wsp>
                        <wps:wsp>
                          <wps:cNvPr id="182" name="直接连接符 182"/>
                          <wps:cNvCnPr/>
                          <wps:spPr>
                            <a:xfrm>
                              <a:off x="3471" y="2784"/>
                              <a:ext cx="840" cy="1"/>
                            </a:xfrm>
                            <a:prstGeom prst="line">
                              <a:avLst/>
                            </a:prstGeom>
                            <a:ln w="9525" cap="flat" cmpd="sng">
                              <a:solidFill>
                                <a:srgbClr val="000000"/>
                              </a:solidFill>
                              <a:prstDash val="solid"/>
                              <a:headEnd type="none" w="med" len="med"/>
                              <a:tailEnd type="triangle" w="sm" len="med"/>
                            </a:ln>
                          </wps:spPr>
                          <wps:bodyPr upright="1"/>
                        </wps:wsp>
                        <wps:wsp>
                          <wps:cNvPr id="183" name="矩形 183"/>
                          <wps:cNvSpPr/>
                          <wps:spPr>
                            <a:xfrm>
                              <a:off x="4330" y="2397"/>
                              <a:ext cx="1830" cy="75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上报金属表面处理科技工业园</w:t>
                                </w:r>
                                <w:r>
                                  <w:rPr>
                                    <w:rFonts w:hint="eastAsia"/>
                                    <w:sz w:val="18"/>
                                    <w:szCs w:val="18"/>
                                    <w:lang w:val="en-US" w:eastAsia="zh-CN"/>
                                  </w:rPr>
                                  <w:t>区</w:t>
                                </w:r>
                              </w:p>
                            </w:txbxContent>
                          </wps:txbx>
                          <wps:bodyPr upright="1"/>
                        </wps:wsp>
                        <wps:wsp>
                          <wps:cNvPr id="184" name="直接连接符 184"/>
                          <wps:cNvCnPr/>
                          <wps:spPr>
                            <a:xfrm>
                              <a:off x="6156" y="2740"/>
                              <a:ext cx="945" cy="1"/>
                            </a:xfrm>
                            <a:prstGeom prst="line">
                              <a:avLst/>
                            </a:prstGeom>
                            <a:ln w="9525" cap="flat" cmpd="sng">
                              <a:solidFill>
                                <a:srgbClr val="000000"/>
                              </a:solidFill>
                              <a:prstDash val="solid"/>
                              <a:headEnd type="none" w="med" len="med"/>
                              <a:tailEnd type="none" w="med" len="med"/>
                            </a:ln>
                          </wps:spPr>
                          <wps:bodyPr upright="1"/>
                        </wps:wsp>
                        <wps:wsp>
                          <wps:cNvPr id="185" name="直接连接符 185"/>
                          <wps:cNvCnPr/>
                          <wps:spPr>
                            <a:xfrm>
                              <a:off x="135" y="359"/>
                              <a:ext cx="0" cy="10244"/>
                            </a:xfrm>
                            <a:prstGeom prst="line">
                              <a:avLst/>
                            </a:prstGeom>
                            <a:ln w="9525" cap="flat" cmpd="sng">
                              <a:solidFill>
                                <a:srgbClr val="000000"/>
                              </a:solidFill>
                              <a:prstDash val="solid"/>
                              <a:headEnd type="none" w="med" len="med"/>
                              <a:tailEnd type="none" w="med" len="med"/>
                            </a:ln>
                          </wps:spPr>
                          <wps:bodyPr upright="1"/>
                        </wps:wsp>
                        <wps:wsp>
                          <wps:cNvPr id="186" name="直接连接符 186"/>
                          <wps:cNvCnPr/>
                          <wps:spPr>
                            <a:xfrm>
                              <a:off x="3486" y="4283"/>
                              <a:ext cx="405" cy="1"/>
                            </a:xfrm>
                            <a:prstGeom prst="line">
                              <a:avLst/>
                            </a:prstGeom>
                            <a:ln w="9525" cap="flat" cmpd="sng">
                              <a:solidFill>
                                <a:srgbClr val="000000"/>
                              </a:solidFill>
                              <a:prstDash val="solid"/>
                              <a:headEnd type="none" w="med" len="med"/>
                              <a:tailEnd type="triangle" w="sm" len="med"/>
                            </a:ln>
                          </wps:spPr>
                          <wps:bodyPr upright="1"/>
                        </wps:wsp>
                        <wps:wsp>
                          <wps:cNvPr id="187" name="矩形 187"/>
                          <wps:cNvSpPr/>
                          <wps:spPr>
                            <a:xfrm>
                              <a:off x="3895" y="3912"/>
                              <a:ext cx="1709" cy="76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企业突发环境事件应急预案</w:t>
                                </w:r>
                              </w:p>
                            </w:txbxContent>
                          </wps:txbx>
                          <wps:bodyPr upright="1"/>
                        </wps:wsp>
                        <wps:wsp>
                          <wps:cNvPr id="188" name="直接连接符 188"/>
                          <wps:cNvCnPr/>
                          <wps:spPr>
                            <a:xfrm>
                              <a:off x="7101" y="2769"/>
                              <a:ext cx="1" cy="495"/>
                            </a:xfrm>
                            <a:prstGeom prst="line">
                              <a:avLst/>
                            </a:prstGeom>
                            <a:ln w="9525" cap="flat" cmpd="sng">
                              <a:solidFill>
                                <a:srgbClr val="000000"/>
                              </a:solidFill>
                              <a:prstDash val="solid"/>
                              <a:headEnd type="none" w="med" len="med"/>
                              <a:tailEnd type="triangle" w="sm" len="med"/>
                            </a:ln>
                          </wps:spPr>
                          <wps:bodyPr upright="1"/>
                        </wps:wsp>
                        <wps:wsp>
                          <wps:cNvPr id="189" name="矩形 189"/>
                          <wps:cNvSpPr/>
                          <wps:spPr>
                            <a:xfrm>
                              <a:off x="6089" y="3270"/>
                              <a:ext cx="2385" cy="789"/>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无锡金属表面处理科技工业园</w:t>
                                </w:r>
                                <w:r>
                                  <w:rPr>
                                    <w:rFonts w:hint="eastAsia"/>
                                    <w:sz w:val="18"/>
                                    <w:szCs w:val="18"/>
                                    <w:lang w:val="en-US" w:eastAsia="zh-CN"/>
                                  </w:rPr>
                                  <w:t>区突发环境事件应急预案</w:t>
                                </w:r>
                              </w:p>
                            </w:txbxContent>
                          </wps:txbx>
                          <wps:bodyPr upright="1"/>
                        </wps:wsp>
                        <wps:wsp>
                          <wps:cNvPr id="190" name="矩形 190"/>
                          <wps:cNvSpPr/>
                          <wps:spPr>
                            <a:xfrm>
                              <a:off x="0" y="3162"/>
                              <a:ext cx="525" cy="435"/>
                            </a:xfrm>
                            <a:prstGeom prst="rect">
                              <a:avLst/>
                            </a:prstGeom>
                            <a:noFill/>
                            <a:ln>
                              <a:noFill/>
                            </a:ln>
                          </wps:spPr>
                          <wps:txbx>
                            <w:txbxContent>
                              <w:p>
                                <w:r>
                                  <w:rPr>
                                    <w:rFonts w:hint="eastAsia"/>
                                  </w:rPr>
                                  <w:t>Y</w:t>
                                </w:r>
                              </w:p>
                              <w:p/>
                            </w:txbxContent>
                          </wps:txbx>
                          <wps:bodyPr upright="1"/>
                        </wps:wsp>
                        <wps:wsp>
                          <wps:cNvPr id="191" name="直接连接符 191"/>
                          <wps:cNvCnPr/>
                          <wps:spPr>
                            <a:xfrm flipH="1">
                              <a:off x="1641" y="2321"/>
                              <a:ext cx="0" cy="1087"/>
                            </a:xfrm>
                            <a:prstGeom prst="line">
                              <a:avLst/>
                            </a:prstGeom>
                            <a:ln w="9525" cap="flat" cmpd="sng">
                              <a:solidFill>
                                <a:srgbClr val="000000"/>
                              </a:solidFill>
                              <a:prstDash val="solid"/>
                              <a:headEnd type="none" w="med" len="med"/>
                              <a:tailEnd type="triangle" w="sm" len="med"/>
                            </a:ln>
                          </wps:spPr>
                          <wps:bodyPr upright="1"/>
                        </wps:wsp>
                        <wps:wsp>
                          <wps:cNvPr id="192" name="矩形 192"/>
                          <wps:cNvSpPr/>
                          <wps:spPr>
                            <a:xfrm>
                              <a:off x="2316" y="5290"/>
                              <a:ext cx="1140" cy="44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通讯组</w:t>
                                </w:r>
                              </w:p>
                            </w:txbxContent>
                          </wps:txbx>
                          <wps:bodyPr upright="1"/>
                        </wps:wsp>
                        <wps:wsp>
                          <wps:cNvPr id="193" name="直接连接符 193"/>
                          <wps:cNvCnPr/>
                          <wps:spPr>
                            <a:xfrm flipH="1">
                              <a:off x="1476" y="5498"/>
                              <a:ext cx="839" cy="2"/>
                            </a:xfrm>
                            <a:prstGeom prst="line">
                              <a:avLst/>
                            </a:prstGeom>
                            <a:ln w="9525" cap="flat" cmpd="sng">
                              <a:solidFill>
                                <a:srgbClr val="000000"/>
                              </a:solidFill>
                              <a:prstDash val="solid"/>
                              <a:headEnd type="none" w="med" len="med"/>
                              <a:tailEnd type="none" w="med" len="med"/>
                            </a:ln>
                          </wps:spPr>
                          <wps:bodyPr upright="1"/>
                        </wps:wsp>
                        <wps:wsp>
                          <wps:cNvPr id="218" name="直接连接符 218"/>
                          <wps:cNvCnPr/>
                          <wps:spPr>
                            <a:xfrm>
                              <a:off x="1491" y="5500"/>
                              <a:ext cx="1" cy="2130"/>
                            </a:xfrm>
                            <a:prstGeom prst="line">
                              <a:avLst/>
                            </a:prstGeom>
                            <a:ln w="9525" cap="flat" cmpd="sng">
                              <a:solidFill>
                                <a:srgbClr val="000000"/>
                              </a:solidFill>
                              <a:prstDash val="solid"/>
                              <a:headEnd type="none" w="med" len="med"/>
                              <a:tailEnd type="triangle" w="sm" len="med"/>
                            </a:ln>
                          </wps:spPr>
                          <wps:bodyPr upright="1"/>
                        </wps:wsp>
                        <wps:wsp>
                          <wps:cNvPr id="219" name="流程图: 决策 219"/>
                          <wps:cNvSpPr/>
                          <wps:spPr>
                            <a:xfrm>
                              <a:off x="382" y="2981"/>
                              <a:ext cx="2565" cy="117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220" name="矩形 220"/>
                          <wps:cNvSpPr/>
                          <wps:spPr>
                            <a:xfrm>
                              <a:off x="1165" y="3120"/>
                              <a:ext cx="1289" cy="749"/>
                            </a:xfrm>
                            <a:prstGeom prst="rect">
                              <a:avLst/>
                            </a:prstGeom>
                            <a:noFill/>
                            <a:ln>
                              <a:noFill/>
                            </a:ln>
                          </wps:spPr>
                          <wps:txbx>
                            <w:txbxContent>
                              <w:p>
                                <w:pPr>
                                  <w:rPr>
                                    <w:sz w:val="18"/>
                                    <w:szCs w:val="18"/>
                                  </w:rPr>
                                </w:pPr>
                                <w:r>
                                  <w:rPr>
                                    <w:rFonts w:hint="eastAsia"/>
                                    <w:sz w:val="18"/>
                                    <w:szCs w:val="18"/>
                                  </w:rPr>
                                  <w:t>现场人员</w:t>
                                </w:r>
                              </w:p>
                              <w:p>
                                <w:pPr>
                                  <w:rPr>
                                    <w:sz w:val="18"/>
                                    <w:szCs w:val="18"/>
                                  </w:rPr>
                                </w:pPr>
                                <w:r>
                                  <w:rPr>
                                    <w:rFonts w:hint="eastAsia"/>
                                    <w:sz w:val="18"/>
                                    <w:szCs w:val="18"/>
                                  </w:rPr>
                                  <w:t>能否控制</w:t>
                                </w:r>
                              </w:p>
                            </w:txbxContent>
                          </wps:txbx>
                          <wps:bodyPr upright="1"/>
                        </wps:wsp>
                        <wps:wsp>
                          <wps:cNvPr id="221" name="流程图: 决策 221"/>
                          <wps:cNvSpPr/>
                          <wps:spPr>
                            <a:xfrm>
                              <a:off x="3234" y="0"/>
                              <a:ext cx="2565" cy="721"/>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222" name="矩形 222"/>
                          <wps:cNvSpPr/>
                          <wps:spPr>
                            <a:xfrm>
                              <a:off x="3937" y="127"/>
                              <a:ext cx="1289" cy="749"/>
                            </a:xfrm>
                            <a:prstGeom prst="rect">
                              <a:avLst/>
                            </a:prstGeom>
                            <a:noFill/>
                            <a:ln>
                              <a:noFill/>
                            </a:ln>
                          </wps:spPr>
                          <wps:txbx>
                            <w:txbxContent>
                              <w:p>
                                <w:pPr>
                                  <w:rPr>
                                    <w:sz w:val="18"/>
                                    <w:szCs w:val="18"/>
                                  </w:rPr>
                                </w:pPr>
                                <w:r>
                                  <w:rPr>
                                    <w:rFonts w:hint="eastAsia"/>
                                    <w:sz w:val="18"/>
                                    <w:szCs w:val="18"/>
                                  </w:rPr>
                                  <w:t>能否控制</w:t>
                                </w:r>
                              </w:p>
                            </w:txbxContent>
                          </wps:txbx>
                          <wps:bodyPr upright="1"/>
                        </wps:wsp>
                        <wps:wsp>
                          <wps:cNvPr id="223" name="矩形 223"/>
                          <wps:cNvSpPr/>
                          <wps:spPr>
                            <a:xfrm>
                              <a:off x="2062" y="0"/>
                              <a:ext cx="525" cy="435"/>
                            </a:xfrm>
                            <a:prstGeom prst="rect">
                              <a:avLst/>
                            </a:prstGeom>
                            <a:noFill/>
                            <a:ln>
                              <a:noFill/>
                            </a:ln>
                          </wps:spPr>
                          <wps:txbx>
                            <w:txbxContent>
                              <w:p>
                                <w:r>
                                  <w:rPr>
                                    <w:rFonts w:hint="eastAsia"/>
                                  </w:rPr>
                                  <w:t>Y</w:t>
                                </w:r>
                              </w:p>
                              <w:p/>
                            </w:txbxContent>
                          </wps:txbx>
                          <wps:bodyPr upright="1"/>
                        </wps:wsp>
                        <wps:wsp>
                          <wps:cNvPr id="224" name="直接箭头连接符 224"/>
                          <wps:cNvCnPr/>
                          <wps:spPr>
                            <a:xfrm>
                              <a:off x="135" y="359"/>
                              <a:ext cx="3099" cy="0"/>
                            </a:xfrm>
                            <a:prstGeom prst="straightConnector1">
                              <a:avLst/>
                            </a:prstGeom>
                            <a:ln w="9525" cap="flat" cmpd="sng">
                              <a:solidFill>
                                <a:srgbClr val="000000"/>
                              </a:solidFill>
                              <a:prstDash val="solid"/>
                              <a:headEnd type="none" w="med" len="med"/>
                              <a:tailEnd type="none" w="med" len="med"/>
                            </a:ln>
                          </wps:spPr>
                          <wps:bodyPr/>
                        </wps:wsp>
                        <wps:wsp>
                          <wps:cNvPr id="225" name="矩形 225"/>
                          <wps:cNvSpPr/>
                          <wps:spPr>
                            <a:xfrm>
                              <a:off x="4476" y="721"/>
                              <a:ext cx="525" cy="435"/>
                            </a:xfrm>
                            <a:prstGeom prst="rect">
                              <a:avLst/>
                            </a:prstGeom>
                            <a:noFill/>
                            <a:ln>
                              <a:noFill/>
                            </a:ln>
                          </wps:spPr>
                          <wps:txbx>
                            <w:txbxContent>
                              <w:p>
                                <w:r>
                                  <w:rPr>
                                    <w:rFonts w:hint="eastAsia"/>
                                  </w:rPr>
                                  <w:t>N</w:t>
                                </w:r>
                              </w:p>
                              <w:p/>
                            </w:txbxContent>
                          </wps:txbx>
                          <wps:bodyPr upright="1"/>
                        </wps:wsp>
                        <wps:wsp>
                          <wps:cNvPr id="226" name="直接箭头连接符 226"/>
                          <wps:cNvCnPr/>
                          <wps:spPr>
                            <a:xfrm>
                              <a:off x="4502" y="721"/>
                              <a:ext cx="2" cy="399"/>
                            </a:xfrm>
                            <a:prstGeom prst="straightConnector1">
                              <a:avLst/>
                            </a:prstGeom>
                            <a:ln w="9525" cap="flat" cmpd="sng">
                              <a:solidFill>
                                <a:srgbClr val="000000"/>
                              </a:solidFill>
                              <a:prstDash val="solid"/>
                              <a:headEnd type="none" w="med" len="med"/>
                              <a:tailEnd type="triangle" w="med" len="med"/>
                            </a:ln>
                          </wps:spPr>
                          <wps:bodyPr/>
                        </wps:wsp>
                        <wps:wsp>
                          <wps:cNvPr id="227" name="矩形 227"/>
                          <wps:cNvSpPr/>
                          <wps:spPr>
                            <a:xfrm>
                              <a:off x="3634" y="1130"/>
                              <a:ext cx="1709" cy="81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启动综合应急预案</w:t>
                                </w:r>
                              </w:p>
                            </w:txbxContent>
                          </wps:txbx>
                          <wps:bodyPr upright="1"/>
                        </wps:wsp>
                        <wps:wsp>
                          <wps:cNvPr id="228" name="直接箭头连接符 228"/>
                          <wps:cNvCnPr/>
                          <wps:spPr>
                            <a:xfrm>
                              <a:off x="4502" y="1952"/>
                              <a:ext cx="1" cy="352"/>
                            </a:xfrm>
                            <a:prstGeom prst="straightConnector1">
                              <a:avLst/>
                            </a:prstGeom>
                            <a:ln w="9525" cap="flat" cmpd="sng">
                              <a:solidFill>
                                <a:srgbClr val="000000"/>
                              </a:solidFill>
                              <a:prstDash val="solid"/>
                              <a:headEnd type="none" w="med" len="med"/>
                              <a:tailEnd type="none" w="med" len="med"/>
                            </a:ln>
                          </wps:spPr>
                          <wps:bodyPr/>
                        </wps:wsp>
                        <wps:wsp>
                          <wps:cNvPr id="229" name="直接箭头连接符 229"/>
                          <wps:cNvCnPr/>
                          <wps:spPr>
                            <a:xfrm flipH="1">
                              <a:off x="1632" y="2321"/>
                              <a:ext cx="2876" cy="0"/>
                            </a:xfrm>
                            <a:prstGeom prst="straightConnector1">
                              <a:avLst/>
                            </a:prstGeom>
                            <a:ln w="9525" cap="flat" cmpd="sng">
                              <a:solidFill>
                                <a:srgbClr val="000000"/>
                              </a:solidFill>
                              <a:prstDash val="solid"/>
                              <a:headEnd type="none" w="med" len="med"/>
                              <a:tailEnd type="triangle" w="med" len="med"/>
                            </a:ln>
                          </wps:spPr>
                          <wps:bodyPr/>
                        </wps:wsp>
                      </wpg:grpSp>
                    </wpg:wgp>
                  </a:graphicData>
                </a:graphic>
              </wp:anchor>
            </w:drawing>
          </mc:Choice>
          <mc:Fallback>
            <w:pict>
              <v:group id="_x0000_s1026" o:spid="_x0000_s1026" o:spt="203" style="position:absolute;left:0pt;margin-left:45.65pt;margin-top:18.95pt;height:725.4pt;width:554pt;z-index:251663360;mso-width-relative:page;mso-height-relative:page;" coordsize="10449,13962" o:gfxdata="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">
                <o:lock v:ext="edit" aspectratio="f"/>
                <v:roundrect id="_x0000_s1026" o:spid="_x0000_s1026" o:spt="2" style="position:absolute;left:538;top:0;height:1152;width:1997;" fillcolor="#FFFFFF" filled="t" stroked="t" coordsize="21600,21600" arcsize="0.166666666666667" o:gfxdata="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RvQ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18"/>
                            <w:szCs w:val="21"/>
                          </w:rPr>
                        </w:pPr>
                        <w:r>
                          <w:rPr>
                            <w:rFonts w:hint="eastAsia"/>
                            <w:sz w:val="18"/>
                            <w:szCs w:val="21"/>
                          </w:rPr>
                          <w:t>生产车间泄漏、</w:t>
                        </w:r>
                        <w:r>
                          <w:rPr>
                            <w:rFonts w:hint="eastAsia"/>
                            <w:sz w:val="18"/>
                            <w:szCs w:val="21"/>
                            <w:lang w:val="en-US" w:eastAsia="zh-CN"/>
                          </w:rPr>
                          <w:t>环境污染</w:t>
                        </w:r>
                        <w:r>
                          <w:rPr>
                            <w:rFonts w:hint="eastAsia"/>
                            <w:sz w:val="18"/>
                            <w:szCs w:val="21"/>
                          </w:rPr>
                          <w:t>事故</w:t>
                        </w:r>
                      </w:p>
                    </w:txbxContent>
                  </v:textbox>
                </v:roundrect>
                <v:roundrect id="_x0000_s1026" o:spid="_x0000_s1026" o:spt="2" style="position:absolute;left:3279;top:0;height:1164;width:2485;" fillcolor="#FFFFFF" filled="t" stroked="t" coordsize="21600,21600" arcsize="0.166666666666667" o:gfxdata="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MYqObgAAADb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pPr>
                          <w:jc w:val="center"/>
                          <w:rPr>
                            <w:sz w:val="21"/>
                            <w:szCs w:val="21"/>
                          </w:rPr>
                        </w:pPr>
                        <w:r>
                          <w:rPr>
                            <w:rFonts w:hint="eastAsia"/>
                            <w:sz w:val="18"/>
                            <w:szCs w:val="21"/>
                            <w:lang w:val="en-US" w:eastAsia="zh-CN"/>
                          </w:rPr>
                          <w:t>酸性</w:t>
                        </w:r>
                        <w:r>
                          <w:rPr>
                            <w:rFonts w:hint="eastAsia"/>
                            <w:sz w:val="18"/>
                            <w:szCs w:val="21"/>
                          </w:rPr>
                          <w:t>仓库物料泄漏、环境污染、中毒事故</w:t>
                        </w:r>
                      </w:p>
                    </w:txbxContent>
                  </v:textbox>
                </v:roundrect>
                <v:roundrect id="_x0000_s1026" o:spid="_x0000_s1026" o:spt="2" style="position:absolute;left:6019;top:0;height:1164;width:2988;" fillcolor="#FFFFFF" filled="t" stroked="t" coordsize="21600,21600" arcsize="0.166666666666667" o:gfxdata="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o+i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textbox>
                    <w:txbxContent>
                      <w:p>
                        <w:pPr>
                          <w:jc w:val="center"/>
                          <w:rPr>
                            <w:sz w:val="18"/>
                            <w:szCs w:val="21"/>
                          </w:rPr>
                        </w:pPr>
                        <w:r>
                          <w:rPr>
                            <w:rFonts w:hint="eastAsia"/>
                            <w:sz w:val="18"/>
                            <w:szCs w:val="21"/>
                          </w:rPr>
                          <w:t>废气处理装置、污水处理站、危险固废堆放仓库泄漏、环境污染、中毒事故</w:t>
                        </w:r>
                      </w:p>
                      <w:p>
                        <w:pPr>
                          <w:rPr>
                            <w:sz w:val="21"/>
                            <w:szCs w:val="21"/>
                          </w:rPr>
                        </w:pPr>
                      </w:p>
                    </w:txbxContent>
                  </v:textbox>
                </v:roundrect>
                <v:shape id="_x0000_s1026" o:spid="_x0000_s1026" o:spt="32" type="#_x0000_t32" style="position:absolute;left:1522;top:2645;flip:y;height:0;width:6121;" filled="f" stroked="t" coordsize="21600,21600" o:gfxdata="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a2p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4515;top:1164;height:397;width:1;" filled="f" stroked="t" coordsize="21600,21600" o:gfxdata="UEsDBAoAAAAAAIdO4kAAAAAAAAAAAAAAAAAEAAAAZHJzL1BLAwQUAAAACACHTuJAOq5XeLwAAADc&#10;AAAADwAAAGRycy9kb3ducmV2LnhtbEVPS2sCMRC+F/wPYQRvNbHC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uV3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7639;top:1152;height:397;width:1;"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1504;top:1165;height:397;width:1;" filled="f" stroked="t" coordsize="21600,21600" o:gfxdata="UEsDBAoAAAAAAIdO4kAAAAAAAAAAAAAAAAAEAAAAZHJzL1BLAwQUAAAACACHTuJA2gtql7wAAADc&#10;AAAADwAAAGRycy9kb3ducmV2LnhtbEVPS2sCMRC+F/wPYQRvNbHg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Lap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rect id="_x0000_s1026" o:spid="_x0000_s1026" o:spt="1" style="position:absolute;left:649;top:1554;height:711;width:1709;" fillcolor="#FFFFFF" filled="t" stroked="t" coordsize="21600,21600" o:gfxdata="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GOBr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szCs w:val="18"/>
                          </w:rPr>
                        </w:pPr>
                        <w:r>
                          <w:rPr>
                            <w:rFonts w:hint="eastAsia"/>
                            <w:sz w:val="18"/>
                            <w:szCs w:val="18"/>
                          </w:rPr>
                          <w:t>启动生产车间专项应急预案</w:t>
                        </w:r>
                      </w:p>
                    </w:txbxContent>
                  </v:textbox>
                </v:rect>
                <v:rect id="_x0000_s1026" o:spid="_x0000_s1026" o:spt="1" style="position:absolute;left:3638;top:1541;height:711;width:1709;" fillcolor="#FFFFFF" filled="t" stroked="t" coordsize="21600,21600" o:gfxdata="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3Q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启动仓库专项应急预案</w:t>
                        </w:r>
                      </w:p>
                    </w:txbxContent>
                  </v:textbox>
                </v:rect>
                <v:rect id="_x0000_s1026" o:spid="_x0000_s1026" o:spt="1" style="position:absolute;left:6803;top:1528;height:711;width:1709;" fillcolor="#FFFFFF" filled="t" stroked="t" coordsize="21600,21600" o:gfxdata="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L0Y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启动环保设施专项应急预案</w:t>
                        </w:r>
                      </w:p>
                    </w:txbxContent>
                  </v:textbox>
                </v:rect>
                <v:shape id="_x0000_s1026" o:spid="_x0000_s1026" o:spt="32" type="#_x0000_t32" style="position:absolute;left:1521;top:2256;height:397;width:1;"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4534;top:2243;height:397;width:1;" filled="f" stroked="t" coordsize="21600,21600" o:gfxdata="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7ZD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7640;top:2243;height:397;width:1;"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4535;top:2653;height:39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id="_x0000_s1026" o:spid="_x0000_s1026" o:spt="203" style="position:absolute;left:0;top:3037;height:10925;width:10449;" coordsize="10449,10925"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line id="_x0000_s1026" o:spid="_x0000_s1026" o:spt="20" style="position:absolute;left:2961;top:3566;height:1;width:540;" filled="f" stroked="t" coordsize="21600,21600" o:gfxdata="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nYa5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_x0000_s1026" o:spid="_x0000_s1026" o:spt="20" style="position:absolute;left:171;top:10629;height:0;width:2416;" filled="f" stroked="t" coordsize="21600,21600" o:gfxdata="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9EjIr4A&#10;AADc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_x0000_s1026" o:spid="_x0000_s1026" o:spt="20" style="position:absolute;left:4753;top:4677;height:1680;width:1;" filled="f" stroked="t" coordsize="21600,21600" o:gfxdata="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TrdQ&#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line id="_x0000_s1026" o:spid="_x0000_s1026" o:spt="20" style="position:absolute;left:174;top:3551;flip:x;height:0;width:179;" filled="f" stroked="t" coordsize="21600,21600" o:gfxdata="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BSN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_x0000_s1026" o:spid="_x0000_s1026" o:spt="1" style="position:absolute;left:3681;top:5024;height:2147;width:4560;" filled="f" stroked="t" coordsize="21600,21600" o:gfxdata="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YFn7sAAADc&#10;AAAADwAAAAAAAAABACAAAAAiAAAAZHJzL2Rvd25yZXYueG1sUEsBAhQAFAAAAAgAh07iQDMvBZ47&#10;AAAAOQAAABAAAAAAAAAAAQAgAAAACgEAAGRycy9zaGFwZXhtbC54bWxQSwUGAAAAAAYABgBbAQAA&#10;tAMAAAAA&#10;">
                    <v:fill on="f" focussize="0,0"/>
                    <v:stroke color="#000000" joinstyle="miter" dashstyle="dash"/>
                    <v:imagedata o:title=""/>
                    <o:lock v:ext="edit" aspectratio="f"/>
                  </v:rect>
                  <v:line id="_x0000_s1026" o:spid="_x0000_s1026" o:spt="20" style="position:absolute;left:7162;top:4080;height:1050;width:1;" filled="f" stroked="t" coordsize="21600,21600" o:gfxdata="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GNRw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_x0000_s1026" o:spid="_x0000_s1026" o:spt="20" style="position:absolute;left:3471;top:5515;flip:x;height:1;width:2715;" filled="f" stroked="t" coordsize="21600,21600" o:gfxdata="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vT8G5AAAA3AAA&#10;AA8AAAAAAAAAAQAgAAAAIgAAAGRycy9kb3ducmV2LnhtbFBLAQIUABQAAAAIAIdO4kAzLwWeOwAA&#10;ADkAAAAQAAAAAAAAAAEAIAAAAAgBAABkcnMvc2hhcGV4bWwueG1sUEsFBgAAAAAGAAYAWwEAALID&#10;AAAAAA==&#10;">
                    <v:fill on="f" focussize="0,0"/>
                    <v:stroke color="#000000" joinstyle="round" endarrow="block" endarrowwidth="narrow"/>
                    <v:imagedata o:title=""/>
                    <o:lock v:ext="edit" aspectratio="f"/>
                  </v:line>
                  <v:line id="_x0000_s1026" o:spid="_x0000_s1026" o:spt="20" style="position:absolute;left:8076;top:5496;height:1;width:570;" filled="f" stroked="t" coordsize="21600,21600" o:gfxdata="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obvnL4A&#10;AADc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_x0000_s1026" o:spid="_x0000_s1026" o:spt="20" style="position:absolute;left:8046;top:5637;flip:x;height:1;width:585;" filled="f" stroked="t" coordsize="21600,21600" o:gfxdata="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ynIuugAAANwA&#10;AAAPAAAAAAAAAAEAIAAAACIAAABkcnMvZG93bnJldi54bWxQSwECFAAUAAAACACHTuJAMy8FnjsA&#10;AAA5AAAAEAAAAAAAAAABACAAAAAJAQAAZHJzL3NoYXBleG1sLnhtbFBLBQYAAAAABgAGAFsBAACz&#10;AwAAAAA=&#10;">
                    <v:fill on="f" focussize="0,0"/>
                    <v:stroke color="#000000" joinstyle="round" endarrow="block" endarrowwidth="narrow"/>
                    <v:imagedata o:title=""/>
                    <o:lock v:ext="edit" aspectratio="f"/>
                  </v:line>
                  <v:rect id="_x0000_s1026" o:spid="_x0000_s1026" o:spt="1" style="position:absolute;left:8631;top:5271;height:495;width:1395;" fillcolor="#FFFFFF" filled="t" stroked="t" coordsize="21600,21600" o:gfxdata="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zh+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专家咨询组</w:t>
                          </w:r>
                        </w:p>
                      </w:txbxContent>
                    </v:textbox>
                  </v:rect>
                  <v:line id="_x0000_s1026" o:spid="_x0000_s1026" o:spt="20" style="position:absolute;left:7266;top:5853;height:315;width:1;" filled="f" stroked="t" coordsize="21600,21600" o:gfxdata="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7fio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281;top:6211;height:1;width:1350;" filled="f" stroked="t" coordsize="21600,21600" o:gfxdata="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b3pn74A&#10;AADc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rect id="_x0000_s1026" o:spid="_x0000_s1026" o:spt="1" style="position:absolute;left:8603;top:5974;height:466;width:1395;" fillcolor="#FFFFFF" filled="t" stroked="t" coordsize="21600,21600" o:gfxdata="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nbK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信息发布组</w:t>
                          </w:r>
                        </w:p>
                      </w:txbxContent>
                    </v:textbox>
                  </v:rect>
                  <v:rect id="_x0000_s1026" o:spid="_x0000_s1026" o:spt="1" style="position:absolute;left:411;top:7620;height:2250;width:2250;" fillcolor="#FFFFFF" filled="t" stroked="t" coordsize="21600,21600" o:gfxdata="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JrMjvQAA&#10;ANwAAAAPAAAAAAAAAAEAIAAAACIAAABkcnMvZG93bnJldi54bWxQSwECFAAUAAAACACHTuJAMy8F&#10;njsAAAA5AAAAEAAAAAAAAAABACAAAAAMAQAAZHJzL3NoYXBleG1sLnhtbFBLBQYAAAAABgAGAFsB&#10;AAC2AwAAAAA=&#10;">
                    <v:fill on="t" focussize="0,0"/>
                    <v:stroke color="#000000" joinstyle="miter" dashstyle="dash"/>
                    <v:imagedata o:title=""/>
                    <o:lock v:ext="edit" aspectratio="f"/>
                  </v:rect>
                  <v:rect id="_x0000_s1026" o:spid="_x0000_s1026" o:spt="1" style="position:absolute;left:2229;top:8543;height:1440;width:509;" filled="f" stroked="f" coordsize="21600,21600" o:gfxdata="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5tz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b/>
                              <w:bCs/>
                              <w:sz w:val="18"/>
                              <w:szCs w:val="18"/>
                            </w:rPr>
                          </w:pPr>
                          <w:r>
                            <w:rPr>
                              <w:rFonts w:hint="eastAsia"/>
                              <w:b/>
                              <w:bCs/>
                              <w:sz w:val="18"/>
                              <w:szCs w:val="18"/>
                            </w:rPr>
                            <w:t>外部救援</w:t>
                          </w:r>
                        </w:p>
                      </w:txbxContent>
                    </v:textbox>
                  </v:rect>
                  <v:rect id="_x0000_s1026" o:spid="_x0000_s1026" o:spt="1" style="position:absolute;left:667;top:7830;height:450;width:1575;" fillcolor="#FFFFFF" filled="t" stroked="t" coordsize="21600,21600" o:gfxdata="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yzV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18"/>
                              <w:szCs w:val="18"/>
                            </w:rPr>
                          </w:pPr>
                          <w:r>
                            <w:rPr>
                              <w:rFonts w:hint="eastAsia"/>
                              <w:sz w:val="18"/>
                              <w:szCs w:val="18"/>
                            </w:rPr>
                            <w:t>外部救援队伍</w:t>
                          </w:r>
                        </w:p>
                      </w:txbxContent>
                    </v:textbox>
                  </v:rect>
                  <v:rect id="_x0000_s1026" o:spid="_x0000_s1026" o:spt="1" style="position:absolute;left:6156;top:5114;height:735;width:1890;" fillcolor="#FFFFFF" filled="t" stroked="t" coordsize="21600,21600" o:gfxdata="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a0o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rPr>
                            <w:t>成立相应的应急救援指挥中心</w:t>
                          </w:r>
                        </w:p>
                      </w:txbxContent>
                    </v:textbox>
                  </v:rect>
                  <v:rect id="_x0000_s1026" o:spid="_x0000_s1026" o:spt="1" style="position:absolute;left:622;top:8517;height:450;width:1575;" fillcolor="#FFFFFF" filled="t" stroked="t" coordsize="21600,21600" o:gfxdata="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uoRO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rPr>
                            <w:t>外部医疗队伍</w:t>
                          </w:r>
                        </w:p>
                      </w:txbxContent>
                    </v:textbox>
                  </v:rect>
                  <v:rect id="_x0000_s1026" o:spid="_x0000_s1026" o:spt="1" style="position:absolute;left:3846;top:6297;height:752;width:1710;" fillcolor="#FFFFFF" filled="t" stroked="t" coordsize="21600,21600" o:gfxdata="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iPT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rPr>
                            <w:t>成立企业应急</w:t>
                          </w:r>
                        </w:p>
                        <w:p>
                          <w:pPr>
                            <w:jc w:val="center"/>
                            <w:rPr>
                              <w:sz w:val="18"/>
                              <w:szCs w:val="18"/>
                            </w:rPr>
                          </w:pPr>
                          <w:r>
                            <w:rPr>
                              <w:rFonts w:hint="eastAsia"/>
                              <w:sz w:val="18"/>
                              <w:szCs w:val="18"/>
                            </w:rPr>
                            <w:t>救援指挥中心</w:t>
                          </w:r>
                        </w:p>
                      </w:txbxContent>
                    </v:textbox>
                  </v:rect>
                  <v:rect id="_x0000_s1026" o:spid="_x0000_s1026" o:spt="1" style="position:absolute;left:577;top:9371;height:450;width:1575;" fillcolor="#FFFFFF" filled="t" stroked="t" coordsize="21600,21600" o:gfxdata="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76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18"/>
                              <w:szCs w:val="18"/>
                            </w:rPr>
                          </w:pPr>
                          <w:r>
                            <w:rPr>
                              <w:rFonts w:hint="eastAsia"/>
                              <w:sz w:val="18"/>
                              <w:szCs w:val="18"/>
                            </w:rPr>
                            <w:t>外部监测队伍</w:t>
                          </w:r>
                        </w:p>
                      </w:txbxContent>
                    </v:textbox>
                  </v:rect>
                  <v:rect id="_x0000_s1026" o:spid="_x0000_s1026" o:spt="1" style="position:absolute;left:6081;top:6341;height:724;width:1924;" fillcolor="#FFFFFF" filled="t" stroked="t" coordsize="21600,21600" o:gfxdata="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6cbP7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rPr>
                            <w:t>成立金属表面园</w:t>
                          </w:r>
                          <w:r>
                            <w:rPr>
                              <w:rFonts w:hint="eastAsia"/>
                              <w:sz w:val="18"/>
                              <w:szCs w:val="18"/>
                              <w:lang w:val="en-US" w:eastAsia="zh-CN"/>
                            </w:rPr>
                            <w:t>区</w:t>
                          </w:r>
                          <w:r>
                            <w:rPr>
                              <w:rFonts w:hint="eastAsia"/>
                              <w:sz w:val="18"/>
                              <w:szCs w:val="18"/>
                            </w:rPr>
                            <w:t>应急救援现场指挥部</w:t>
                          </w:r>
                        </w:p>
                      </w:txbxContent>
                    </v:textbox>
                  </v:rect>
                  <v:rect id="_x0000_s1026" o:spid="_x0000_s1026" o:spt="1" style="position:absolute;left:3536;top:7587;height:2628;width:6913;" fillcolor="#FFFFFF" filled="t" stroked="t" coordsize="21600,21600" o:gfxdata="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bGXF&#10;wAAAANwAAAAPAAAAAAAAAAEAIAAAACIAAABkcnMvZG93bnJldi54bWxQSwECFAAUAAAACACHTuJA&#10;My8FnjsAAAA5AAAAEAAAAAAAAAABACAAAAAPAQAAZHJzL3NoYXBleG1sLnhtbFBLBQYAAAAABgAG&#10;AFsBAAC5AwAAAAA=&#10;">
                    <v:fill on="t" focussize="0,0"/>
                    <v:stroke color="#000000" joinstyle="miter" dashstyle="dash"/>
                    <v:imagedata o:title=""/>
                    <o:lock v:ext="edit" aspectratio="f"/>
                  </v:rect>
                  <v:roundrect id="_x0000_s1026" o:spid="_x0000_s1026" o:spt="2" style="position:absolute;left:2601;top:10400;height:525;width:1020;" fillcolor="#FFFFFF" filled="t" stroked="t" coordsize="21600,21600" arcsize="0.166666666666667" o:gfxdata="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gv27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jc w:val="center"/>
                            <w:rPr>
                              <w:sz w:val="21"/>
                              <w:szCs w:val="21"/>
                            </w:rPr>
                          </w:pPr>
                          <w:r>
                            <w:rPr>
                              <w:rFonts w:hint="eastAsia"/>
                              <w:sz w:val="21"/>
                              <w:szCs w:val="21"/>
                            </w:rPr>
                            <w:t>结束</w:t>
                          </w:r>
                        </w:p>
                      </w:txbxContent>
                    </v:textbox>
                  </v:roundrect>
                  <v:line id="_x0000_s1026" o:spid="_x0000_s1026" o:spt="20" style="position:absolute;left:6786;top:5850;height:510;width:1;" filled="f" stroked="t" coordsize="21600,21600" o:gfxdata="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BWvp74A&#10;AADc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_x0000_s1026" o:spid="_x0000_s1026" o:spt="20" style="position:absolute;left:5571;top:6706;height:1;width:525;" filled="f" stroked="t" coordsize="21600,21600" o:gfxdata="UEsDBAoAAAAAAIdO4kAAAAAAAAAAAAAAAAAEAAAAZHJzL1BLAwQUAAAACACHTuJAgkW+kL0AAADc&#10;AAAADwAAAGRycy9kb3ducmV2LnhtbEVPTWvCQBC9C/6HZYRexOyaS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b6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2676;top:8442;height:135;width:840;" coordsize="840,135"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1;width:810;" filled="f" stroked="t" coordsize="21600,21600" o:gfxdata="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Cb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0;top:135;height:1;width:810;" filled="f" stroked="t" coordsize="21600,21600" o:gfxdata="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friT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_x0000_s1026" o:spid="_x0000_s1026" o:spt="20" style="position:absolute;left:7461;top:5865;flip:y;height:480;width:1;" filled="f" stroked="t" coordsize="21600,21600" o:gfxdata="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FDgQugAAANwA&#10;AAAPAAAAAAAAAAEAIAAAACIAAABkcnMvZG93bnJldi54bWxQSwECFAAUAAAACACHTuJAMy8FnjsA&#10;AAA5AAAAEAAAAAAAAAABACAAAAAJAQAAZHJzL3NoYXBleG1sLnhtbFBLBQYAAAAABgAGAFsBAACz&#10;AwAAAAA=&#10;">
                    <v:fill on="f" focussize="0,0"/>
                    <v:stroke color="#000000" joinstyle="round" endarrow="block" endarrowwidth="narrow"/>
                    <v:imagedata o:title=""/>
                    <o:lock v:ext="edit" aspectratio="f"/>
                  </v:line>
                  <v:line id="_x0000_s1026" o:spid="_x0000_s1026" o:spt="20" style="position:absolute;left:3111;top:8584;height:1816;width:1;" filled="f" stroked="t" coordsize="21600,21600" o:gfxdata="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UgKW&#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rect id="_x0000_s1026" o:spid="_x0000_s1026" o:spt="1" style="position:absolute;left:5563;top:7759;height:1825;width:2113;" fillcolor="#FFFFFF" filled="t" stroked="t" coordsize="21600,21600" o:gfxdata="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VaDvQAA&#10;ANwAAAAPAAAAAAAAAAEAIAAAACIAAABkcnMvZG93bnJldi54bWxQSwECFAAUAAAACACHTuJAMy8F&#10;njsAAAA5AAAAEAAAAAAAAAABACAAAAAMAQAAZHJzL3NoYXBleG1sLnhtbFBLBQYAAAAABgAGAFsB&#10;AAC2AwAAAAA=&#10;">
                    <v:fill on="t" focussize="0,0"/>
                    <v:stroke color="#000000" joinstyle="miter" dashstyle="dash"/>
                    <v:imagedata o:title=""/>
                    <o:lock v:ext="edit" aspectratio="f"/>
                  </v:rect>
                  <v:rect id="_x0000_s1026" o:spid="_x0000_s1026" o:spt="1" style="position:absolute;left:8050;top:7833;height:1797;width:2235;" fillcolor="#FFFFFF" filled="t" stroked="t" coordsize="21600,21600" o:gfxdata="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K8j0vQAA&#10;ANwAAAAPAAAAAAAAAAEAIAAAACIAAABkcnMvZG93bnJldi54bWxQSwECFAAUAAAACACHTuJAMy8F&#10;njsAAAA5AAAAEAAAAAAAAAABACAAAAAMAQAAZHJzL3NoYXBleG1sLnhtbFBLBQYAAAAABgAGAFsB&#10;AAC2AwAAAAA=&#10;">
                    <v:fill on="t" focussize="0,0"/>
                    <v:stroke color="#000000" joinstyle="miter" dashstyle="dash"/>
                    <v:imagedata o:title=""/>
                    <o:lock v:ext="edit" aspectratio="f"/>
                  </v:rect>
                  <v:rect id="_x0000_s1026" o:spid="_x0000_s1026" o:spt="1" style="position:absolute;left:4086;top:7786;height:750;width:1110;" fillcolor="#FFFFFF" filled="t" stroked="t" coordsize="21600,21600" o:gfxdata="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DJ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rPr>
                            <w:t>技术</w:t>
                          </w:r>
                        </w:p>
                        <w:p>
                          <w:pPr>
                            <w:jc w:val="center"/>
                            <w:rPr>
                              <w:sz w:val="18"/>
                              <w:szCs w:val="18"/>
                            </w:rPr>
                          </w:pPr>
                          <w:r>
                            <w:rPr>
                              <w:rFonts w:hint="eastAsia"/>
                              <w:sz w:val="18"/>
                              <w:szCs w:val="18"/>
                            </w:rPr>
                            <w:t>支援组</w:t>
                          </w:r>
                        </w:p>
                      </w:txbxContent>
                    </v:textbox>
                  </v:rect>
                  <v:line id="_x0000_s1026" o:spid="_x0000_s1026" o:spt="20" style="position:absolute;left:4596;top:7100;height:690;width:1;" filled="f" stroked="t" coordsize="21600,21600" o:gfxdata="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kElb4A&#10;AADcAAAADwAAAAAAAAABACAAAAAiAAAAZHJzL2Rvd25yZXYueG1sUEsBAhQAFAAAAAgAh07iQDMv&#10;BZ47AAAAOQAAABAAAAAAAAAAAQAgAAAADQEAAGRycy9zaGFwZXhtbC54bWxQSwUGAAAAAAYABgBb&#10;AQAAtwMAAAAA&#10;">
                    <v:fill on="f" focussize="0,0"/>
                    <v:stroke color="#000000" joinstyle="round" endarrow="block" endarrowwidth="narrow"/>
                    <v:imagedata o:title=""/>
                    <o:lock v:ext="edit" aspectratio="f"/>
                  </v:line>
                  <v:line id="_x0000_s1026" o:spid="_x0000_s1026" o:spt="20" style="position:absolute;left:5226;top:8197;height:1;width:315;" filled="f" stroked="t" coordsize="21600,21600" o:gfxdata="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JaEO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rect id="_x0000_s1026" o:spid="_x0000_s1026" o:spt="1" style="position:absolute;left:4148;top:8977;height:792;width:778;" filled="f" stroked="f" coordsize="21600,21600" o:gfxdata="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HYr9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b/>
                              <w:bCs/>
                              <w:sz w:val="18"/>
                              <w:szCs w:val="18"/>
                            </w:rPr>
                          </w:pPr>
                          <w:r>
                            <w:rPr>
                              <w:rFonts w:hint="eastAsia"/>
                              <w:b/>
                              <w:bCs/>
                              <w:sz w:val="18"/>
                              <w:szCs w:val="18"/>
                            </w:rPr>
                            <w:t>内部救援</w:t>
                          </w:r>
                        </w:p>
                      </w:txbxContent>
                    </v:textbox>
                  </v:rect>
                  <v:line id="_x0000_s1026" o:spid="_x0000_s1026" o:spt="20" style="position:absolute;left:6486;top:7101;height:675;width:1;" filled="f" stroked="t" coordsize="21600,21600" o:gfxdata="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JA6Q&#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line id="_x0000_s1026" o:spid="_x0000_s1026" o:spt="20" style="position:absolute;left:6801;top:7070;flip:y;height:705;width:1;" filled="f" stroked="t" coordsize="21600,21600" o:gfxdata="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c2uzbsAAADc&#10;AAAADwAAAAAAAAABACAAAAAiAAAAZHJzL2Rvd25yZXYueG1sUEsBAhQAFAAAAAgAh07iQDMvBZ47&#10;AAAAOQAAABAAAAAAAAAAAQAgAAAACgEAAGRycy9zaGFwZXhtbC54bWxQSwUGAAAAAAYABgBbAQAA&#10;tAMAAAAA&#10;">
                    <v:fill on="f" focussize="0,0"/>
                    <v:stroke color="#000000" joinstyle="round" endarrow="block" endarrowwidth="narrow"/>
                    <v:imagedata o:title=""/>
                    <o:lock v:ext="edit" aspectratio="f"/>
                  </v:line>
                  <v:line id="_x0000_s1026" o:spid="_x0000_s1026" o:spt="20" style="position:absolute;left:7821;top:7100;height:1635;width:1;" filled="f" stroked="t" coordsize="21600,21600" o:gfxdata="UEsDBAoAAAAAAIdO4kAAAAAAAAAAAAAAAAAEAAAAZHJzL1BLAwQUAAAACACHTuJAOSJ8h7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8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ifI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7836;top:8734;height:1;width:225;" filled="f" stroked="t" coordsize="21600,21600" o:gfxdata="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cm2w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line id="_x0000_s1026" o:spid="_x0000_s1026" o:spt="20" style="position:absolute;left:9006;top:7464;flip:y;height:360;width:1;" filled="f" stroked="t" coordsize="21600,21600" o:gfxdata="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KzO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7956;top:7464;flip:x;height:1;width:1050;" filled="f" stroked="t" coordsize="21600,21600" o:gfxdata="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zhah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956;top:7098;flip:y;height:360;width:1;" filled="f" stroked="t" coordsize="21600,21600" o:gfxdata="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PvACugAAANwA&#10;AAAPAAAAAAAAAAEAIAAAACIAAABkcnMvZG93bnJldi54bWxQSwECFAAUAAAACACHTuJAMy8FnjsA&#10;AAA5AAAAEAAAAAAAAAABACAAAAAJAQAAZHJzL3NoYXBleG1sLnhtbFBLBQYAAAAABgAGAFsBAACz&#10;AwAAAAA=&#10;">
                    <v:fill on="f" focussize="0,0"/>
                    <v:stroke color="#000000" joinstyle="round" endarrow="block" endarrowwidth="narrow"/>
                    <v:imagedata o:title=""/>
                    <o:lock v:ext="edit" aspectratio="f"/>
                  </v:line>
                  <v:rect id="_x0000_s1026" o:spid="_x0000_s1026" o:spt="1" style="position:absolute;left:7207;top:8701;height:792;width:631;" filled="f" stroked="f" coordsize="21600,21600" o:gfxdata="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rhS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b/>
                              <w:bCs/>
                              <w:sz w:val="21"/>
                              <w:szCs w:val="21"/>
                            </w:rPr>
                          </w:pPr>
                          <w:r>
                            <w:rPr>
                              <w:rFonts w:hint="eastAsia"/>
                              <w:b/>
                              <w:bCs/>
                              <w:sz w:val="21"/>
                              <w:szCs w:val="21"/>
                            </w:rPr>
                            <w:t>控</w:t>
                          </w:r>
                        </w:p>
                        <w:p>
                          <w:pPr>
                            <w:jc w:val="center"/>
                            <w:rPr>
                              <w:b/>
                              <w:bCs/>
                              <w:sz w:val="21"/>
                              <w:szCs w:val="21"/>
                            </w:rPr>
                          </w:pPr>
                          <w:r>
                            <w:rPr>
                              <w:rFonts w:hint="eastAsia"/>
                              <w:b/>
                              <w:bCs/>
                              <w:sz w:val="21"/>
                              <w:szCs w:val="21"/>
                            </w:rPr>
                            <w:t>险</w:t>
                          </w:r>
                        </w:p>
                      </w:txbxContent>
                    </v:textbox>
                  </v:rect>
                  <v:rect id="_x0000_s1026" o:spid="_x0000_s1026" o:spt="1" style="position:absolute;left:9817;top:8641;height:792;width:631;" filled="f" stroked="f" coordsize="21600,21600" o:gfxdata="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4V1Ob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b/>
                              <w:bCs/>
                              <w:sz w:val="21"/>
                              <w:szCs w:val="21"/>
                            </w:rPr>
                          </w:pPr>
                          <w:r>
                            <w:rPr>
                              <w:rFonts w:hint="eastAsia"/>
                              <w:b/>
                              <w:bCs/>
                              <w:sz w:val="21"/>
                              <w:szCs w:val="21"/>
                            </w:rPr>
                            <w:t>救援</w:t>
                          </w:r>
                        </w:p>
                      </w:txbxContent>
                    </v:textbox>
                  </v:rect>
                  <v:rect id="_x0000_s1026" o:spid="_x0000_s1026" o:spt="1" style="position:absolute;left:5901;top:7859;height:450;width:1425;" fillcolor="#FFFFFF" filled="t" stroked="t" coordsize="21600,21600" o:gfxdata="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UNC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lang w:val="en-US" w:eastAsia="zh-CN"/>
                            </w:rPr>
                            <w:t>通讯警戒</w:t>
                          </w:r>
                          <w:r>
                            <w:rPr>
                              <w:rFonts w:hint="eastAsia"/>
                              <w:sz w:val="18"/>
                              <w:szCs w:val="18"/>
                            </w:rPr>
                            <w:t>组</w:t>
                          </w:r>
                        </w:p>
                      </w:txbxContent>
                    </v:textbox>
                  </v:rect>
                  <v:rect id="_x0000_s1026" o:spid="_x0000_s1026" o:spt="1" style="position:absolute;left:5901;top:8411;height:450;width:1425;" fillcolor="#FFFFFF" filled="t" stroked="t" coordsize="21600,21600" o:gfxdata="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PcLY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lang w:val="en-US" w:eastAsia="zh-CN"/>
                            </w:rPr>
                            <w:t>抢险灭火</w:t>
                          </w:r>
                          <w:r>
                            <w:rPr>
                              <w:rFonts w:hint="eastAsia"/>
                              <w:sz w:val="18"/>
                              <w:szCs w:val="18"/>
                            </w:rPr>
                            <w:t>组</w:t>
                          </w:r>
                        </w:p>
                      </w:txbxContent>
                    </v:textbox>
                  </v:rect>
                  <v:rect id="_x0000_s1026" o:spid="_x0000_s1026" o:spt="1" style="position:absolute;left:5886;top:8972;height:450;width:1425;" fillcolor="#FFFFFF" filled="t" stroked="t" coordsize="21600,21600" o:gfxdata="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7uu+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lang w:val="en-US" w:eastAsia="zh-CN"/>
                            </w:rPr>
                            <w:t>事故处置</w:t>
                          </w:r>
                          <w:r>
                            <w:rPr>
                              <w:rFonts w:hint="eastAsia"/>
                              <w:sz w:val="18"/>
                              <w:szCs w:val="18"/>
                            </w:rPr>
                            <w:t>组</w:t>
                          </w:r>
                        </w:p>
                      </w:txbxContent>
                    </v:textbox>
                  </v:rect>
                  <v:rect id="_x0000_s1026" o:spid="_x0000_s1026" o:spt="1" style="position:absolute;left:8466;top:7904;height:450;width:1425;" fillcolor="#FFFFFF" filled="t" stroked="t" coordsize="21600,21600" o:gfxdata="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WVF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lang w:val="en-US" w:eastAsia="zh-CN"/>
                            </w:rPr>
                            <w:t>救护疏散</w:t>
                          </w:r>
                          <w:r>
                            <w:rPr>
                              <w:rFonts w:hint="eastAsia"/>
                              <w:sz w:val="18"/>
                              <w:szCs w:val="18"/>
                            </w:rPr>
                            <w:t>组</w:t>
                          </w:r>
                        </w:p>
                      </w:txbxContent>
                    </v:textbox>
                  </v:rect>
                  <v:rect id="_x0000_s1026" o:spid="_x0000_s1026" o:spt="1" style="position:absolute;left:8467;top:8442;height:465;width:1425;" fillcolor="#FFFFFF" filled="t" stroked="t" coordsize="21600,21600" o:gfxdata="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MDW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lang w:val="en-US" w:eastAsia="zh-CN"/>
                            </w:rPr>
                            <w:t>后勤保障</w:t>
                          </w:r>
                          <w:r>
                            <w:rPr>
                              <w:rFonts w:hint="eastAsia"/>
                              <w:sz w:val="18"/>
                              <w:szCs w:val="18"/>
                            </w:rPr>
                            <w:t>组</w:t>
                          </w:r>
                        </w:p>
                      </w:txbxContent>
                    </v:textbox>
                  </v:rect>
                  <v:rect id="_x0000_s1026" o:spid="_x0000_s1026" o:spt="1" style="position:absolute;left:8481;top:8987;height:450;width:1425;" fillcolor="#FFFFFF" filled="t" stroked="t" coordsize="21600,21600" o:gfxdata="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AqP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应急监测组</w:t>
                          </w:r>
                        </w:p>
                      </w:txbxContent>
                    </v:textbox>
                  </v:rect>
                  <v:rect id="_x0000_s1026" o:spid="_x0000_s1026" o:spt="1" style="position:absolute;left:2947;top:3162;height:435;width:525;" filled="f" stroked="f" coordsize="21600,21600" o:gfxdata="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8N3lr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r>
                            <w:rPr>
                              <w:rFonts w:hint="eastAsia"/>
                            </w:rPr>
                            <w:t>N</w:t>
                          </w:r>
                        </w:p>
                        <w:p/>
                      </w:txbxContent>
                    </v:textbox>
                  </v:rect>
                  <v:line id="_x0000_s1026" o:spid="_x0000_s1026" o:spt="20" style="position:absolute;left:3471;top:2786;height:1485;width:1;" filled="f" stroked="t" coordsize="21600,21600" o:gfxdata="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KN5l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471;top:2784;height:1;width:840;" filled="f" stroked="t" coordsize="21600,21600" o:gfxdata="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rBU9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rect id="_x0000_s1026" o:spid="_x0000_s1026" o:spt="1" style="position:absolute;left:4330;top:2397;height:756;width:1830;" fillcolor="#FFFFFF" filled="t" stroked="t" coordsize="21600,21600" o:gfxdata="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3w5TK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上报金属表面处理科技工业园</w:t>
                          </w:r>
                          <w:r>
                            <w:rPr>
                              <w:rFonts w:hint="eastAsia"/>
                              <w:sz w:val="18"/>
                              <w:szCs w:val="18"/>
                              <w:lang w:val="en-US" w:eastAsia="zh-CN"/>
                            </w:rPr>
                            <w:t>区</w:t>
                          </w:r>
                        </w:p>
                      </w:txbxContent>
                    </v:textbox>
                  </v:rect>
                  <v:line id="_x0000_s1026" o:spid="_x0000_s1026" o:spt="20" style="position:absolute;left:6156;top:2740;height:1;width:945;" filled="f" stroked="t" coordsize="21600,21600" o:gfxdata="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FZx+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35;top:359;height:10244;width:0;" filled="f" stroked="t" coordsize="21600,21600" o:gfxdata="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WTn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486;top:4283;height:1;width:405;" filled="f" stroked="t" coordsize="21600,21600" o:gfxdata="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lxM+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rect id="_x0000_s1026" o:spid="_x0000_s1026" o:spt="1" style="position:absolute;left:3895;top:3912;height:763;width:1709;" fillcolor="#FFFFFF" filled="t" stroked="t" coordsize="21600,21600" o:gfxdata="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vjM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sz w:val="18"/>
                              <w:szCs w:val="18"/>
                            </w:rPr>
                          </w:pPr>
                          <w:r>
                            <w:rPr>
                              <w:rFonts w:hint="eastAsia"/>
                              <w:sz w:val="18"/>
                              <w:szCs w:val="18"/>
                            </w:rPr>
                            <w:t>企业突发环境事件应急预案</w:t>
                          </w:r>
                        </w:p>
                      </w:txbxContent>
                    </v:textbox>
                  </v:rect>
                  <v:line id="_x0000_s1026" o:spid="_x0000_s1026" o:spt="20" style="position:absolute;left:7101;top:2769;height:495;width:1;" filled="f" stroked="t" coordsize="21600,21600" o:gfxdata="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RCLX&#10;wAAAANwAAAAPAAAAAAAAAAEAIAAAACIAAABkcnMvZG93bnJldi54bWxQSwECFAAUAAAACACHTuJA&#10;My8FnjsAAAA5AAAAEAAAAAAAAAABACAAAAAPAQAAZHJzL3NoYXBleG1sLnhtbFBLBQYAAAAABgAG&#10;AFsBAAC5AwAAAAA=&#10;">
                    <v:fill on="f" focussize="0,0"/>
                    <v:stroke color="#000000" joinstyle="round" endarrow="block" endarrowwidth="narrow"/>
                    <v:imagedata o:title=""/>
                    <o:lock v:ext="edit" aspectratio="f"/>
                  </v:line>
                  <v:rect id="_x0000_s1026" o:spid="_x0000_s1026" o:spt="1" style="position:absolute;left:6089;top:3270;height:789;width:2385;" fillcolor="#FFFFFF" filled="t" stroked="t" coordsize="21600,21600" o:gfxdata="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Y0ti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r>
                            <w:rPr>
                              <w:rFonts w:hint="eastAsia"/>
                              <w:sz w:val="18"/>
                              <w:szCs w:val="18"/>
                            </w:rPr>
                            <w:t>无锡金属表面处理科技工业园</w:t>
                          </w:r>
                          <w:r>
                            <w:rPr>
                              <w:rFonts w:hint="eastAsia"/>
                              <w:sz w:val="18"/>
                              <w:szCs w:val="18"/>
                              <w:lang w:val="en-US" w:eastAsia="zh-CN"/>
                            </w:rPr>
                            <w:t>区突发环境事件应急预案</w:t>
                          </w:r>
                        </w:p>
                      </w:txbxContent>
                    </v:textbox>
                  </v:rect>
                  <v:rect id="_x0000_s1026" o:spid="_x0000_s1026" o:spt="1" style="position:absolute;left:0;top:3162;height:435;width:525;" filled="f" stroked="f" coordsize="21600,21600" o:gfxdata="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AmCRi/&#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r>
                            <w:rPr>
                              <w:rFonts w:hint="eastAsia"/>
                            </w:rPr>
                            <w:t>Y</w:t>
                          </w:r>
                        </w:p>
                        <w:p/>
                      </w:txbxContent>
                    </v:textbox>
                  </v:rect>
                  <v:line id="_x0000_s1026" o:spid="_x0000_s1026" o:spt="20" style="position:absolute;left:1641;top:2321;flip:x;height:1087;width:0;" filled="f" stroked="t" coordsize="21600,21600" o:gfxdata="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AhhRugAAANwA&#10;AAAPAAAAAAAAAAEAIAAAACIAAABkcnMvZG93bnJldi54bWxQSwECFAAUAAAACACHTuJAMy8FnjsA&#10;AAA5AAAAEAAAAAAAAAABACAAAAAJAQAAZHJzL3NoYXBleG1sLnhtbFBLBQYAAAAABgAGAFsBAACz&#10;AwAAAAA=&#10;">
                    <v:fill on="f" focussize="0,0"/>
                    <v:stroke color="#000000" joinstyle="round" endarrow="block" endarrowwidth="narrow"/>
                    <v:imagedata o:title=""/>
                    <o:lock v:ext="edit" aspectratio="f"/>
                  </v:line>
                  <v:rect id="_x0000_s1026" o:spid="_x0000_s1026" o:spt="1" style="position:absolute;left:2316;top:5290;height:449;width:1140;" fillcolor="#FFFFFF" filled="t" stroked="t" coordsize="21600,21600" o:gfxdata="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l1n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18"/>
                              <w:szCs w:val="18"/>
                            </w:rPr>
                          </w:pPr>
                          <w:r>
                            <w:rPr>
                              <w:rFonts w:hint="eastAsia"/>
                              <w:sz w:val="18"/>
                              <w:szCs w:val="18"/>
                            </w:rPr>
                            <w:t>通讯组</w:t>
                          </w:r>
                        </w:p>
                      </w:txbxContent>
                    </v:textbox>
                  </v:rect>
                  <v:line id="_x0000_s1026" o:spid="_x0000_s1026" o:spt="20" style="position:absolute;left:1476;top:5498;flip:x;height:2;width:839;" filled="f" stroked="t" coordsize="21600,21600" o:gfxdata="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G2a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1491;top:5500;height:2130;width:1;" filled="f" stroked="t" coordsize="21600,21600" o:gfxdata="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a9YsvQAA&#10;ANwAAAAPAAAAAAAAAAEAIAAAACIAAABkcnMvZG93bnJldi54bWxQSwECFAAUAAAACACHTuJAMy8F&#10;njsAAAA5AAAAEAAAAAAAAAABACAAAAAMAQAAZHJzL3NoYXBleG1sLnhtbFBLBQYAAAAABgAGAFsB&#10;AAC2AwAAAAA=&#10;">
                    <v:fill on="f" focussize="0,0"/>
                    <v:stroke color="#000000" joinstyle="round" endarrow="block" endarrowwidth="narrow"/>
                    <v:imagedata o:title=""/>
                    <o:lock v:ext="edit" aspectratio="f"/>
                  </v:line>
                  <v:shape id="_x0000_s1026" o:spid="_x0000_s1026" o:spt="110" type="#_x0000_t110" style="position:absolute;left:382;top:2981;height:1170;width:2565;" fillcolor="#FFFFFF" filled="t" stroked="t" coordsize="21600,21600" o:gfxdata="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P3Wy/&#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rect id="_x0000_s1026" o:spid="_x0000_s1026" o:spt="1" style="position:absolute;left:1165;top:3120;height:749;width:1289;" filled="f" stroked="f" coordsize="21600,21600" o:gfxdata="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yhg7sAAADc&#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sz w:val="18"/>
                              <w:szCs w:val="18"/>
                            </w:rPr>
                          </w:pPr>
                          <w:r>
                            <w:rPr>
                              <w:rFonts w:hint="eastAsia"/>
                              <w:sz w:val="18"/>
                              <w:szCs w:val="18"/>
                            </w:rPr>
                            <w:t>现场人员</w:t>
                          </w:r>
                        </w:p>
                        <w:p>
                          <w:pPr>
                            <w:rPr>
                              <w:sz w:val="18"/>
                              <w:szCs w:val="18"/>
                            </w:rPr>
                          </w:pPr>
                          <w:r>
                            <w:rPr>
                              <w:rFonts w:hint="eastAsia"/>
                              <w:sz w:val="18"/>
                              <w:szCs w:val="18"/>
                            </w:rPr>
                            <w:t>能否控制</w:t>
                          </w:r>
                        </w:p>
                      </w:txbxContent>
                    </v:textbox>
                  </v:rect>
                  <v:shape id="_x0000_s1026" o:spid="_x0000_s1026" o:spt="110" type="#_x0000_t110" style="position:absolute;left:3234;top:0;height:721;width:2565;" fillcolor="#FFFFFF" filled="t" stroked="t" coordsize="21600,21600" o:gfxdata="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VG9e/&#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rect id="_x0000_s1026" o:spid="_x0000_s1026" o:spt="1" style="position:absolute;left:3937;top:127;height:749;width:1289;" filled="f" stroked="f" coordsize="21600,21600" o:gfxdata="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Ippv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能否控制</w:t>
                          </w:r>
                        </w:p>
                      </w:txbxContent>
                    </v:textbox>
                  </v:rect>
                  <v:rect id="_x0000_s1026" o:spid="_x0000_s1026" o:spt="1" style="position:absolute;left:2062;top:0;height:435;width:525;" filled="f" stroked="f" coordsize="21600,21600" o:gfxdata="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bj/0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Y</w:t>
                          </w:r>
                        </w:p>
                        <w:p/>
                      </w:txbxContent>
                    </v:textbox>
                  </v:rect>
                  <v:shape id="_x0000_s1026" o:spid="_x0000_s1026" o:spt="32" type="#_x0000_t32" style="position:absolute;left:135;top:359;height:0;width:3099;" filled="f" stroked="t" coordsize="21600,21600" o:gfxdata="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K4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rect id="_x0000_s1026" o:spid="_x0000_s1026" o:spt="1" style="position:absolute;left:4476;top:721;height:435;width:525;" filled="f" stroked="f" coordsize="21600,21600" o:gfxdata="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ywIb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N</w:t>
                          </w:r>
                        </w:p>
                        <w:p/>
                      </w:txbxContent>
                    </v:textbox>
                  </v:rect>
                  <v:shape id="_x0000_s1026" o:spid="_x0000_s1026" o:spt="32" type="#_x0000_t32" style="position:absolute;left:4502;top:721;height:399;width:2;" filled="f" stroked="t" coordsize="21600,21600" o:gfxdata="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nJ/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_x0000_s1026" o:spid="_x0000_s1026" o:spt="1" style="position:absolute;left:3634;top:1130;height:813;width:1709;" fillcolor="#FFFFFF" filled="t" stroked="t" coordsize="21600,21600" o:gfxdata="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4jdd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rPr>
                            <w:t>启动综合应急预案</w:t>
                          </w:r>
                        </w:p>
                      </w:txbxContent>
                    </v:textbox>
                  </v:rect>
                  <v:shape id="_x0000_s1026" o:spid="_x0000_s1026" o:spt="32" type="#_x0000_t32" style="position:absolute;left:4502;top:1952;height:352;width:1;" filled="f" stroked="t" coordsize="21600,21600" o:gfxdata="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pQDn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1632;top:2321;flip:x;height:0;width:2876;" filled="f" stroked="t" coordsize="21600,21600" o:gfxdata="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UkX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v:group>
            </w:pict>
          </mc:Fallback>
        </mc:AlternateContent>
      </w: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0" w:firstLineChars="200"/>
        <w:jc w:val="center"/>
        <w:rPr>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p>
    <w:p>
      <w:pPr>
        <w:adjustRightInd w:val="0"/>
        <w:snapToGrid w:val="0"/>
        <w:spacing w:line="360" w:lineRule="auto"/>
        <w:ind w:firstLine="482" w:firstLineChars="200"/>
        <w:jc w:val="center"/>
        <w:rPr>
          <w:b/>
          <w:bCs/>
          <w:color w:val="auto"/>
          <w:highlight w:val="none"/>
        </w:rPr>
      </w:pPr>
      <w:r>
        <w:rPr>
          <w:b/>
          <w:bCs/>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2633980</wp:posOffset>
                </wp:positionH>
                <wp:positionV relativeFrom="paragraph">
                  <wp:posOffset>1070610</wp:posOffset>
                </wp:positionV>
                <wp:extent cx="3866515" cy="3175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3866515" cy="317500"/>
                        </a:xfrm>
                        <a:prstGeom prst="rect">
                          <a:avLst/>
                        </a:prstGeom>
                        <a:noFill/>
                        <a:ln>
                          <a:noFill/>
                        </a:ln>
                      </wps:spPr>
                      <wps:txbx>
                        <w:txbxContent>
                          <w:p>
                            <w:pPr>
                              <w:rPr>
                                <w:b/>
                              </w:rPr>
                            </w:pPr>
                            <w:r>
                              <w:rPr>
                                <w:rFonts w:hint="eastAsia"/>
                                <w:b/>
                              </w:rPr>
                              <w:t>图1.4-1 突发环境污染事故应急组织体系基本框图</w:t>
                            </w:r>
                          </w:p>
                        </w:txbxContent>
                      </wps:txbx>
                      <wps:bodyPr upright="1"/>
                    </wps:wsp>
                  </a:graphicData>
                </a:graphic>
              </wp:anchor>
            </w:drawing>
          </mc:Choice>
          <mc:Fallback>
            <w:pict>
              <v:shape id="_x0000_s1026" o:spid="_x0000_s1026" o:spt="202" type="#_x0000_t202" style="position:absolute;left:0pt;margin-left:207.4pt;margin-top:84.3pt;height:25pt;width:304.45pt;z-index:251664384;mso-width-relative:page;mso-height-relative:page;" filled="f" stroked="f" coordsize="21600,21600" o:gfxdata="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o5Z&#10;m9gAAAAMAQAADwAAAAAAAAABACAAAAAiAAAAZHJzL2Rvd25yZXYueG1sUEsBAhQAFAAAAAgAh07i&#10;QN3kgwqwAQAAUAMAAA4AAAAAAAAAAQAgAAAAJwEAAGRycy9lMm9Eb2MueG1sUEsFBgAAAAAGAAYA&#10;WQEAAEkFAAAAAA==&#10;">
                <v:fill on="f" focussize="0,0"/>
                <v:stroke on="f"/>
                <v:imagedata o:title=""/>
                <o:lock v:ext="edit" aspectratio="f"/>
                <v:textbox>
                  <w:txbxContent>
                    <w:p>
                      <w:pPr>
                        <w:rPr>
                          <w:b/>
                        </w:rPr>
                      </w:pPr>
                      <w:r>
                        <w:rPr>
                          <w:rFonts w:hint="eastAsia"/>
                          <w:b/>
                        </w:rPr>
                        <w:t>图1.4-1 突发环境污染事故应急组织体系基本框图</w:t>
                      </w:r>
                    </w:p>
                  </w:txbxContent>
                </v:textbox>
              </v:shape>
            </w:pict>
          </mc:Fallback>
        </mc:AlternateContent>
      </w:r>
    </w:p>
    <w:p>
      <w:pPr>
        <w:pStyle w:val="7"/>
        <w:rPr>
          <w:rFonts w:ascii="Times New Roman" w:hAnsi="Times New Roman"/>
          <w:color w:val="auto"/>
          <w:highlight w:val="none"/>
        </w:rPr>
        <w:sectPr>
          <w:pgSz w:w="16838" w:h="23811"/>
          <w:pgMar w:top="1440" w:right="1800" w:bottom="1440" w:left="1800" w:header="851" w:footer="992" w:gutter="0"/>
          <w:pgBorders>
            <w:top w:val="none" w:sz="0" w:space="0"/>
            <w:left w:val="none" w:sz="0" w:space="0"/>
            <w:bottom w:val="none" w:sz="0" w:space="0"/>
            <w:right w:val="none" w:sz="0" w:space="0"/>
          </w:pgBorders>
          <w:pgNumType w:fmt="decimal"/>
          <w:cols w:space="720" w:num="1"/>
          <w:rtlGutter w:val="0"/>
          <w:docGrid w:type="lines" w:linePitch="312" w:charSpace="0"/>
        </w:sectPr>
      </w:pP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rFonts w:hint="eastAsia" w:ascii="宋体" w:hAnsi="宋体" w:eastAsia="宋体" w:cs="Times New Roman"/>
          <w:bCs/>
          <w:color w:val="auto"/>
          <w:kern w:val="0"/>
          <w:sz w:val="24"/>
          <w:szCs w:val="20"/>
          <w:highlight w:val="none"/>
          <w:lang w:val="en-US" w:eastAsia="zh-CN" w:bidi="ar-SA"/>
        </w:rPr>
      </w:pPr>
      <w:r>
        <w:rPr>
          <w:rFonts w:hint="eastAsia" w:ascii="宋体" w:hAnsi="宋体" w:eastAsia="宋体" w:cs="Times New Roman"/>
          <w:bCs/>
          <w:color w:val="auto"/>
          <w:kern w:val="0"/>
          <w:sz w:val="24"/>
          <w:szCs w:val="20"/>
          <w:highlight w:val="none"/>
          <w:lang w:val="en-US" w:eastAsia="zh-CN" w:bidi="ar-SA"/>
        </w:rPr>
        <w:t>（2）与生产安全事故预案的衔接</w:t>
      </w:r>
    </w:p>
    <w:p>
      <w:pPr>
        <w:pStyle w:val="3"/>
        <w:keepNext w:val="0"/>
        <w:keepLines w:val="0"/>
        <w:pageBreakBefore w:val="0"/>
        <w:numPr>
          <w:ilvl w:val="0"/>
          <w:numId w:val="0"/>
        </w:numPr>
        <w:kinsoku/>
        <w:wordWrap/>
        <w:overflowPunct/>
        <w:topLinePunct w:val="0"/>
        <w:autoSpaceDE/>
        <w:autoSpaceDN/>
        <w:bidi w:val="0"/>
        <w:adjustRightInd w:val="0"/>
        <w:snapToGrid/>
        <w:spacing w:line="360" w:lineRule="auto"/>
        <w:ind w:firstLine="480" w:firstLineChars="200"/>
        <w:textAlignment w:val="auto"/>
        <w:rPr>
          <w:color w:val="auto"/>
          <w:highlight w:val="none"/>
          <w:lang w:bidi="ar"/>
        </w:rPr>
      </w:pPr>
      <w:r>
        <w:rPr>
          <w:color w:val="auto"/>
          <w:highlight w:val="none"/>
          <w:lang w:bidi="ar"/>
        </w:rPr>
        <w:t>突发环境事件应急预案定位于控制并减轻、消除污染。企业内部生产安全事故预案定位于控制并减少安全生产事故、减轻人员伤害。突发环境事件可能和生产安全事故同时发生，或引发次生、衍生事件，应当具体分析，统筹应对。</w:t>
      </w:r>
    </w:p>
    <w:p>
      <w:pPr>
        <w:pStyle w:val="3"/>
        <w:keepNext w:val="0"/>
        <w:keepLines w:val="0"/>
        <w:pageBreakBefore w:val="0"/>
        <w:numPr>
          <w:ilvl w:val="0"/>
          <w:numId w:val="0"/>
        </w:numPr>
        <w:kinsoku/>
        <w:wordWrap/>
        <w:overflowPunct/>
        <w:topLinePunct w:val="0"/>
        <w:autoSpaceDE/>
        <w:autoSpaceDN/>
        <w:bidi w:val="0"/>
        <w:adjustRightInd w:val="0"/>
        <w:snapToGrid/>
        <w:spacing w:line="360" w:lineRule="auto"/>
        <w:ind w:firstLine="480" w:firstLineChars="200"/>
        <w:textAlignment w:val="auto"/>
        <w:rPr>
          <w:color w:val="auto"/>
          <w:highlight w:val="none"/>
          <w:lang w:bidi="ar"/>
        </w:rPr>
      </w:pPr>
      <w:r>
        <w:rPr>
          <w:color w:val="auto"/>
          <w:highlight w:val="none"/>
          <w:lang w:bidi="ar"/>
        </w:rPr>
        <w:t>本预案与生产安全事故应急救援预案中的泄漏应急救援预案、火灾爆炸应急救援预案、重大危险源应急预案、公用给排水预案等专项预案相衔接、联动，做好应急组织机构、人员及物资的协调配合，相互支持。</w:t>
      </w:r>
    </w:p>
    <w:p>
      <w:pPr>
        <w:pStyle w:val="3"/>
        <w:keepNext w:val="0"/>
        <w:keepLines w:val="0"/>
        <w:pageBreakBefore w:val="0"/>
        <w:numPr>
          <w:ilvl w:val="0"/>
          <w:numId w:val="0"/>
        </w:numPr>
        <w:kinsoku/>
        <w:wordWrap/>
        <w:overflowPunct/>
        <w:topLinePunct w:val="0"/>
        <w:autoSpaceDE/>
        <w:autoSpaceDN/>
        <w:bidi w:val="0"/>
        <w:adjustRightInd w:val="0"/>
        <w:snapToGrid/>
        <w:spacing w:line="360" w:lineRule="auto"/>
        <w:ind w:firstLine="480" w:firstLineChars="200"/>
        <w:textAlignment w:val="auto"/>
        <w:rPr>
          <w:color w:val="auto"/>
          <w:highlight w:val="none"/>
          <w:lang w:bidi="ar"/>
        </w:rPr>
      </w:pPr>
      <w:r>
        <w:rPr>
          <w:color w:val="auto"/>
          <w:highlight w:val="none"/>
          <w:lang w:bidi="ar"/>
        </w:rPr>
        <w:t>（3）</w:t>
      </w:r>
      <w:r>
        <w:rPr>
          <w:color w:val="auto"/>
          <w:highlight w:val="none"/>
        </w:rPr>
        <w:t>与</w:t>
      </w:r>
      <w:r>
        <w:rPr>
          <w:color w:val="auto"/>
          <w:highlight w:val="none"/>
          <w:lang w:bidi="ar"/>
        </w:rPr>
        <w:t>《</w:t>
      </w:r>
      <w:r>
        <w:rPr>
          <w:rFonts w:hint="eastAsia"/>
          <w:color w:val="auto"/>
          <w:highlight w:val="none"/>
          <w:lang w:bidi="ar"/>
        </w:rPr>
        <w:t>无锡金属表面处理科技工业园</w:t>
      </w:r>
      <w:r>
        <w:rPr>
          <w:rFonts w:hint="eastAsia"/>
          <w:color w:val="auto"/>
          <w:highlight w:val="none"/>
          <w:lang w:val="en-US" w:eastAsia="zh-CN" w:bidi="ar"/>
        </w:rPr>
        <w:t>区突发环境事件应急预案</w:t>
      </w:r>
      <w:r>
        <w:rPr>
          <w:color w:val="auto"/>
          <w:highlight w:val="none"/>
          <w:lang w:bidi="ar"/>
        </w:rPr>
        <w:t>》的衔接</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jc w:val="left"/>
        <w:textAlignment w:val="auto"/>
        <w:rPr>
          <w:color w:val="auto"/>
          <w:highlight w:val="none"/>
        </w:rPr>
      </w:pPr>
      <w:r>
        <w:rPr>
          <w:color w:val="auto"/>
          <w:highlight w:val="none"/>
          <w:lang w:val="zh-CN" w:bidi="ar"/>
        </w:rPr>
        <w:t>企业位于</w:t>
      </w:r>
      <w:r>
        <w:rPr>
          <w:rFonts w:hint="eastAsia"/>
          <w:color w:val="auto"/>
          <w:highlight w:val="none"/>
          <w:lang w:bidi="ar"/>
        </w:rPr>
        <w:t>无锡金属表面处理科技工业园</w:t>
      </w:r>
      <w:r>
        <w:rPr>
          <w:rFonts w:hint="eastAsia"/>
          <w:color w:val="auto"/>
          <w:highlight w:val="none"/>
          <w:lang w:val="en-US" w:eastAsia="zh-CN" w:bidi="ar"/>
        </w:rPr>
        <w:t>区</w:t>
      </w:r>
      <w:r>
        <w:rPr>
          <w:color w:val="auto"/>
          <w:highlight w:val="none"/>
          <w:lang w:val="zh-CN" w:bidi="ar"/>
        </w:rPr>
        <w:t>，本预案与《无锡惠山区突发</w:t>
      </w:r>
      <w:r>
        <w:rPr>
          <w:rFonts w:hint="eastAsia"/>
          <w:color w:val="auto"/>
          <w:highlight w:val="none"/>
          <w:lang w:bidi="ar"/>
        </w:rPr>
        <w:t>环境</w:t>
      </w:r>
      <w:r>
        <w:rPr>
          <w:color w:val="auto"/>
          <w:highlight w:val="none"/>
          <w:lang w:val="zh-CN" w:bidi="ar"/>
        </w:rPr>
        <w:t>事件应急预案》相衔接</w:t>
      </w:r>
      <w:r>
        <w:rPr>
          <w:color w:val="auto"/>
          <w:highlight w:val="none"/>
          <w:lang w:bidi="ar"/>
        </w:rPr>
        <w:t>，</w:t>
      </w:r>
      <w:r>
        <w:rPr>
          <w:color w:val="auto"/>
          <w:szCs w:val="28"/>
          <w:highlight w:val="none"/>
        </w:rPr>
        <w:t>一旦发生事件，根据需要可同时启动预案</w:t>
      </w:r>
      <w:r>
        <w:rPr>
          <w:rFonts w:hint="eastAsia"/>
          <w:color w:val="auto"/>
          <w:szCs w:val="28"/>
          <w:highlight w:val="none"/>
        </w:rPr>
        <w:t>，明确了在政府及有关部门接入后企业内部指挥协调、配合处置等工作任务相关内容</w:t>
      </w:r>
      <w:r>
        <w:rPr>
          <w:rFonts w:hint="eastAsia"/>
          <w:color w:val="auto"/>
          <w:kern w:val="0"/>
          <w:highlight w:val="none"/>
          <w:lang w:bidi="ar"/>
        </w:rPr>
        <w:t>。</w:t>
      </w:r>
    </w:p>
    <w:p>
      <w:pPr>
        <w:adjustRightInd w:val="0"/>
        <w:snapToGrid w:val="0"/>
        <w:jc w:val="center"/>
        <w:rPr>
          <w:bCs/>
          <w:color w:val="auto"/>
          <w:highlight w:val="none"/>
        </w:rPr>
      </w:pPr>
      <w:r>
        <w:rPr>
          <w:color w:val="auto"/>
          <w:highlight w:val="none"/>
        </w:rPr>
        <w:drawing>
          <wp:inline distT="0" distB="0" distL="114300" distR="114300">
            <wp:extent cx="4946650" cy="3195955"/>
            <wp:effectExtent l="0" t="0" r="6350" b="0"/>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pic:cNvPicPr>
                      <a:picLocks noChangeAspect="1"/>
                    </pic:cNvPicPr>
                  </pic:nvPicPr>
                  <pic:blipFill>
                    <a:blip r:embed="rId9"/>
                    <a:srcRect l="6754" t="9436" r="7273" b="4569"/>
                    <a:stretch>
                      <a:fillRect/>
                    </a:stretch>
                  </pic:blipFill>
                  <pic:spPr>
                    <a:xfrm>
                      <a:off x="0" y="0"/>
                      <a:ext cx="4946650" cy="3195955"/>
                    </a:xfrm>
                    <a:prstGeom prst="rect">
                      <a:avLst/>
                    </a:prstGeom>
                    <a:noFill/>
                    <a:ln>
                      <a:noFill/>
                    </a:ln>
                  </pic:spPr>
                </pic:pic>
              </a:graphicData>
            </a:graphic>
          </wp:inline>
        </w:drawing>
      </w:r>
      <w:r>
        <w:rPr>
          <w:rFonts w:hint="eastAsia"/>
          <w:b/>
          <w:bCs/>
          <w:color w:val="auto"/>
          <w:highlight w:val="none"/>
        </w:rPr>
        <w:t xml:space="preserve">           </w:t>
      </w:r>
    </w:p>
    <w:p>
      <w:pPr>
        <w:adjustRightInd w:val="0"/>
        <w:snapToGrid w:val="0"/>
        <w:spacing w:line="360" w:lineRule="auto"/>
        <w:ind w:firstLine="480" w:firstLineChars="200"/>
        <w:jc w:val="center"/>
        <w:rPr>
          <w:b/>
          <w:bCs/>
          <w:color w:val="auto"/>
          <w:highlight w:val="none"/>
        </w:rPr>
      </w:pPr>
      <w:r>
        <w:rPr>
          <w:rFonts w:hint="eastAsia"/>
          <w:b/>
          <w:bCs/>
          <w:color w:val="auto"/>
          <w:highlight w:val="none"/>
        </w:rPr>
        <w:t>图</w:t>
      </w:r>
      <w:r>
        <w:rPr>
          <w:b/>
          <w:bCs/>
          <w:color w:val="auto"/>
          <w:highlight w:val="none"/>
        </w:rPr>
        <w:t>1.4-</w:t>
      </w:r>
      <w:r>
        <w:rPr>
          <w:rFonts w:hint="eastAsia"/>
          <w:b/>
          <w:bCs/>
          <w:color w:val="auto"/>
          <w:highlight w:val="none"/>
        </w:rPr>
        <w:t>2</w:t>
      </w:r>
      <w:r>
        <w:rPr>
          <w:b/>
          <w:bCs/>
          <w:color w:val="auto"/>
          <w:highlight w:val="none"/>
        </w:rPr>
        <w:t xml:space="preserve">  应急预案</w:t>
      </w:r>
      <w:r>
        <w:rPr>
          <w:rFonts w:hint="eastAsia"/>
          <w:b/>
          <w:bCs/>
          <w:color w:val="auto"/>
          <w:highlight w:val="none"/>
        </w:rPr>
        <w:t>衔接</w:t>
      </w:r>
      <w:r>
        <w:rPr>
          <w:b/>
          <w:bCs/>
          <w:color w:val="auto"/>
          <w:highlight w:val="none"/>
        </w:rPr>
        <w:t>图</w:t>
      </w:r>
    </w:p>
    <w:p>
      <w:pPr>
        <w:adjustRightInd w:val="0"/>
        <w:snapToGrid w:val="0"/>
        <w:jc w:val="center"/>
        <w:rPr>
          <w:color w:val="auto"/>
          <w:highlight w:val="none"/>
        </w:rPr>
      </w:pPr>
    </w:p>
    <w:p>
      <w:pPr>
        <w:rPr>
          <w:color w:val="auto"/>
          <w:highlight w:val="none"/>
        </w:rPr>
      </w:pPr>
    </w:p>
    <w:p>
      <w:pPr>
        <w:pStyle w:val="2"/>
        <w:rPr>
          <w:rFonts w:hint="eastAsia"/>
          <w:color w:val="auto"/>
          <w:highlight w:val="none"/>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docGrid w:type="linesAndChars" w:linePitch="326" w:charSpace="0"/>
        </w:sectPr>
      </w:pPr>
    </w:p>
    <w:p>
      <w:pPr>
        <w:pStyle w:val="5"/>
        <w:outlineLvl w:val="1"/>
        <w:rPr>
          <w:color w:val="auto"/>
          <w:highlight w:val="none"/>
        </w:rPr>
      </w:pPr>
      <w:bookmarkStart w:id="39" w:name="_Toc123810118"/>
      <w:bookmarkStart w:id="40" w:name="_Toc983"/>
      <w:r>
        <w:rPr>
          <w:color w:val="auto"/>
          <w:highlight w:val="none"/>
        </w:rPr>
        <w:t>1.5 工作原则</w:t>
      </w:r>
      <w:bookmarkEnd w:id="39"/>
      <w:bookmarkEnd w:id="40"/>
    </w:p>
    <w:p>
      <w:pPr>
        <w:adjustRightInd w:val="0"/>
        <w:snapToGrid w:val="0"/>
        <w:spacing w:line="360" w:lineRule="auto"/>
        <w:ind w:firstLine="480" w:firstLineChars="200"/>
        <w:rPr>
          <w:bCs/>
          <w:color w:val="auto"/>
          <w:highlight w:val="none"/>
        </w:rPr>
      </w:pPr>
      <w:r>
        <w:rPr>
          <w:bCs/>
          <w:color w:val="auto"/>
          <w:highlight w:val="none"/>
        </w:rPr>
        <w:t>在建立突发性环境污染事故应急系统及其响应程序时，应本着实事求是、</w:t>
      </w:r>
      <w:r>
        <w:rPr>
          <w:color w:val="auto"/>
          <w:kern w:val="0"/>
          <w:highlight w:val="none"/>
        </w:rPr>
        <w:t>切实可行</w:t>
      </w:r>
      <w:r>
        <w:rPr>
          <w:bCs/>
          <w:color w:val="auto"/>
          <w:highlight w:val="none"/>
        </w:rPr>
        <w:t>的方针，贯彻救人第一、环境优先，先期处置、防止危害扩大，快速响应、科学应对的原则，具体如下：</w:t>
      </w:r>
    </w:p>
    <w:p>
      <w:pPr>
        <w:adjustRightInd w:val="0"/>
        <w:snapToGrid w:val="0"/>
        <w:spacing w:line="360" w:lineRule="auto"/>
        <w:ind w:firstLine="480" w:firstLineChars="200"/>
        <w:rPr>
          <w:bCs/>
          <w:color w:val="auto"/>
          <w:highlight w:val="none"/>
        </w:rPr>
      </w:pPr>
      <w:r>
        <w:rPr>
          <w:bCs/>
          <w:color w:val="auto"/>
          <w:highlight w:val="none"/>
        </w:rPr>
        <w:t>（1）坚持以人为本，安全第一。把保障公众健康和生命安全作为应对突发环境事件的首要任务。凡是可能造成人员伤亡的突发环境事件发生前，要及时采取人员避险措施；突发环境事件发生后，首先开展抢救人员和控制事故扩大的应急行动；加强抢险救援人员的自身安全防护；最大程度地避免和减少突发环境事件造成的危害，保护人民群众生命财产安全，维护社会稳定。</w:t>
      </w:r>
    </w:p>
    <w:p>
      <w:pPr>
        <w:adjustRightInd w:val="0"/>
        <w:snapToGrid w:val="0"/>
        <w:spacing w:line="360" w:lineRule="auto"/>
        <w:ind w:firstLine="480" w:firstLineChars="200"/>
        <w:rPr>
          <w:bCs/>
          <w:color w:val="auto"/>
          <w:highlight w:val="none"/>
        </w:rPr>
      </w:pPr>
      <w:r>
        <w:rPr>
          <w:bCs/>
          <w:color w:val="auto"/>
          <w:highlight w:val="none"/>
        </w:rPr>
        <w:t>（2）环境优先原则。发生突发环境事件后，采取的应急行动中要体现环境重于财物的原则，优先考是对环境保护和减少环境影响的紧急措施。</w:t>
      </w:r>
    </w:p>
    <w:p>
      <w:pPr>
        <w:adjustRightInd w:val="0"/>
        <w:snapToGrid w:val="0"/>
        <w:spacing w:line="360" w:lineRule="auto"/>
        <w:ind w:firstLine="480" w:firstLineChars="200"/>
        <w:rPr>
          <w:bCs/>
          <w:color w:val="auto"/>
          <w:highlight w:val="none"/>
        </w:rPr>
      </w:pPr>
      <w:r>
        <w:rPr>
          <w:bCs/>
          <w:color w:val="auto"/>
          <w:highlight w:val="none"/>
        </w:rPr>
        <w:t>（3）先期处置原则。一旦发生事故，事故单位应立即启动先期处置应急预案，迅速采取有效措施，尽可能的控制事态发展，以减少人员伤亡和财产损失。</w:t>
      </w:r>
    </w:p>
    <w:p>
      <w:pPr>
        <w:adjustRightInd w:val="0"/>
        <w:snapToGrid w:val="0"/>
        <w:spacing w:line="360" w:lineRule="auto"/>
        <w:ind w:firstLine="480" w:firstLineChars="200"/>
        <w:rPr>
          <w:bCs/>
          <w:color w:val="auto"/>
          <w:highlight w:val="none"/>
        </w:rPr>
      </w:pPr>
      <w:r>
        <w:rPr>
          <w:bCs/>
          <w:color w:val="auto"/>
          <w:highlight w:val="none"/>
        </w:rPr>
        <w:t>（4）快速响应、科学应急。事故所具有的突发性等特点，决定了在现场处置过程中任何时间上的延误都有可能加大应急处置工作的难度，以至于使事故的影响扩大，引发更为严重的污染后果。因此，在应急处置过程中必须坚持做到快速反应，力争在最短的时问内控制事态、减少对环境的而影响。</w:t>
      </w:r>
    </w:p>
    <w:p>
      <w:pPr>
        <w:adjustRightInd w:val="0"/>
        <w:snapToGrid w:val="0"/>
        <w:spacing w:line="360" w:lineRule="auto"/>
        <w:ind w:firstLine="480" w:firstLineChars="200"/>
        <w:rPr>
          <w:bCs/>
          <w:color w:val="auto"/>
          <w:highlight w:val="none"/>
        </w:rPr>
      </w:pPr>
      <w:r>
        <w:rPr>
          <w:bCs/>
          <w:color w:val="auto"/>
          <w:highlight w:val="none"/>
        </w:rPr>
        <w:t>发生突发环境事故后，由应急指挥中心全面负责内部的统一指挥、统一调度，按照事故类型进行有针对性的处置，并配合、服从上级有关部门的统一指挥，按照各自职责，密切协作，保证处置工作的科学性、统一性和高效性。</w:t>
      </w:r>
    </w:p>
    <w:p>
      <w:pPr>
        <w:adjustRightInd w:val="0"/>
        <w:snapToGrid w:val="0"/>
        <w:spacing w:line="360" w:lineRule="auto"/>
        <w:ind w:firstLine="480" w:firstLineChars="200"/>
        <w:rPr>
          <w:bCs/>
          <w:color w:val="auto"/>
          <w:highlight w:val="none"/>
        </w:rPr>
      </w:pPr>
      <w:r>
        <w:rPr>
          <w:bCs/>
          <w:color w:val="auto"/>
          <w:highlight w:val="none"/>
        </w:rPr>
        <w:t>（5）预防为主，平战结合。贯彻落实</w:t>
      </w:r>
      <w:r>
        <w:rPr>
          <w:rFonts w:hint="eastAsia"/>
          <w:bCs/>
          <w:color w:val="auto"/>
          <w:highlight w:val="none"/>
        </w:rPr>
        <w:t>“</w:t>
      </w:r>
      <w:r>
        <w:rPr>
          <w:bCs/>
          <w:color w:val="auto"/>
          <w:highlight w:val="none"/>
        </w:rPr>
        <w:t>安全第一，预防为主，综合治理</w:t>
      </w:r>
      <w:r>
        <w:rPr>
          <w:rFonts w:hint="eastAsia"/>
          <w:bCs/>
          <w:color w:val="auto"/>
          <w:highlight w:val="none"/>
        </w:rPr>
        <w:t>”</w:t>
      </w:r>
      <w:r>
        <w:rPr>
          <w:bCs/>
          <w:color w:val="auto"/>
          <w:highlight w:val="none"/>
        </w:rPr>
        <w:t>的方针，坚持事故灾难应急与预防工作相结合。做好预防、预测、预警和预报工作，做好常态下的风险管理、物资储备、队伍建设、装备完善、预案演练等工作。</w:t>
      </w:r>
    </w:p>
    <w:p>
      <w:pPr>
        <w:snapToGrid w:val="0"/>
        <w:spacing w:line="360" w:lineRule="auto"/>
        <w:ind w:firstLine="573"/>
        <w:rPr>
          <w:color w:val="auto"/>
          <w:highlight w:val="none"/>
          <w:lang w:val="zh-CN"/>
        </w:rPr>
        <w:sectPr>
          <w:pgSz w:w="11907" w:h="16840"/>
          <w:pgMar w:top="1402" w:right="1440" w:bottom="1797" w:left="1440" w:header="851" w:footer="992" w:gutter="0"/>
          <w:pgBorders>
            <w:top w:val="none" w:sz="0" w:space="0"/>
            <w:left w:val="none" w:sz="0" w:space="0"/>
            <w:bottom w:val="none" w:sz="0" w:space="0"/>
            <w:right w:val="none" w:sz="0" w:space="0"/>
          </w:pgBorders>
          <w:pgNumType w:fmt="decimal"/>
          <w:cols w:space="720" w:num="1"/>
        </w:sectPr>
      </w:pPr>
      <w:r>
        <w:rPr>
          <w:bCs/>
          <w:color w:val="auto"/>
          <w:highlight w:val="none"/>
        </w:rPr>
        <w:t>（6）企业自救与属地管理相结合原则。突发环境事件应急救援遵循企业自救和属地政府救援相结合的原则，建立统一指挥、反应敏捷、功能齐全、协调有序、运转高效的应急管理机制，充分发挥企业和属地政府应急资源的作用，确保一旦出现事故，能够快速反应、及时、果断处置工作</w:t>
      </w:r>
      <w:r>
        <w:rPr>
          <w:color w:val="auto"/>
          <w:szCs w:val="28"/>
          <w:highlight w:val="none"/>
        </w:rPr>
        <w:t>。</w:t>
      </w:r>
      <w:bookmarkStart w:id="41" w:name="_Toc141580960"/>
      <w:bookmarkStart w:id="42" w:name="_Toc342550059"/>
      <w:bookmarkStart w:id="43" w:name="_Toc160350915"/>
      <w:bookmarkStart w:id="44" w:name="_Toc273391325"/>
      <w:bookmarkStart w:id="45" w:name="_Toc273391649"/>
    </w:p>
    <w:bookmarkEnd w:id="41"/>
    <w:bookmarkEnd w:id="42"/>
    <w:bookmarkEnd w:id="43"/>
    <w:p>
      <w:pPr>
        <w:pStyle w:val="4"/>
        <w:adjustRightInd w:val="0"/>
        <w:snapToGrid w:val="0"/>
        <w:rPr>
          <w:color w:val="auto"/>
          <w:kern w:val="0"/>
          <w:highlight w:val="none"/>
        </w:rPr>
      </w:pPr>
      <w:bookmarkStart w:id="46" w:name="_Toc18951"/>
      <w:bookmarkStart w:id="47" w:name="_Toc28103235"/>
      <w:r>
        <w:rPr>
          <w:color w:val="auto"/>
          <w:kern w:val="0"/>
          <w:highlight w:val="none"/>
        </w:rPr>
        <w:t>2 组织机构及职责</w:t>
      </w:r>
      <w:bookmarkEnd w:id="44"/>
      <w:bookmarkEnd w:id="45"/>
      <w:bookmarkEnd w:id="46"/>
      <w:bookmarkEnd w:id="47"/>
    </w:p>
    <w:p>
      <w:pPr>
        <w:pStyle w:val="5"/>
        <w:rPr>
          <w:color w:val="auto"/>
          <w:highlight w:val="none"/>
        </w:rPr>
      </w:pPr>
      <w:bookmarkStart w:id="48" w:name="_Toc26654"/>
      <w:bookmarkStart w:id="49" w:name="_Toc273391326"/>
      <w:bookmarkStart w:id="50" w:name="_Toc273391650"/>
      <w:bookmarkStart w:id="51" w:name="_Toc28103236"/>
      <w:r>
        <w:rPr>
          <w:color w:val="auto"/>
          <w:highlight w:val="none"/>
        </w:rPr>
        <w:t>2.1 组织体系</w:t>
      </w:r>
      <w:bookmarkEnd w:id="48"/>
      <w:bookmarkEnd w:id="49"/>
      <w:bookmarkEnd w:id="50"/>
      <w:bookmarkEnd w:id="51"/>
    </w:p>
    <w:p>
      <w:pPr>
        <w:autoSpaceDE w:val="0"/>
        <w:autoSpaceDN w:val="0"/>
        <w:spacing w:line="360" w:lineRule="auto"/>
        <w:ind w:firstLine="480" w:firstLineChars="200"/>
        <w:rPr>
          <w:color w:val="auto"/>
          <w:highlight w:val="none"/>
        </w:rPr>
      </w:pPr>
      <w:bookmarkStart w:id="52" w:name="_Toc273391651"/>
      <w:bookmarkStart w:id="53" w:name="_Toc273391327"/>
      <w:bookmarkStart w:id="54" w:name="_Toc28103237"/>
      <w:r>
        <w:rPr>
          <w:color w:val="auto"/>
          <w:highlight w:val="none"/>
        </w:rPr>
        <w:t>我公司组建应急救援指挥部，由总指挥、副总指挥，指挥部人员组成，其中总指挥以及副总指挥由企业主要负责人担任。救援指挥部每个成员具体负责其中一块工作。在应急救援指挥部的统一领导下，公司拟成立事故预防二级机构，如通信警戒组、抢险灭火组、救护疏散组、</w:t>
      </w:r>
      <w:r>
        <w:rPr>
          <w:rFonts w:hint="eastAsia"/>
          <w:color w:val="auto"/>
          <w:highlight w:val="none"/>
          <w:lang w:val="en-US" w:eastAsia="zh-CN"/>
        </w:rPr>
        <w:t>后勤</w:t>
      </w:r>
      <w:r>
        <w:rPr>
          <w:color w:val="auto"/>
          <w:highlight w:val="none"/>
        </w:rPr>
        <w:t>保障组、</w:t>
      </w:r>
      <w:r>
        <w:rPr>
          <w:rFonts w:hint="eastAsia"/>
          <w:color w:val="auto"/>
          <w:highlight w:val="none"/>
          <w:lang w:val="en-US" w:eastAsia="zh-CN"/>
        </w:rPr>
        <w:t>事故</w:t>
      </w:r>
      <w:r>
        <w:rPr>
          <w:color w:val="auto"/>
          <w:highlight w:val="none"/>
        </w:rPr>
        <w:t>处置组</w:t>
      </w:r>
      <w:r>
        <w:rPr>
          <w:rFonts w:hint="eastAsia"/>
          <w:color w:val="auto"/>
          <w:highlight w:val="none"/>
        </w:rPr>
        <w:t>、应急监测组</w:t>
      </w:r>
      <w:r>
        <w:rPr>
          <w:color w:val="auto"/>
          <w:highlight w:val="none"/>
        </w:rPr>
        <w:t>等</w:t>
      </w:r>
      <w:r>
        <w:rPr>
          <w:rFonts w:hint="eastAsia"/>
          <w:color w:val="auto"/>
          <w:highlight w:val="none"/>
        </w:rPr>
        <w:t>6</w:t>
      </w:r>
      <w:r>
        <w:rPr>
          <w:color w:val="auto"/>
          <w:highlight w:val="none"/>
        </w:rPr>
        <w:t>个行动小组，并明确各个小组的主要职责，确定主要任务。</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公司机构体系示意图详见图2.1-1。</w:t>
      </w:r>
    </w:p>
    <w:p>
      <w:pPr>
        <w:pStyle w:val="2"/>
        <w:rPr>
          <w:color w:val="auto"/>
          <w:highlight w:val="none"/>
        </w:rPr>
      </w:pPr>
      <w:r>
        <w:rPr>
          <w:color w:val="auto"/>
          <w:highlight w:val="none"/>
        </w:rPr>
        <w:t xml:space="preserve">  </w:t>
      </w:r>
      <w:r>
        <w:rPr>
          <w:color w:val="auto"/>
          <w:sz w:val="24"/>
          <w:highlight w:val="none"/>
        </w:rPr>
        <mc:AlternateContent>
          <mc:Choice Requires="wpg">
            <w:drawing>
              <wp:inline distT="0" distB="0" distL="114300" distR="114300">
                <wp:extent cx="5177790" cy="4101465"/>
                <wp:effectExtent l="4445" t="4445" r="18415" b="8890"/>
                <wp:docPr id="382" name="组合 382"/>
                <wp:cNvGraphicFramePr/>
                <a:graphic xmlns:a="http://schemas.openxmlformats.org/drawingml/2006/main">
                  <a:graphicData uri="http://schemas.microsoft.com/office/word/2010/wordprocessingGroup">
                    <wpg:wgp>
                      <wpg:cNvGrpSpPr/>
                      <wpg:grpSpPr>
                        <a:xfrm>
                          <a:off x="0" y="0"/>
                          <a:ext cx="5177790" cy="4101465"/>
                          <a:chOff x="4905" y="262421"/>
                          <a:chExt cx="8154" cy="6459"/>
                        </a:xfrm>
                        <a:effectLst/>
                      </wpg:grpSpPr>
                      <wps:wsp>
                        <wps:cNvPr id="24" name="直接连接符 50"/>
                        <wps:cNvCnPr/>
                        <wps:spPr>
                          <a:xfrm flipV="1">
                            <a:off x="5120" y="265235"/>
                            <a:ext cx="7572" cy="0"/>
                          </a:xfrm>
                          <a:prstGeom prst="line">
                            <a:avLst/>
                          </a:prstGeom>
                          <a:ln w="9525" cap="flat" cmpd="sng">
                            <a:solidFill>
                              <a:srgbClr val="000000"/>
                            </a:solidFill>
                            <a:prstDash val="solid"/>
                            <a:headEnd type="none" w="med" len="med"/>
                            <a:tailEnd type="none" w="med" len="med"/>
                          </a:ln>
                          <a:effectLst/>
                        </wps:spPr>
                        <wps:bodyPr/>
                      </wps:wsp>
                      <wpg:grpSp>
                        <wpg:cNvPr id="383" name="组合 80"/>
                        <wpg:cNvGrpSpPr/>
                        <wpg:grpSpPr>
                          <a:xfrm>
                            <a:off x="5303" y="262421"/>
                            <a:ext cx="7572" cy="2936"/>
                            <a:chOff x="5303" y="262421"/>
                            <a:chExt cx="7572" cy="2936"/>
                          </a:xfrm>
                          <a:effectLst/>
                        </wpg:grpSpPr>
                        <wps:wsp>
                          <wps:cNvPr id="25" name="直接连接符 52"/>
                          <wps:cNvCnPr/>
                          <wps:spPr>
                            <a:xfrm flipV="1">
                              <a:off x="5303" y="265351"/>
                              <a:ext cx="7572" cy="7"/>
                            </a:xfrm>
                            <a:prstGeom prst="line">
                              <a:avLst/>
                            </a:prstGeom>
                            <a:ln w="9525" cap="flat" cmpd="sng">
                              <a:solidFill>
                                <a:srgbClr val="000000"/>
                              </a:solidFill>
                              <a:prstDash val="sysDot"/>
                              <a:headEnd type="none" w="med" len="med"/>
                              <a:tailEnd type="none" w="med" len="med"/>
                            </a:ln>
                            <a:effectLst/>
                          </wps:spPr>
                          <wps:bodyPr/>
                        </wps:wsp>
                        <wpg:grpSp>
                          <wpg:cNvPr id="384" name="组合 75"/>
                          <wpg:cNvGrpSpPr/>
                          <wpg:grpSpPr>
                            <a:xfrm>
                              <a:off x="6553" y="262421"/>
                              <a:ext cx="4451" cy="1162"/>
                              <a:chOff x="3722" y="5520"/>
                              <a:chExt cx="4451" cy="1130"/>
                            </a:xfrm>
                            <a:effectLst/>
                          </wpg:grpSpPr>
                          <wps:wsp>
                            <wps:cNvPr id="26" name="直接连接符 54"/>
                            <wps:cNvCnPr/>
                            <wps:spPr>
                              <a:xfrm>
                                <a:off x="5808" y="6050"/>
                                <a:ext cx="0" cy="567"/>
                              </a:xfrm>
                              <a:prstGeom prst="line">
                                <a:avLst/>
                              </a:prstGeom>
                              <a:ln w="9525" cap="flat" cmpd="sng">
                                <a:solidFill>
                                  <a:srgbClr val="000000"/>
                                </a:solidFill>
                                <a:prstDash val="solid"/>
                                <a:headEnd type="none" w="med" len="med"/>
                                <a:tailEnd type="triangle" w="med" len="med"/>
                              </a:ln>
                              <a:effectLst/>
                            </wps:spPr>
                            <wps:bodyPr/>
                          </wps:wsp>
                          <wps:wsp>
                            <wps:cNvPr id="95" name="直接连接符 55"/>
                            <wps:cNvCnPr/>
                            <wps:spPr>
                              <a:xfrm flipV="1">
                                <a:off x="6106" y="6083"/>
                                <a:ext cx="0" cy="567"/>
                              </a:xfrm>
                              <a:prstGeom prst="line">
                                <a:avLst/>
                              </a:prstGeom>
                              <a:ln w="9525" cap="flat" cmpd="sng">
                                <a:solidFill>
                                  <a:srgbClr val="000000"/>
                                </a:solidFill>
                                <a:prstDash val="sysDot"/>
                                <a:headEnd type="none" w="med" len="med"/>
                                <a:tailEnd type="triangle" w="med" len="med"/>
                              </a:ln>
                              <a:effectLst/>
                            </wps:spPr>
                            <wps:bodyPr/>
                          </wps:wsp>
                          <wps:wsp>
                            <wps:cNvPr id="27" name="文本框 74"/>
                            <wps:cNvSpPr txBox="1"/>
                            <wps:spPr>
                              <a:xfrm>
                                <a:off x="3722" y="5520"/>
                                <a:ext cx="4451" cy="56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rPr>
                                  </w:pPr>
                                  <w:r>
                                    <w:rPr>
                                      <w:rFonts w:hint="eastAsia" w:ascii="宋体" w:hAnsi="宋体"/>
                                    </w:rPr>
                                    <w:t>上级主管部门</w:t>
                                  </w:r>
                                </w:p>
                              </w:txbxContent>
                            </wps:txbx>
                            <wps:bodyPr upright="1"/>
                          </wps:wsp>
                        </wpg:grpSp>
                        <wpg:grpSp>
                          <wpg:cNvPr id="385" name="组合 79"/>
                          <wpg:cNvGrpSpPr/>
                          <wpg:grpSpPr>
                            <a:xfrm>
                              <a:off x="6519" y="263549"/>
                              <a:ext cx="4450" cy="1669"/>
                              <a:chOff x="6519" y="263549"/>
                              <a:chExt cx="4450" cy="1669"/>
                            </a:xfrm>
                            <a:effectLst/>
                          </wpg:grpSpPr>
                          <wps:wsp>
                            <wps:cNvPr id="29" name="直接连接符 76"/>
                            <wps:cNvCnPr/>
                            <wps:spPr>
                              <a:xfrm>
                                <a:off x="8832" y="264576"/>
                                <a:ext cx="0" cy="642"/>
                              </a:xfrm>
                              <a:prstGeom prst="line">
                                <a:avLst/>
                              </a:prstGeom>
                              <a:ln w="9525" cap="flat" cmpd="sng">
                                <a:solidFill>
                                  <a:srgbClr val="000000"/>
                                </a:solidFill>
                                <a:prstDash val="sysDot"/>
                                <a:headEnd type="triangle" w="med" len="med"/>
                                <a:tailEnd type="none" w="med" len="med"/>
                              </a:ln>
                              <a:effectLst/>
                            </wps:spPr>
                            <wps:bodyPr/>
                          </wps:wsp>
                          <wps:wsp>
                            <wps:cNvPr id="30" name="直接连接符 77"/>
                            <wps:cNvCnPr/>
                            <wps:spPr>
                              <a:xfrm flipV="1">
                                <a:off x="8635" y="264576"/>
                                <a:ext cx="0" cy="642"/>
                              </a:xfrm>
                              <a:prstGeom prst="line">
                                <a:avLst/>
                              </a:prstGeom>
                              <a:ln w="9525" cap="flat" cmpd="sng">
                                <a:solidFill>
                                  <a:srgbClr val="000000"/>
                                </a:solidFill>
                                <a:prstDash val="solid"/>
                                <a:headEnd type="triangle" w="med" len="med"/>
                                <a:tailEnd type="none" w="med" len="med"/>
                              </a:ln>
                              <a:effectLst/>
                            </wps:spPr>
                            <wps:bodyPr/>
                          </wps:wsp>
                          <wps:wsp>
                            <wps:cNvPr id="31" name="文本框 78"/>
                            <wps:cNvSpPr txBox="1"/>
                            <wps:spPr>
                              <a:xfrm>
                                <a:off x="6519" y="263549"/>
                                <a:ext cx="4451" cy="1026"/>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hAnsi="宋体"/>
                                    </w:rPr>
                                  </w:pPr>
                                  <w:r>
                                    <w:rPr>
                                      <w:rFonts w:hint="eastAsia" w:ascii="宋体" w:hAnsi="宋体"/>
                                    </w:rPr>
                                    <w:t>公司应急指挥部</w:t>
                                  </w:r>
                                </w:p>
                                <w:p>
                                  <w:pPr>
                                    <w:adjustRightInd w:val="0"/>
                                    <w:snapToGrid w:val="0"/>
                                    <w:rPr>
                                      <w:rFonts w:hint="default" w:ascii="仿宋_GB2312"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总指挥：</w:t>
                                  </w:r>
                                  <w:r>
                                    <w:rPr>
                                      <w:rFonts w:hint="eastAsia" w:ascii="宋体" w:hAnsi="宋体"/>
                                      <w:color w:val="000000" w:themeColor="text1"/>
                                      <w:lang w:val="en-US" w:eastAsia="zh-CN"/>
                                      <w14:textFill>
                                        <w14:solidFill>
                                          <w14:schemeClr w14:val="tx1"/>
                                        </w14:solidFill>
                                      </w14:textFill>
                                    </w:rPr>
                                    <w:t>陈海</w:t>
                                  </w:r>
                                  <w:r>
                                    <w:rPr>
                                      <w:rFonts w:hint="eastAsia"/>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副总指挥：</w:t>
                                  </w:r>
                                  <w:r>
                                    <w:rPr>
                                      <w:rFonts w:hint="eastAsia" w:ascii="宋体" w:hAnsi="宋体"/>
                                      <w:color w:val="000000" w:themeColor="text1"/>
                                      <w:lang w:val="en-US" w:eastAsia="zh-CN"/>
                                      <w14:textFill>
                                        <w14:solidFill>
                                          <w14:schemeClr w14:val="tx1"/>
                                        </w14:solidFill>
                                      </w14:textFill>
                                    </w:rPr>
                                    <w:t>吴科飞</w:t>
                                  </w:r>
                                </w:p>
                              </w:txbxContent>
                            </wps:txbx>
                            <wps:bodyPr upright="1"/>
                          </wps:wsp>
                        </wpg:grpSp>
                      </wpg:grpSp>
                      <wpg:grpSp>
                        <wpg:cNvPr id="386" name="组合 85"/>
                        <wpg:cNvGrpSpPr/>
                        <wpg:grpSpPr>
                          <a:xfrm>
                            <a:off x="4905" y="265242"/>
                            <a:ext cx="586" cy="3546"/>
                            <a:chOff x="4905" y="265242"/>
                            <a:chExt cx="586" cy="3546"/>
                          </a:xfrm>
                          <a:effectLst/>
                        </wpg:grpSpPr>
                        <wpg:grpSp>
                          <wpg:cNvPr id="387" name="组合 83"/>
                          <wpg:cNvGrpSpPr/>
                          <wpg:grpSpPr>
                            <a:xfrm>
                              <a:off x="5120" y="265242"/>
                              <a:ext cx="183" cy="582"/>
                              <a:chOff x="5120" y="265242"/>
                              <a:chExt cx="183" cy="582"/>
                            </a:xfrm>
                            <a:effectLst/>
                          </wpg:grpSpPr>
                          <wps:wsp>
                            <wps:cNvPr id="32" name="直接连接符 81"/>
                            <wps:cNvCnPr/>
                            <wps:spPr>
                              <a:xfrm>
                                <a:off x="5120" y="265242"/>
                                <a:ext cx="0" cy="583"/>
                              </a:xfrm>
                              <a:prstGeom prst="line">
                                <a:avLst/>
                              </a:prstGeom>
                              <a:ln w="9525" cap="flat" cmpd="sng">
                                <a:solidFill>
                                  <a:srgbClr val="000000"/>
                                </a:solidFill>
                                <a:prstDash val="solid"/>
                                <a:headEnd type="none" w="med" len="med"/>
                                <a:tailEnd type="triangle" w="med" len="med"/>
                              </a:ln>
                              <a:effectLst/>
                            </wps:spPr>
                            <wps:bodyPr/>
                          </wps:wsp>
                          <wps:wsp>
                            <wps:cNvPr id="33" name="直接连接符 82"/>
                            <wps:cNvCnPr/>
                            <wps:spPr>
                              <a:xfrm flipV="1">
                                <a:off x="5303" y="265351"/>
                                <a:ext cx="0" cy="467"/>
                              </a:xfrm>
                              <a:prstGeom prst="line">
                                <a:avLst/>
                              </a:prstGeom>
                              <a:ln w="9525" cap="flat" cmpd="sng">
                                <a:solidFill>
                                  <a:srgbClr val="000000"/>
                                </a:solidFill>
                                <a:prstDash val="sysDot"/>
                                <a:headEnd type="none" w="med" len="med"/>
                                <a:tailEnd type="triangle" w="med" len="med"/>
                              </a:ln>
                              <a:effectLst/>
                            </wps:spPr>
                            <wps:bodyPr/>
                          </wps:wsp>
                        </wpg:grpSp>
                        <wps:wsp>
                          <wps:cNvPr id="34" name="矩形 84"/>
                          <wps:cNvSpPr/>
                          <wps:spPr>
                            <a:xfrm>
                              <a:off x="4905" y="265834"/>
                              <a:ext cx="586" cy="2955"/>
                            </a:xfrm>
                            <a:prstGeom prst="rect">
                              <a:avLst/>
                            </a:prstGeom>
                            <a:noFill/>
                            <a:ln w="9525" cap="flat" cmpd="sng">
                              <a:solidFill>
                                <a:srgbClr val="000000"/>
                              </a:solidFill>
                              <a:prstDash val="solid"/>
                              <a:miter/>
                              <a:headEnd type="none" w="med" len="med"/>
                              <a:tailEnd type="none" w="med" len="med"/>
                            </a:ln>
                            <a:effectLst/>
                          </wps:spPr>
                          <wps:txbx>
                            <w:txbxContent>
                              <w:p>
                                <w:pPr>
                                  <w:adjustRightInd w:val="0"/>
                                  <w:snapToGrid w:val="0"/>
                                </w:pPr>
                                <w:r>
                                  <w:rPr>
                                    <w:rFonts w:hint="eastAsia"/>
                                  </w:rPr>
                                  <w:t>通信警戒组：</w:t>
                                </w:r>
                                <w:r>
                                  <w:rPr>
                                    <w:rFonts w:hint="eastAsia" w:ascii="宋体" w:hAnsi="宋体"/>
                                    <w:color w:val="000000" w:themeColor="text1"/>
                                    <w:lang w:val="en-US" w:eastAsia="zh-CN"/>
                                    <w14:textFill>
                                      <w14:solidFill>
                                        <w14:schemeClr w14:val="tx1"/>
                                      </w14:solidFill>
                                    </w14:textFill>
                                  </w:rPr>
                                  <w:t>吴科飞</w:t>
                                </w:r>
                              </w:p>
                            </w:txbxContent>
                          </wps:txbx>
                          <wps:bodyPr lIns="91440" tIns="36000" rIns="91440" bIns="0" upright="1"/>
                        </wps:wsp>
                      </wpg:grpSp>
                      <wpg:grpSp>
                        <wpg:cNvPr id="388" name="组合 89"/>
                        <wpg:cNvGrpSpPr/>
                        <wpg:grpSpPr>
                          <a:xfrm>
                            <a:off x="6756" y="265242"/>
                            <a:ext cx="540" cy="3577"/>
                            <a:chOff x="4109" y="8330"/>
                            <a:chExt cx="540" cy="4009"/>
                          </a:xfrm>
                          <a:effectLst/>
                        </wpg:grpSpPr>
                        <wps:wsp>
                          <wps:cNvPr id="35" name="直接连接符 86"/>
                          <wps:cNvCnPr/>
                          <wps:spPr>
                            <a:xfrm>
                              <a:off x="4315" y="8330"/>
                              <a:ext cx="0" cy="567"/>
                            </a:xfrm>
                            <a:prstGeom prst="line">
                              <a:avLst/>
                            </a:prstGeom>
                            <a:ln w="9525" cap="flat" cmpd="sng">
                              <a:solidFill>
                                <a:srgbClr val="000000"/>
                              </a:solidFill>
                              <a:prstDash val="solid"/>
                              <a:headEnd type="none" w="med" len="med"/>
                              <a:tailEnd type="triangle" w="med" len="med"/>
                            </a:ln>
                            <a:effectLst/>
                          </wps:spPr>
                          <wps:bodyPr/>
                        </wps:wsp>
                        <wps:wsp>
                          <wps:cNvPr id="36" name="直接连接符 87"/>
                          <wps:cNvCnPr/>
                          <wps:spPr>
                            <a:xfrm flipV="1">
                              <a:off x="4498" y="8450"/>
                              <a:ext cx="0" cy="454"/>
                            </a:xfrm>
                            <a:prstGeom prst="line">
                              <a:avLst/>
                            </a:prstGeom>
                            <a:ln w="9525" cap="flat" cmpd="sng">
                              <a:solidFill>
                                <a:srgbClr val="000000"/>
                              </a:solidFill>
                              <a:prstDash val="sysDot"/>
                              <a:headEnd type="none" w="med" len="med"/>
                              <a:tailEnd type="triangle" w="med" len="med"/>
                            </a:ln>
                            <a:effectLst/>
                          </wps:spPr>
                          <wps:bodyPr/>
                        </wps:wsp>
                        <wps:wsp>
                          <wps:cNvPr id="37" name="矩形 88"/>
                          <wps:cNvSpPr/>
                          <wps:spPr>
                            <a:xfrm>
                              <a:off x="4109" y="8891"/>
                              <a:ext cx="540" cy="3448"/>
                            </a:xfrm>
                            <a:prstGeom prst="rect">
                              <a:avLst/>
                            </a:prstGeom>
                            <a:noFill/>
                            <a:ln w="9525" cap="flat" cmpd="sng">
                              <a:solidFill>
                                <a:srgbClr val="000000"/>
                              </a:solidFill>
                              <a:prstDash val="solid"/>
                              <a:miter/>
                              <a:headEnd type="none" w="med" len="med"/>
                              <a:tailEnd type="none" w="med" len="med"/>
                            </a:ln>
                            <a:effectLst/>
                          </wps:spPr>
                          <wps:txbx>
                            <w:txbxContent>
                              <w:p>
                                <w:pPr>
                                  <w:adjustRightInd w:val="0"/>
                                  <w:snapToGrid w:val="0"/>
                                </w:pPr>
                                <w:r>
                                  <w:rPr>
                                    <w:rFonts w:hint="eastAsia"/>
                                  </w:rPr>
                                  <w:t>抢险灭火组</w:t>
                                </w:r>
                              </w:p>
                              <w:p>
                                <w:pPr>
                                  <w:adjustRightInd w:val="0"/>
                                  <w:snapToGrid w:val="0"/>
                                </w:pPr>
                                <w:r>
                                  <w:rPr>
                                    <w:rFonts w:hint="eastAsia"/>
                                  </w:rPr>
                                  <w:t>：</w:t>
                                </w:r>
                              </w:p>
                              <w:p>
                                <w:pPr>
                                  <w:adjustRightInd w:val="0"/>
                                  <w:snapToGrid w:val="0"/>
                                  <w:rPr>
                                    <w:rFonts w:hint="default" w:eastAsia="宋体"/>
                                    <w:szCs w:val="21"/>
                                    <w:lang w:val="en-US" w:eastAsia="zh-CN"/>
                                  </w:rPr>
                                </w:pPr>
                                <w:r>
                                  <w:rPr>
                                    <w:rFonts w:hint="eastAsia"/>
                                    <w:szCs w:val="21"/>
                                    <w:lang w:val="en-US" w:eastAsia="zh-CN"/>
                                  </w:rPr>
                                  <w:t>蒋正元</w:t>
                                </w:r>
                              </w:p>
                            </w:txbxContent>
                          </wps:txbx>
                          <wps:bodyPr upright="1"/>
                        </wps:wsp>
                      </wpg:grpSp>
                      <wpg:grpSp>
                        <wpg:cNvPr id="389" name="组合 93"/>
                        <wpg:cNvGrpSpPr/>
                        <wpg:grpSpPr>
                          <a:xfrm>
                            <a:off x="8481" y="265242"/>
                            <a:ext cx="540" cy="3546"/>
                            <a:chOff x="8481" y="265242"/>
                            <a:chExt cx="540" cy="3546"/>
                          </a:xfrm>
                          <a:effectLst/>
                        </wpg:grpSpPr>
                        <wps:wsp>
                          <wps:cNvPr id="38" name="直接连接符 90"/>
                          <wps:cNvCnPr/>
                          <wps:spPr>
                            <a:xfrm>
                              <a:off x="8620" y="265242"/>
                              <a:ext cx="0" cy="583"/>
                            </a:xfrm>
                            <a:prstGeom prst="line">
                              <a:avLst/>
                            </a:prstGeom>
                            <a:ln w="9525" cap="flat" cmpd="sng">
                              <a:solidFill>
                                <a:srgbClr val="000000"/>
                              </a:solidFill>
                              <a:prstDash val="solid"/>
                              <a:headEnd type="none" w="med" len="med"/>
                              <a:tailEnd type="triangle" w="med" len="med"/>
                            </a:ln>
                            <a:effectLst/>
                          </wps:spPr>
                          <wps:bodyPr/>
                        </wps:wsp>
                        <wps:wsp>
                          <wps:cNvPr id="39" name="直接连接符 91"/>
                          <wps:cNvCnPr/>
                          <wps:spPr>
                            <a:xfrm flipV="1">
                              <a:off x="8803" y="265365"/>
                              <a:ext cx="0" cy="467"/>
                            </a:xfrm>
                            <a:prstGeom prst="line">
                              <a:avLst/>
                            </a:prstGeom>
                            <a:ln w="9525" cap="flat" cmpd="sng">
                              <a:solidFill>
                                <a:srgbClr val="000000"/>
                              </a:solidFill>
                              <a:prstDash val="sysDot"/>
                              <a:headEnd type="none" w="med" len="med"/>
                              <a:tailEnd type="triangle" w="med" len="med"/>
                            </a:ln>
                            <a:effectLst/>
                          </wps:spPr>
                          <wps:bodyPr/>
                        </wps:wsp>
                        <wps:wsp>
                          <wps:cNvPr id="40" name="矩形 92"/>
                          <wps:cNvSpPr/>
                          <wps:spPr>
                            <a:xfrm>
                              <a:off x="8481" y="265834"/>
                              <a:ext cx="540" cy="2955"/>
                            </a:xfrm>
                            <a:prstGeom prst="rect">
                              <a:avLst/>
                            </a:prstGeom>
                            <a:noFill/>
                            <a:ln w="9525" cap="flat" cmpd="sng">
                              <a:solidFill>
                                <a:srgbClr val="000000"/>
                              </a:solidFill>
                              <a:prstDash val="solid"/>
                              <a:miter/>
                              <a:headEnd type="none" w="med" len="med"/>
                              <a:tailEnd type="none" w="med" len="med"/>
                            </a:ln>
                            <a:effectLst/>
                          </wps:spPr>
                          <wps:txbx>
                            <w:txbxContent>
                              <w:p>
                                <w:pPr>
                                  <w:adjustRightInd w:val="0"/>
                                  <w:snapToGrid w:val="0"/>
                                  <w:rPr>
                                    <w:rFonts w:hint="eastAsia"/>
                                    <w:lang w:val="en-US" w:eastAsia="zh-CN"/>
                                  </w:rPr>
                                </w:pPr>
                                <w:r>
                                  <w:rPr>
                                    <w:rFonts w:hint="eastAsia"/>
                                  </w:rPr>
                                  <w:t>救护疏散组：</w:t>
                                </w:r>
                                <w:r>
                                  <w:rPr>
                                    <w:rFonts w:hint="eastAsia"/>
                                    <w:lang w:val="en-US" w:eastAsia="zh-CN"/>
                                  </w:rPr>
                                  <w:t>朱</w:t>
                                </w:r>
                              </w:p>
                              <w:p>
                                <w:pPr>
                                  <w:adjustRightInd w:val="0"/>
                                  <w:snapToGrid w:val="0"/>
                                  <w:rPr>
                                    <w:rFonts w:hint="eastAsia"/>
                                    <w:lang w:val="en-US" w:eastAsia="zh-CN"/>
                                  </w:rPr>
                                </w:pPr>
                              </w:p>
                              <w:p>
                                <w:pPr>
                                  <w:adjustRightInd w:val="0"/>
                                  <w:snapToGrid w:val="0"/>
                                  <w:rPr>
                                    <w:rFonts w:hint="eastAsia" w:eastAsia="宋体"/>
                                    <w:lang w:eastAsia="zh-CN"/>
                                  </w:rPr>
                                </w:pPr>
                                <w:r>
                                  <w:rPr>
                                    <w:rFonts w:hint="eastAsia"/>
                                    <w:lang w:val="en-US" w:eastAsia="zh-CN"/>
                                  </w:rPr>
                                  <w:t>琴</w:t>
                                </w:r>
                              </w:p>
                            </w:txbxContent>
                          </wps:txbx>
                          <wps:bodyPr upright="1"/>
                        </wps:wsp>
                      </wpg:grpSp>
                      <wpg:grpSp>
                        <wpg:cNvPr id="390" name="组合 97"/>
                        <wpg:cNvGrpSpPr/>
                        <wpg:grpSpPr>
                          <a:xfrm>
                            <a:off x="9851" y="265242"/>
                            <a:ext cx="540" cy="3546"/>
                            <a:chOff x="9851" y="265242"/>
                            <a:chExt cx="540" cy="3546"/>
                          </a:xfrm>
                          <a:effectLst/>
                        </wpg:grpSpPr>
                        <wps:wsp>
                          <wps:cNvPr id="41" name="直接连接符 94"/>
                          <wps:cNvCnPr/>
                          <wps:spPr>
                            <a:xfrm flipV="1">
                              <a:off x="10146" y="265381"/>
                              <a:ext cx="0" cy="467"/>
                            </a:xfrm>
                            <a:prstGeom prst="line">
                              <a:avLst/>
                            </a:prstGeom>
                            <a:ln w="9525" cap="flat" cmpd="sng">
                              <a:solidFill>
                                <a:srgbClr val="000000"/>
                              </a:solidFill>
                              <a:prstDash val="sysDot"/>
                              <a:headEnd type="none" w="med" len="med"/>
                              <a:tailEnd type="triangle" w="med" len="med"/>
                            </a:ln>
                            <a:effectLst/>
                          </wps:spPr>
                          <wps:bodyPr/>
                        </wps:wsp>
                        <wps:wsp>
                          <wps:cNvPr id="43" name="直接连接符 95"/>
                          <wps:cNvCnPr/>
                          <wps:spPr>
                            <a:xfrm>
                              <a:off x="9963" y="265242"/>
                              <a:ext cx="0" cy="583"/>
                            </a:xfrm>
                            <a:prstGeom prst="line">
                              <a:avLst/>
                            </a:prstGeom>
                            <a:ln w="9525" cap="flat" cmpd="sng">
                              <a:solidFill>
                                <a:srgbClr val="000000"/>
                              </a:solidFill>
                              <a:prstDash val="solid"/>
                              <a:headEnd type="none" w="med" len="med"/>
                              <a:tailEnd type="triangle" w="med" len="med"/>
                            </a:ln>
                            <a:effectLst/>
                          </wps:spPr>
                          <wps:bodyPr/>
                        </wps:wsp>
                        <wps:wsp>
                          <wps:cNvPr id="45" name="矩形 96"/>
                          <wps:cNvSpPr/>
                          <wps:spPr>
                            <a:xfrm>
                              <a:off x="9851" y="265834"/>
                              <a:ext cx="540" cy="2955"/>
                            </a:xfrm>
                            <a:prstGeom prst="rect">
                              <a:avLst/>
                            </a:prstGeom>
                            <a:noFill/>
                            <a:ln w="9525" cap="flat" cmpd="sng">
                              <a:solidFill>
                                <a:srgbClr val="000000"/>
                              </a:solidFill>
                              <a:prstDash val="solid"/>
                              <a:miter/>
                              <a:headEnd type="none" w="med" len="med"/>
                              <a:tailEnd type="none" w="med" len="med"/>
                            </a:ln>
                            <a:effectLst/>
                          </wps:spPr>
                          <wps:txbx>
                            <w:txbxContent>
                              <w:p>
                                <w:pPr>
                                  <w:adjustRightInd w:val="0"/>
                                  <w:snapToGrid w:val="0"/>
                                  <w:rPr>
                                    <w:rFonts w:hint="eastAsia" w:eastAsia="宋体"/>
                                    <w:lang w:val="en-US" w:eastAsia="zh-CN"/>
                                  </w:rPr>
                                </w:pPr>
                                <w:r>
                                  <w:rPr>
                                    <w:rFonts w:hint="eastAsia"/>
                                    <w:lang w:val="en-US" w:eastAsia="zh-CN"/>
                                  </w:rPr>
                                  <w:t>后勤</w:t>
                                </w:r>
                                <w:r>
                                  <w:rPr>
                                    <w:rFonts w:hint="eastAsia"/>
                                  </w:rPr>
                                  <w:t>保障组：</w:t>
                                </w:r>
                                <w:r>
                                  <w:rPr>
                                    <w:rFonts w:hint="eastAsia"/>
                                    <w:lang w:val="en-US" w:eastAsia="zh-CN"/>
                                  </w:rPr>
                                  <w:t>周卫平</w:t>
                                </w:r>
                              </w:p>
                            </w:txbxContent>
                          </wps:txbx>
                          <wps:bodyPr lIns="91440" tIns="10800" rIns="91440" bIns="45720" upright="1"/>
                        </wps:wsp>
                      </wpg:grpSp>
                      <wpg:grpSp>
                        <wpg:cNvPr id="391" name="组合 101"/>
                        <wpg:cNvGrpSpPr/>
                        <wpg:grpSpPr>
                          <a:xfrm>
                            <a:off x="11098" y="265243"/>
                            <a:ext cx="540" cy="3637"/>
                            <a:chOff x="11098" y="265243"/>
                            <a:chExt cx="540" cy="3637"/>
                          </a:xfrm>
                          <a:effectLst/>
                        </wpg:grpSpPr>
                        <wps:wsp>
                          <wps:cNvPr id="46" name="直接连接符 98"/>
                          <wps:cNvCnPr/>
                          <wps:spPr>
                            <a:xfrm flipV="1">
                              <a:off x="11457" y="265351"/>
                              <a:ext cx="0" cy="467"/>
                            </a:xfrm>
                            <a:prstGeom prst="line">
                              <a:avLst/>
                            </a:prstGeom>
                            <a:ln w="9525" cap="flat" cmpd="sng">
                              <a:solidFill>
                                <a:srgbClr val="000000"/>
                              </a:solidFill>
                              <a:prstDash val="sysDot"/>
                              <a:headEnd type="none" w="med" len="med"/>
                              <a:tailEnd type="triangle" w="med" len="med"/>
                            </a:ln>
                            <a:effectLst/>
                          </wps:spPr>
                          <wps:bodyPr/>
                        </wps:wsp>
                        <wps:wsp>
                          <wps:cNvPr id="47" name="直接连接符 99"/>
                          <wps:cNvCnPr/>
                          <wps:spPr>
                            <a:xfrm>
                              <a:off x="11274" y="265243"/>
                              <a:ext cx="12" cy="594"/>
                            </a:xfrm>
                            <a:prstGeom prst="line">
                              <a:avLst/>
                            </a:prstGeom>
                            <a:ln w="9525" cap="flat" cmpd="sng">
                              <a:solidFill>
                                <a:srgbClr val="000000"/>
                              </a:solidFill>
                              <a:prstDash val="solid"/>
                              <a:headEnd type="none" w="med" len="med"/>
                              <a:tailEnd type="triangle" w="med" len="med"/>
                            </a:ln>
                            <a:effectLst/>
                          </wps:spPr>
                          <wps:bodyPr/>
                        </wps:wsp>
                        <wps:wsp>
                          <wps:cNvPr id="48" name="矩形 100"/>
                          <wps:cNvSpPr/>
                          <wps:spPr>
                            <a:xfrm>
                              <a:off x="11098" y="265833"/>
                              <a:ext cx="540" cy="3047"/>
                            </a:xfrm>
                            <a:prstGeom prst="rect">
                              <a:avLst/>
                            </a:prstGeom>
                            <a:noFill/>
                            <a:ln w="9525" cap="flat" cmpd="sng">
                              <a:solidFill>
                                <a:srgbClr val="000000"/>
                              </a:solidFill>
                              <a:prstDash val="solid"/>
                              <a:miter/>
                              <a:headEnd type="none" w="med" len="med"/>
                              <a:tailEnd type="none" w="med" len="med"/>
                            </a:ln>
                            <a:effectLst/>
                          </wps:spPr>
                          <wps:txbx>
                            <w:txbxContent>
                              <w:p>
                                <w:pPr>
                                  <w:adjustRightInd w:val="0"/>
                                  <w:snapToGrid w:val="0"/>
                                  <w:rPr>
                                    <w:rFonts w:hint="eastAsia" w:ascii="Times New Roman" w:hAnsi="Times New Roman" w:cs="Times New Roman"/>
                                    <w:lang w:val="en-US" w:eastAsia="zh-CN"/>
                                  </w:rPr>
                                </w:pPr>
                                <w:r>
                                  <w:rPr>
                                    <w:rFonts w:hint="eastAsia"/>
                                    <w:lang w:val="en-US" w:eastAsia="zh-CN"/>
                                  </w:rPr>
                                  <w:t>事故</w:t>
                                </w:r>
                                <w:r>
                                  <w:rPr>
                                    <w:rFonts w:hint="eastAsia"/>
                                  </w:rPr>
                                  <w:t>处置组：</w:t>
                                </w:r>
                                <w:r>
                                  <w:rPr>
                                    <w:rFonts w:hint="eastAsia" w:ascii="Times New Roman" w:hAnsi="Times New Roman" w:cs="Times New Roman"/>
                                    <w:lang w:val="en-US" w:eastAsia="zh-CN"/>
                                  </w:rPr>
                                  <w:t>付</w:t>
                                </w:r>
                              </w:p>
                              <w:p>
                                <w:pPr>
                                  <w:adjustRightInd w:val="0"/>
                                  <w:snapToGrid w:val="0"/>
                                  <w:rPr>
                                    <w:rFonts w:hint="eastAsia" w:ascii="Times New Roman" w:hAnsi="Times New Roman" w:cs="Times New Roman"/>
                                    <w:lang w:val="en-US" w:eastAsia="zh-CN"/>
                                  </w:rPr>
                                </w:pPr>
                              </w:p>
                              <w:p>
                                <w:pPr>
                                  <w:adjustRightInd w:val="0"/>
                                  <w:snapToGrid w:val="0"/>
                                  <w:rPr>
                                    <w:rFonts w:hint="eastAsia" w:ascii="Times New Roman" w:hAnsi="Times New Roman" w:cs="Times New Roman"/>
                                    <w:lang w:val="en-US" w:eastAsia="zh-CN"/>
                                  </w:rPr>
                                </w:pPr>
                                <w:r>
                                  <w:rPr>
                                    <w:rFonts w:hint="eastAsia" w:ascii="Times New Roman" w:hAnsi="Times New Roman" w:cs="Times New Roman"/>
                                    <w:lang w:val="en-US" w:eastAsia="zh-CN"/>
                                  </w:rPr>
                                  <w:t>涛</w:t>
                                </w:r>
                              </w:p>
                            </w:txbxContent>
                          </wps:txbx>
                          <wps:bodyPr upright="1"/>
                        </wps:wsp>
                      </wpg:grpSp>
                      <wpg:grpSp>
                        <wpg:cNvPr id="392" name="组合 109"/>
                        <wpg:cNvGrpSpPr/>
                        <wpg:grpSpPr>
                          <a:xfrm>
                            <a:off x="12473" y="265228"/>
                            <a:ext cx="586" cy="3546"/>
                            <a:chOff x="12473" y="265228"/>
                            <a:chExt cx="586" cy="3546"/>
                          </a:xfrm>
                          <a:effectLst/>
                        </wpg:grpSpPr>
                        <wps:wsp>
                          <wps:cNvPr id="49" name="直接连接符 103"/>
                          <wps:cNvCnPr/>
                          <wps:spPr>
                            <a:xfrm>
                              <a:off x="12688" y="265228"/>
                              <a:ext cx="0" cy="583"/>
                            </a:xfrm>
                            <a:prstGeom prst="line">
                              <a:avLst/>
                            </a:prstGeom>
                            <a:ln w="9525" cap="flat" cmpd="sng">
                              <a:solidFill>
                                <a:srgbClr val="000000"/>
                              </a:solidFill>
                              <a:prstDash val="solid"/>
                              <a:headEnd type="none" w="med" len="med"/>
                              <a:tailEnd type="triangle" w="med" len="med"/>
                            </a:ln>
                            <a:effectLst/>
                          </wps:spPr>
                          <wps:bodyPr/>
                        </wps:wsp>
                        <wps:wsp>
                          <wps:cNvPr id="50" name="直接连接符 104"/>
                          <wps:cNvCnPr/>
                          <wps:spPr>
                            <a:xfrm flipV="1">
                              <a:off x="12871" y="265337"/>
                              <a:ext cx="0" cy="467"/>
                            </a:xfrm>
                            <a:prstGeom prst="line">
                              <a:avLst/>
                            </a:prstGeom>
                            <a:ln w="9525" cap="flat" cmpd="sng">
                              <a:solidFill>
                                <a:srgbClr val="000000"/>
                              </a:solidFill>
                              <a:prstDash val="sysDot"/>
                              <a:headEnd type="none" w="med" len="med"/>
                              <a:tailEnd type="triangle" w="med" len="med"/>
                            </a:ln>
                            <a:effectLst/>
                          </wps:spPr>
                          <wps:bodyPr/>
                        </wps:wsp>
                        <wps:wsp>
                          <wps:cNvPr id="51" name="矩形 106"/>
                          <wps:cNvSpPr/>
                          <wps:spPr>
                            <a:xfrm>
                              <a:off x="12473" y="265820"/>
                              <a:ext cx="586" cy="2955"/>
                            </a:xfrm>
                            <a:prstGeom prst="rect">
                              <a:avLst/>
                            </a:prstGeom>
                            <a:noFill/>
                            <a:ln w="9525" cap="flat" cmpd="sng">
                              <a:solidFill>
                                <a:srgbClr val="000000"/>
                              </a:solidFill>
                              <a:prstDash val="solid"/>
                              <a:miter/>
                              <a:headEnd type="none" w="med" len="med"/>
                              <a:tailEnd type="none" w="med" len="med"/>
                            </a:ln>
                            <a:effectLst/>
                          </wps:spPr>
                          <wps:txbx>
                            <w:txbxContent>
                              <w:p>
                                <w:pPr>
                                  <w:adjustRightInd w:val="0"/>
                                  <w:snapToGrid w:val="0"/>
                                  <w:rPr>
                                    <w:rFonts w:hint="eastAsia"/>
                                    <w:lang w:val="en-US" w:eastAsia="zh-CN"/>
                                  </w:rPr>
                                </w:pPr>
                                <w:r>
                                  <w:rPr>
                                    <w:rFonts w:hint="eastAsia"/>
                                  </w:rPr>
                                  <w:t>应急监测组：</w:t>
                                </w:r>
                                <w:r>
                                  <w:rPr>
                                    <w:rFonts w:hint="eastAsia"/>
                                    <w:lang w:val="en-US" w:eastAsia="zh-CN"/>
                                  </w:rPr>
                                  <w:t>沈</w:t>
                                </w:r>
                              </w:p>
                              <w:p>
                                <w:pPr>
                                  <w:adjustRightInd w:val="0"/>
                                  <w:snapToGrid w:val="0"/>
                                  <w:rPr>
                                    <w:rFonts w:hint="eastAsia"/>
                                    <w:lang w:val="en-US" w:eastAsia="zh-CN"/>
                                  </w:rPr>
                                </w:pPr>
                              </w:p>
                              <w:p>
                                <w:pPr>
                                  <w:adjustRightInd w:val="0"/>
                                  <w:snapToGrid w:val="0"/>
                                  <w:rPr>
                                    <w:rFonts w:hint="eastAsia"/>
                                    <w:lang w:val="en-US" w:eastAsia="zh-CN"/>
                                  </w:rPr>
                                </w:pPr>
                                <w:r>
                                  <w:rPr>
                                    <w:rFonts w:hint="eastAsia"/>
                                    <w:lang w:val="en-US" w:eastAsia="zh-CN"/>
                                  </w:rPr>
                                  <w:t>斌</w:t>
                                </w:r>
                              </w:p>
                              <w:p>
                                <w:pPr>
                                  <w:pStyle w:val="19"/>
                                  <w:rPr>
                                    <w:rFonts w:hint="eastAsia"/>
                                    <w:lang w:val="en-US" w:eastAsia="zh-CN"/>
                                  </w:rPr>
                                </w:pPr>
                              </w:p>
                              <w:p>
                                <w:pPr>
                                  <w:pStyle w:val="18"/>
                                  <w:rPr>
                                    <w:rFonts w:hint="eastAsia"/>
                                    <w:lang w:eastAsia="zh-CN"/>
                                  </w:rPr>
                                </w:pPr>
                              </w:p>
                            </w:txbxContent>
                          </wps:txbx>
                          <wps:bodyPr lIns="91440" tIns="36000" rIns="91440" bIns="0" upright="1"/>
                        </wps:wsp>
                      </wpg:grpSp>
                    </wpg:wgp>
                  </a:graphicData>
                </a:graphic>
              </wp:inline>
            </w:drawing>
          </mc:Choice>
          <mc:Fallback>
            <w:pict>
              <v:group id="_x0000_s1026" o:spid="_x0000_s1026" o:spt="203" style="height:322.95pt;width:407.7pt;" coordorigin="4905,262421" coordsize="8154,6459" o:gfxdata="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">
                <o:lock v:ext="edit" aspectratio="f"/>
                <v:line id="直接连接符 50" o:spid="_x0000_s1026" o:spt="20" style="position:absolute;left:5120;top:265235;flip:y;height:0;width:7572;"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80" o:spid="_x0000_s1026" o:spt="203" style="position:absolute;left:5303;top:262421;height:2936;width:7572;" coordorigin="5303,262421" coordsize="7572,2936" o:gfxdata="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1fbh2+AAAA3AAAAA8AAAAAAAAAAQAgAAAAIgAAAGRycy9kb3ducmV2Lnht&#10;bFBLAQIUABQAAAAIAIdO4kAzLwWeOwAAADkAAAAVAAAAAAAAAAEAIAAAAA0BAABkcnMvZ3JvdXBz&#10;aGFwZXhtbC54bWxQSwUGAAAAAAYABgBgAQAAygMAAAAA&#10;">
                  <o:lock v:ext="edit" aspectratio="f"/>
                  <v:line id="直接连接符 52" o:spid="_x0000_s1026" o:spt="20" style="position:absolute;left:5303;top:265351;flip:y;height:7;width:7572;" filled="f" stroked="t" coordsize="21600,21600" o:gfxdata="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BLQR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line>
                  <v:group id="组合 75" o:spid="_x0000_s1026" o:spt="203" style="position:absolute;left:6553;top:262421;height:1162;width:4451;" coordorigin="3722,5520" coordsize="4451,1130" o:gfxdata="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tvZpvwAAANwAAAAPAAAAAAAAAAEAIAAAACIAAABkcnMvZG93bnJldi54&#10;bWxQSwECFAAUAAAACACHTuJAMy8FnjsAAAA5AAAAFQAAAAAAAAABACAAAAAOAQAAZHJzL2dyb3Vw&#10;c2hhcGV4bWwueG1sUEsFBgAAAAAGAAYAYAEAAMsDAAAAAA==&#10;">
                    <o:lock v:ext="edit" aspectratio="f"/>
                    <v:line id="直接连接符 54" o:spid="_x0000_s1026" o:spt="20" style="position:absolute;left:5808;top:6050;height:567;width:0;"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55" o:spid="_x0000_s1026" o:spt="20" style="position:absolute;left:6106;top:6083;flip:y;height:567;width:0;" filled="f" stroked="t" coordsize="21600,21600" o:gfxdata="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n1/y/&#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shape id="文本框 74" o:spid="_x0000_s1026" o:spt="202" type="#_x0000_t202" style="position:absolute;left:3722;top:5520;height:563;width:4451;" fillcolor="#FFFFFF" filled="t" stroked="t" coordsize="21600,21600" o:gfxdata="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BjRC/&#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ascii="宋体" w:hAnsi="宋体"/>
                              </w:rPr>
                            </w:pPr>
                            <w:r>
                              <w:rPr>
                                <w:rFonts w:hint="eastAsia" w:ascii="宋体" w:hAnsi="宋体"/>
                              </w:rPr>
                              <w:t>上级主管部门</w:t>
                            </w:r>
                          </w:p>
                        </w:txbxContent>
                      </v:textbox>
                    </v:shape>
                  </v:group>
                  <v:group id="组合 79" o:spid="_x0000_s1026" o:spt="203" style="position:absolute;left:6519;top:263549;height:1669;width:4450;" coordorigin="6519,263549" coordsize="4450,1669" o:gfxdata="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lPyvwAAANwAAAAPAAAAAAAAAAEAIAAAACIAAABkcnMvZG93bnJldi54&#10;bWxQSwECFAAUAAAACACHTuJAMy8FnjsAAAA5AAAAFQAAAAAAAAABACAAAAAOAQAAZHJzL2dyb3Vw&#10;c2hhcGV4bWwueG1sUEsFBgAAAAAGAAYAYAEAAMsDAAAAAA==&#10;">
                    <o:lock v:ext="edit" aspectratio="f"/>
                    <v:line id="直接连接符 76" o:spid="_x0000_s1026" o:spt="20" style="position:absolute;left:8832;top:264576;height:642;width:0;" filled="f" stroked="t" coordsize="21600,21600" o:gfxdata="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6wGFvQAA&#10;ANsAAAAPAAAAAAAAAAEAIAAAACIAAABkcnMvZG93bnJldi54bWxQSwECFAAUAAAACACHTuJAMy8F&#10;njsAAAA5AAAAEAAAAAAAAAABACAAAAAMAQAAZHJzL3NoYXBleG1sLnhtbFBLBQYAAAAABgAGAFsB&#10;AAC2AwAAAAA=&#10;">
                      <v:fill on="f" focussize="0,0"/>
                      <v:stroke color="#000000" joinstyle="round" dashstyle="1 1" startarrow="block"/>
                      <v:imagedata o:title=""/>
                      <o:lock v:ext="edit" aspectratio="f"/>
                    </v:line>
                    <v:line id="直接连接符 77" o:spid="_x0000_s1026" o:spt="20" style="position:absolute;left:8635;top:264576;flip:y;height:642;width:0;" filled="f" stroked="t" coordsize="21600,21600" o:gfxdata="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c4plugAAANsA&#10;AAAPAAAAAAAAAAEAIAAAACIAAABkcnMvZG93bnJldi54bWxQSwECFAAUAAAACACHTuJAMy8FnjsA&#10;AAA5AAAAEAAAAAAAAAABACAAAAAJAQAAZHJzL3NoYXBleG1sLnhtbFBLBQYAAAAABgAGAFsBAACz&#10;AwAAAAA=&#10;">
                      <v:fill on="f" focussize="0,0"/>
                      <v:stroke color="#000000" joinstyle="round" startarrow="block"/>
                      <v:imagedata o:title=""/>
                      <o:lock v:ext="edit" aspectratio="f"/>
                    </v:line>
                    <v:shape id="文本框 78" o:spid="_x0000_s1026" o:spt="202" type="#_x0000_t202" style="position:absolute;left:6519;top:263549;height:1026;width:4451;" fillcolor="#FFFFFF" filled="t" stroked="t" coordsize="21600,21600" o:gfxdata="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b0mI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ascii="宋体" w:hAnsi="宋体"/>
                              </w:rPr>
                            </w:pPr>
                            <w:r>
                              <w:rPr>
                                <w:rFonts w:hint="eastAsia" w:ascii="宋体" w:hAnsi="宋体"/>
                              </w:rPr>
                              <w:t>公司应急指挥部</w:t>
                            </w:r>
                          </w:p>
                          <w:p>
                            <w:pPr>
                              <w:adjustRightInd w:val="0"/>
                              <w:snapToGrid w:val="0"/>
                              <w:rPr>
                                <w:rFonts w:hint="default" w:ascii="仿宋_GB2312" w:eastAsia="宋体"/>
                                <w:color w:val="000000" w:themeColor="text1"/>
                                <w:lang w:val="en-US" w:eastAsia="zh-CN"/>
                                <w14:textFill>
                                  <w14:solidFill>
                                    <w14:schemeClr w14:val="tx1"/>
                                  </w14:solidFill>
                                </w14:textFill>
                              </w:rPr>
                            </w:pPr>
                            <w:r>
                              <w:rPr>
                                <w:rFonts w:hint="eastAsia" w:ascii="宋体" w:hAnsi="宋体"/>
                                <w:color w:val="000000" w:themeColor="text1"/>
                                <w14:textFill>
                                  <w14:solidFill>
                                    <w14:schemeClr w14:val="tx1"/>
                                  </w14:solidFill>
                                </w14:textFill>
                              </w:rPr>
                              <w:t>总指挥：</w:t>
                            </w:r>
                            <w:r>
                              <w:rPr>
                                <w:rFonts w:hint="eastAsia" w:ascii="宋体" w:hAnsi="宋体"/>
                                <w:color w:val="000000" w:themeColor="text1"/>
                                <w:lang w:val="en-US" w:eastAsia="zh-CN"/>
                                <w14:textFill>
                                  <w14:solidFill>
                                    <w14:schemeClr w14:val="tx1"/>
                                  </w14:solidFill>
                                </w14:textFill>
                              </w:rPr>
                              <w:t>陈海</w:t>
                            </w:r>
                            <w:r>
                              <w:rPr>
                                <w:rFonts w:hint="eastAsia"/>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副总指挥：</w:t>
                            </w:r>
                            <w:r>
                              <w:rPr>
                                <w:rFonts w:hint="eastAsia" w:ascii="宋体" w:hAnsi="宋体"/>
                                <w:color w:val="000000" w:themeColor="text1"/>
                                <w:lang w:val="en-US" w:eastAsia="zh-CN"/>
                                <w14:textFill>
                                  <w14:solidFill>
                                    <w14:schemeClr w14:val="tx1"/>
                                  </w14:solidFill>
                                </w14:textFill>
                              </w:rPr>
                              <w:t>吴科飞</w:t>
                            </w:r>
                          </w:p>
                        </w:txbxContent>
                      </v:textbox>
                    </v:shape>
                  </v:group>
                </v:group>
                <v:group id="组合 85" o:spid="_x0000_s1026" o:spt="203" style="position:absolute;left:4905;top:265242;height:3546;width:586;" coordorigin="4905,265242" coordsize="586,3546" o:gfxdata="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KM2FvwAAANwAAAAPAAAAAAAAAAEAIAAAACIAAABkcnMvZG93bnJldi54&#10;bWxQSwECFAAUAAAACACHTuJAMy8FnjsAAAA5AAAAFQAAAAAAAAABACAAAAAOAQAAZHJzL2dyb3Vw&#10;c2hhcGV4bWwueG1sUEsFBgAAAAAGAAYAYAEAAMsDAAAAAA==&#10;">
                  <o:lock v:ext="edit" aspectratio="f"/>
                  <v:group id="组合 83" o:spid="_x0000_s1026" o:spt="203" style="position:absolute;left:5120;top:265242;height:582;width:183;" coordorigin="5120,265242" coordsize="183,582" o:gfxdata="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CZGgevwAAANwAAAAPAAAAAAAAAAEAIAAAACIAAABkcnMvZG93bnJldi54&#10;bWxQSwECFAAUAAAACACHTuJAMy8FnjsAAAA5AAAAFQAAAAAAAAABACAAAAAOAQAAZHJzL2dyb3Vw&#10;c2hhcGV4bWwueG1sUEsFBgAAAAAGAAYAYAEAAMsDAAAAAA==&#10;">
                    <o:lock v:ext="edit" aspectratio="f"/>
                    <v:line id="直接连接符 81" o:spid="_x0000_s1026" o:spt="20" style="position:absolute;left:5120;top:265242;height:583;width:0;" filled="f" stroked="t" coordsize="21600,21600" o:gfxdata="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Cmye/&#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2" o:spid="_x0000_s1026" o:spt="20" style="position:absolute;left:5303;top:265351;flip:y;height:467;width:0;" filled="f" stroked="t" coordsize="21600,21600" o:gfxdata="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ktSm/&#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group>
                  <v:rect id="矩形 84" o:spid="_x0000_s1026" o:spt="1" style="position:absolute;left:4905;top:265834;height:2955;width:586;" filled="f" stroked="t" coordsize="21600,21600" o:gfxdata="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vscP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inset="2.54mm,1mm,2.54mm,0mm">
                      <w:txbxContent>
                        <w:p>
                          <w:pPr>
                            <w:adjustRightInd w:val="0"/>
                            <w:snapToGrid w:val="0"/>
                          </w:pPr>
                          <w:r>
                            <w:rPr>
                              <w:rFonts w:hint="eastAsia"/>
                            </w:rPr>
                            <w:t>通信警戒组：</w:t>
                          </w:r>
                          <w:r>
                            <w:rPr>
                              <w:rFonts w:hint="eastAsia" w:ascii="宋体" w:hAnsi="宋体"/>
                              <w:color w:val="000000" w:themeColor="text1"/>
                              <w:lang w:val="en-US" w:eastAsia="zh-CN"/>
                              <w14:textFill>
                                <w14:solidFill>
                                  <w14:schemeClr w14:val="tx1"/>
                                </w14:solidFill>
                              </w14:textFill>
                            </w:rPr>
                            <w:t>吴科飞</w:t>
                          </w:r>
                        </w:p>
                      </w:txbxContent>
                    </v:textbox>
                  </v:rect>
                </v:group>
                <v:group id="组合 89" o:spid="_x0000_s1026" o:spt="203" style="position:absolute;left:6756;top:265242;height:3577;width:540;" coordorigin="4109,8330" coordsize="540,4009" o:gfxdata="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Cz+/xsuQAAANwAAAAPAAAAAAAAAAEAIAAAACIAAABkcnMvZG93bnJldi54bWxQSwEC&#10;FAAUAAAACACHTuJAMy8FnjsAAAA5AAAAFQAAAAAAAAABACAAAAAIAQAAZHJzL2dyb3Vwc2hhcGV4&#10;bWwueG1sUEsFBgAAAAAGAAYAYAEAAMUDAAAAAA==&#10;">
                  <o:lock v:ext="edit" aspectratio="f"/>
                  <v:line id="直接连接符 86" o:spid="_x0000_s1026" o:spt="20" style="position:absolute;left:4315;top:8330;height:567;width:0;"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87" o:spid="_x0000_s1026" o:spt="20" style="position:absolute;left:4498;top:8450;flip:y;height:454;width:0;" filled="f" stroked="t" coordsize="21600,21600" o:gfxdata="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BMWsb4A&#10;AADbAAAADwAAAAAAAAABACAAAAAiAAAAZHJzL2Rvd25yZXYueG1sUEsBAhQAFAAAAAgAh07iQDMv&#10;BZ47AAAAOQAAABAAAAAAAAAAAQAgAAAADQEAAGRycy9zaGFwZXhtbC54bWxQSwUGAAAAAAYABgBb&#10;AQAAtwMAAAAA&#10;">
                    <v:fill on="f" focussize="0,0"/>
                    <v:stroke color="#000000" joinstyle="round" dashstyle="1 1" endarrow="block"/>
                    <v:imagedata o:title=""/>
                    <o:lock v:ext="edit" aspectratio="f"/>
                  </v:line>
                  <v:rect id="矩形 88" o:spid="_x0000_s1026" o:spt="1" style="position:absolute;left:4109;top:8891;height:3448;width:540;" filled="f" stroked="t" coordsize="21600,21600" o:gfxdata="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su5L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adjustRightInd w:val="0"/>
                            <w:snapToGrid w:val="0"/>
                          </w:pPr>
                          <w:r>
                            <w:rPr>
                              <w:rFonts w:hint="eastAsia"/>
                            </w:rPr>
                            <w:t>抢险灭火组</w:t>
                          </w:r>
                        </w:p>
                        <w:p>
                          <w:pPr>
                            <w:adjustRightInd w:val="0"/>
                            <w:snapToGrid w:val="0"/>
                          </w:pPr>
                          <w:r>
                            <w:rPr>
                              <w:rFonts w:hint="eastAsia"/>
                            </w:rPr>
                            <w:t>：</w:t>
                          </w:r>
                        </w:p>
                        <w:p>
                          <w:pPr>
                            <w:adjustRightInd w:val="0"/>
                            <w:snapToGrid w:val="0"/>
                            <w:rPr>
                              <w:rFonts w:hint="default" w:eastAsia="宋体"/>
                              <w:szCs w:val="21"/>
                              <w:lang w:val="en-US" w:eastAsia="zh-CN"/>
                            </w:rPr>
                          </w:pPr>
                          <w:r>
                            <w:rPr>
                              <w:rFonts w:hint="eastAsia"/>
                              <w:szCs w:val="21"/>
                              <w:lang w:val="en-US" w:eastAsia="zh-CN"/>
                            </w:rPr>
                            <w:t>蒋正元</w:t>
                          </w:r>
                        </w:p>
                      </w:txbxContent>
                    </v:textbox>
                  </v:rect>
                </v:group>
                <v:group id="组合 93" o:spid="_x0000_s1026" o:spt="203" style="position:absolute;left:8481;top:265242;height:3546;width:540;" coordorigin="8481,265242" coordsize="540,3546" o:gfxdata="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LdZ98AAAADcAAAADwAAAAAAAAABACAAAAAiAAAAZHJzL2Rvd25yZXYu&#10;eG1sUEsBAhQAFAAAAAgAh07iQDMvBZ47AAAAOQAAABUAAAAAAAAAAQAgAAAADwEAAGRycy9ncm91&#10;cHNoYXBleG1sLnhtbFBLBQYAAAAABgAGAGABAADMAwAAAAA=&#10;">
                  <o:lock v:ext="edit" aspectratio="f"/>
                  <v:line id="直接连接符 90" o:spid="_x0000_s1026" o:spt="20" style="position:absolute;left:8620;top:265242;height:583;width:0;" filled="f" stroked="t" coordsize="21600,21600" o:gfxdata="UEsDBAoAAAAAAIdO4kAAAAAAAAAAAAAAAAAEAAAAZHJzL1BLAwQUAAAACACHTuJA3GqszbsAAADb&#10;AAAADwAAAGRycy9kb3ducmV2LnhtbEVPy4rCMBTdC/MP4Q6407QK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Gqs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91" o:spid="_x0000_s1026" o:spt="20" style="position:absolute;left:8803;top:265365;flip:y;height:467;width:0;" filled="f" stroked="t" coordsize="21600,21600" o:gfxdata="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MgsO/&#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rect id="矩形 92" o:spid="_x0000_s1026" o:spt="1" style="position:absolute;left:8481;top:265834;height:2955;width:540;" filled="f" stroked="t" coordsize="21600,21600" o:gfxdata="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dBUK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adjustRightInd w:val="0"/>
                            <w:snapToGrid w:val="0"/>
                            <w:rPr>
                              <w:rFonts w:hint="eastAsia"/>
                              <w:lang w:val="en-US" w:eastAsia="zh-CN"/>
                            </w:rPr>
                          </w:pPr>
                          <w:r>
                            <w:rPr>
                              <w:rFonts w:hint="eastAsia"/>
                            </w:rPr>
                            <w:t>救护疏散组：</w:t>
                          </w:r>
                          <w:r>
                            <w:rPr>
                              <w:rFonts w:hint="eastAsia"/>
                              <w:lang w:val="en-US" w:eastAsia="zh-CN"/>
                            </w:rPr>
                            <w:t>朱</w:t>
                          </w:r>
                        </w:p>
                        <w:p>
                          <w:pPr>
                            <w:adjustRightInd w:val="0"/>
                            <w:snapToGrid w:val="0"/>
                            <w:rPr>
                              <w:rFonts w:hint="eastAsia"/>
                              <w:lang w:val="en-US" w:eastAsia="zh-CN"/>
                            </w:rPr>
                          </w:pPr>
                        </w:p>
                        <w:p>
                          <w:pPr>
                            <w:adjustRightInd w:val="0"/>
                            <w:snapToGrid w:val="0"/>
                            <w:rPr>
                              <w:rFonts w:hint="eastAsia" w:eastAsia="宋体"/>
                              <w:lang w:eastAsia="zh-CN"/>
                            </w:rPr>
                          </w:pPr>
                          <w:r>
                            <w:rPr>
                              <w:rFonts w:hint="eastAsia"/>
                              <w:lang w:val="en-US" w:eastAsia="zh-CN"/>
                            </w:rPr>
                            <w:t>琴</w:t>
                          </w:r>
                        </w:p>
                      </w:txbxContent>
                    </v:textbox>
                  </v:rect>
                </v:group>
                <v:group id="组合 97" o:spid="_x0000_s1026" o:spt="203" style="position:absolute;left:9851;top:265242;height:3546;width:540;" coordorigin="9851,265242" coordsize="540,3546" o:gfxdata="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VGa3vAAAANwAAAAPAAAAAAAAAAEAIAAAACIAAABkcnMvZG93bnJldi54bWxQ&#10;SwECFAAUAAAACACHTuJAMy8FnjsAAAA5AAAAFQAAAAAAAAABACAAAAALAQAAZHJzL2dyb3Vwc2hh&#10;cGV4bWwueG1sUEsFBgAAAAAGAAYAYAEAAMgDAAAAAA==&#10;">
                  <o:lock v:ext="edit" aspectratio="f"/>
                  <v:line id="直接连接符 94" o:spid="_x0000_s1026" o:spt="20" style="position:absolute;left:10146;top:265381;flip:y;height:467;width:0;" filled="f" stroked="t" coordsize="21600,21600" o:gfxdata="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8/bi/&#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line id="直接连接符 95" o:spid="_x0000_s1026" o:spt="20" style="position:absolute;left:9963;top:265242;height:583;width:0;"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96" o:spid="_x0000_s1026" o:spt="1" style="position:absolute;left:9851;top:265834;height:2955;width:540;" filled="f" stroked="t" coordsize="21600,21600" o:gfxdata="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1gjHL4A&#10;AADbAAAADwAAAAAAAAABACAAAAAiAAAAZHJzL2Rvd25yZXYueG1sUEsBAhQAFAAAAAgAh07iQDMv&#10;BZ47AAAAOQAAABAAAAAAAAAAAQAgAAAADQEAAGRycy9zaGFwZXhtbC54bWxQSwUGAAAAAAYABgBb&#10;AQAAtwMAAAAA&#10;">
                    <v:fill on="f" focussize="0,0"/>
                    <v:stroke color="#000000" joinstyle="miter"/>
                    <v:imagedata o:title=""/>
                    <o:lock v:ext="edit" aspectratio="f"/>
                    <v:textbox inset="2.54mm,0.3mm,2.54mm,1.27mm">
                      <w:txbxContent>
                        <w:p>
                          <w:pPr>
                            <w:adjustRightInd w:val="0"/>
                            <w:snapToGrid w:val="0"/>
                            <w:rPr>
                              <w:rFonts w:hint="eastAsia" w:eastAsia="宋体"/>
                              <w:lang w:val="en-US" w:eastAsia="zh-CN"/>
                            </w:rPr>
                          </w:pPr>
                          <w:r>
                            <w:rPr>
                              <w:rFonts w:hint="eastAsia"/>
                              <w:lang w:val="en-US" w:eastAsia="zh-CN"/>
                            </w:rPr>
                            <w:t>后勤</w:t>
                          </w:r>
                          <w:r>
                            <w:rPr>
                              <w:rFonts w:hint="eastAsia"/>
                            </w:rPr>
                            <w:t>保障组：</w:t>
                          </w:r>
                          <w:r>
                            <w:rPr>
                              <w:rFonts w:hint="eastAsia"/>
                              <w:lang w:val="en-US" w:eastAsia="zh-CN"/>
                            </w:rPr>
                            <w:t>周卫平</w:t>
                          </w:r>
                        </w:p>
                      </w:txbxContent>
                    </v:textbox>
                  </v:rect>
                </v:group>
                <v:group id="组合 101" o:spid="_x0000_s1026" o:spt="203" style="position:absolute;left:11098;top:265243;height:3637;width:540;" coordorigin="11098,265243" coordsize="540,3637" o:gfxdata="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GMMsvwAAANwAAAAPAAAAAAAAAAEAIAAAACIAAABkcnMvZG93bnJldi54&#10;bWxQSwECFAAUAAAACACHTuJAMy8FnjsAAAA5AAAAFQAAAAAAAAABACAAAAAOAQAAZHJzL2dyb3Vw&#10;c2hhcGV4bWwueG1sUEsFBgAAAAAGAAYAYAEAAMsDAAAAAA==&#10;">
                  <o:lock v:ext="edit" aspectratio="f"/>
                  <v:line id="直接连接符 98" o:spid="_x0000_s1026" o:spt="20" style="position:absolute;left:11457;top:265351;flip:y;height:467;width:0;" filled="f" stroked="t" coordsize="21600,21600" o:gfxdata="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VZcy/&#10;AAAA2wAAAA8AAAAAAAAAAQAgAAAAIgAAAGRycy9kb3ducmV2LnhtbFBLAQIUABQAAAAIAIdO4kAz&#10;LwWeOwAAADkAAAAQAAAAAAAAAAEAIAAAAA4BAABkcnMvc2hhcGV4bWwueG1sUEsFBgAAAAAGAAYA&#10;WwEAALgDAAAAAA==&#10;">
                    <v:fill on="f" focussize="0,0"/>
                    <v:stroke color="#000000" joinstyle="round" dashstyle="1 1" endarrow="block"/>
                    <v:imagedata o:title=""/>
                    <o:lock v:ext="edit" aspectratio="f"/>
                  </v:line>
                  <v:line id="直接连接符 99" o:spid="_x0000_s1026" o:spt="20" style="position:absolute;left:11274;top:265243;height:594;width:12;"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100" o:spid="_x0000_s1026" o:spt="1" style="position:absolute;left:11098;top:265833;height:3047;width:540;" filled="f" stroked="t" coordsize="21600,21600" o:gfxdata="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rCUS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w:txbxContent>
                        <w:p>
                          <w:pPr>
                            <w:adjustRightInd w:val="0"/>
                            <w:snapToGrid w:val="0"/>
                            <w:rPr>
                              <w:rFonts w:hint="eastAsia" w:ascii="Times New Roman" w:hAnsi="Times New Roman" w:cs="Times New Roman"/>
                              <w:lang w:val="en-US" w:eastAsia="zh-CN"/>
                            </w:rPr>
                          </w:pPr>
                          <w:r>
                            <w:rPr>
                              <w:rFonts w:hint="eastAsia"/>
                              <w:lang w:val="en-US" w:eastAsia="zh-CN"/>
                            </w:rPr>
                            <w:t>事故</w:t>
                          </w:r>
                          <w:r>
                            <w:rPr>
                              <w:rFonts w:hint="eastAsia"/>
                            </w:rPr>
                            <w:t>处置组：</w:t>
                          </w:r>
                          <w:r>
                            <w:rPr>
                              <w:rFonts w:hint="eastAsia" w:ascii="Times New Roman" w:hAnsi="Times New Roman" w:cs="Times New Roman"/>
                              <w:lang w:val="en-US" w:eastAsia="zh-CN"/>
                            </w:rPr>
                            <w:t>付</w:t>
                          </w:r>
                        </w:p>
                        <w:p>
                          <w:pPr>
                            <w:adjustRightInd w:val="0"/>
                            <w:snapToGrid w:val="0"/>
                            <w:rPr>
                              <w:rFonts w:hint="eastAsia" w:ascii="Times New Roman" w:hAnsi="Times New Roman" w:cs="Times New Roman"/>
                              <w:lang w:val="en-US" w:eastAsia="zh-CN"/>
                            </w:rPr>
                          </w:pPr>
                        </w:p>
                        <w:p>
                          <w:pPr>
                            <w:adjustRightInd w:val="0"/>
                            <w:snapToGrid w:val="0"/>
                            <w:rPr>
                              <w:rFonts w:hint="eastAsia" w:ascii="Times New Roman" w:hAnsi="Times New Roman" w:cs="Times New Roman"/>
                              <w:lang w:val="en-US" w:eastAsia="zh-CN"/>
                            </w:rPr>
                          </w:pPr>
                          <w:r>
                            <w:rPr>
                              <w:rFonts w:hint="eastAsia" w:ascii="Times New Roman" w:hAnsi="Times New Roman" w:cs="Times New Roman"/>
                              <w:lang w:val="en-US" w:eastAsia="zh-CN"/>
                            </w:rPr>
                            <w:t>涛</w:t>
                          </w:r>
                        </w:p>
                      </w:txbxContent>
                    </v:textbox>
                  </v:rect>
                </v:group>
                <v:group id="组合 109" o:spid="_x0000_s1026" o:spt="203" style="position:absolute;left:12473;top:265228;height:3546;width:586;" coordorigin="12473,265228" coordsize="586,3546" o:gfxdata="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yl1bvwAAANwAAAAPAAAAAAAAAAEAIAAAACIAAABkcnMvZG93bnJldi54&#10;bWxQSwECFAAUAAAACACHTuJAMy8FnjsAAAA5AAAAFQAAAAAAAAABACAAAAAOAQAAZHJzL2dyb3Vw&#10;c2hhcGV4bWwueG1sUEsFBgAAAAAGAAYAYAEAAMsDAAAAAA==&#10;">
                  <o:lock v:ext="edit" aspectratio="f"/>
                  <v:line id="直接连接符 103" o:spid="_x0000_s1026" o:spt="20" style="position:absolute;left:12688;top:265228;height:583;width:0;"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04" o:spid="_x0000_s1026" o:spt="20" style="position:absolute;left:12871;top:265337;flip:y;height:467;width:0;" filled="f" stroked="t" coordsize="21600,21600" o:gfxdata="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pzv68AAAA&#10;2wAAAA8AAAAAAAAAAQAgAAAAIgAAAGRycy9kb3ducmV2LnhtbFBLAQIUABQAAAAIAIdO4kAzLwWe&#10;OwAAADkAAAAQAAAAAAAAAAEAIAAAAAsBAABkcnMvc2hhcGV4bWwueG1sUEsFBgAAAAAGAAYAWwEA&#10;ALUDAAAAAA==&#10;">
                    <v:fill on="f" focussize="0,0"/>
                    <v:stroke color="#000000" joinstyle="round" dashstyle="1 1" endarrow="block"/>
                    <v:imagedata o:title=""/>
                    <o:lock v:ext="edit" aspectratio="f"/>
                  </v:line>
                  <v:rect id="矩形 106" o:spid="_x0000_s1026" o:spt="1" style="position:absolute;left:12473;top:265820;height:2955;width:586;" filled="f" stroked="t" coordsize="21600,21600" o:gfxdata="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EWgTe5AAAA2wAA&#10;AA8AAAAAAAAAAQAgAAAAIgAAAGRycy9kb3ducmV2LnhtbFBLAQIUABQAAAAIAIdO4kAzLwWeOwAA&#10;ADkAAAAQAAAAAAAAAAEAIAAAAAgBAABkcnMvc2hhcGV4bWwueG1sUEsFBgAAAAAGAAYAWwEAALID&#10;AAAAAA==&#10;">
                    <v:fill on="f" focussize="0,0"/>
                    <v:stroke color="#000000" joinstyle="miter"/>
                    <v:imagedata o:title=""/>
                    <o:lock v:ext="edit" aspectratio="f"/>
                    <v:textbox inset="2.54mm,1mm,2.54mm,0mm">
                      <w:txbxContent>
                        <w:p>
                          <w:pPr>
                            <w:adjustRightInd w:val="0"/>
                            <w:snapToGrid w:val="0"/>
                            <w:rPr>
                              <w:rFonts w:hint="eastAsia"/>
                              <w:lang w:val="en-US" w:eastAsia="zh-CN"/>
                            </w:rPr>
                          </w:pPr>
                          <w:r>
                            <w:rPr>
                              <w:rFonts w:hint="eastAsia"/>
                            </w:rPr>
                            <w:t>应急监测组：</w:t>
                          </w:r>
                          <w:r>
                            <w:rPr>
                              <w:rFonts w:hint="eastAsia"/>
                              <w:lang w:val="en-US" w:eastAsia="zh-CN"/>
                            </w:rPr>
                            <w:t>沈</w:t>
                          </w:r>
                        </w:p>
                        <w:p>
                          <w:pPr>
                            <w:adjustRightInd w:val="0"/>
                            <w:snapToGrid w:val="0"/>
                            <w:rPr>
                              <w:rFonts w:hint="eastAsia"/>
                              <w:lang w:val="en-US" w:eastAsia="zh-CN"/>
                            </w:rPr>
                          </w:pPr>
                        </w:p>
                        <w:p>
                          <w:pPr>
                            <w:adjustRightInd w:val="0"/>
                            <w:snapToGrid w:val="0"/>
                            <w:rPr>
                              <w:rFonts w:hint="eastAsia"/>
                              <w:lang w:val="en-US" w:eastAsia="zh-CN"/>
                            </w:rPr>
                          </w:pPr>
                          <w:r>
                            <w:rPr>
                              <w:rFonts w:hint="eastAsia"/>
                              <w:lang w:val="en-US" w:eastAsia="zh-CN"/>
                            </w:rPr>
                            <w:t>斌</w:t>
                          </w:r>
                        </w:p>
                        <w:p>
                          <w:pPr>
                            <w:pStyle w:val="19"/>
                            <w:rPr>
                              <w:rFonts w:hint="eastAsia"/>
                              <w:lang w:val="en-US" w:eastAsia="zh-CN"/>
                            </w:rPr>
                          </w:pPr>
                        </w:p>
                        <w:p>
                          <w:pPr>
                            <w:pStyle w:val="18"/>
                            <w:rPr>
                              <w:rFonts w:hint="eastAsia"/>
                              <w:lang w:eastAsia="zh-CN"/>
                            </w:rPr>
                          </w:pPr>
                        </w:p>
                      </w:txbxContent>
                    </v:textbox>
                  </v:rect>
                </v:group>
                <w10:wrap type="none"/>
                <w10:anchorlock/>
              </v:group>
            </w:pict>
          </mc:Fallback>
        </mc:AlternateContent>
      </w:r>
    </w:p>
    <w:p>
      <w:pPr>
        <w:tabs>
          <w:tab w:val="left" w:pos="2400"/>
        </w:tabs>
        <w:autoSpaceDE w:val="0"/>
        <w:autoSpaceDN w:val="0"/>
        <w:adjustRightInd w:val="0"/>
        <w:snapToGrid w:val="0"/>
        <w:spacing w:before="120" w:beforeLines="50" w:line="360" w:lineRule="auto"/>
        <w:ind w:firstLine="482" w:firstLineChars="200"/>
        <w:jc w:val="center"/>
        <w:rPr>
          <w:color w:val="auto"/>
          <w:highlight w:val="none"/>
        </w:rPr>
      </w:pPr>
      <w:r>
        <w:rPr>
          <w:b/>
          <w:color w:val="auto"/>
          <w:kern w:val="0"/>
          <w:highlight w:val="none"/>
        </w:rPr>
        <w:t xml:space="preserve">图2.1-1  </w:t>
      </w:r>
      <w:r>
        <w:rPr>
          <w:b/>
          <w:color w:val="auto"/>
          <w:highlight w:val="none"/>
        </w:rPr>
        <w:t>应急指挥小组组织机构图</w:t>
      </w:r>
    </w:p>
    <w:p>
      <w:pPr>
        <w:autoSpaceDE w:val="0"/>
        <w:autoSpaceDN w:val="0"/>
        <w:adjustRightInd w:val="0"/>
        <w:snapToGrid w:val="0"/>
        <w:spacing w:line="360" w:lineRule="auto"/>
        <w:ind w:firstLine="480" w:firstLineChars="200"/>
        <w:rPr>
          <w:color w:val="auto"/>
          <w:highlight w:val="none"/>
        </w:rPr>
      </w:pPr>
      <w:r>
        <w:rPr>
          <w:color w:val="auto"/>
          <w:highlight w:val="none"/>
        </w:rPr>
        <w:t>发生紧急事故时，迅速在事故现场安全地带设立临时指挥部，由</w:t>
      </w:r>
      <w:r>
        <w:rPr>
          <w:rFonts w:hint="eastAsia"/>
          <w:color w:val="auto"/>
          <w:highlight w:val="none"/>
          <w:lang w:val="en-US" w:eastAsia="zh-CN"/>
        </w:rPr>
        <w:t>副总经理</w:t>
      </w:r>
      <w:r>
        <w:rPr>
          <w:color w:val="auto"/>
          <w:highlight w:val="none"/>
        </w:rPr>
        <w:t>任总指挥，总指挥不在时，副总指挥为临时总指挥，全权负责现场指挥，事故应急处理期间，全公司范围内一切救援力量与物资必须服从调派，公司所有部门都有职责参与应急援救，各应急队伍由组长负责指挥。</w:t>
      </w:r>
    </w:p>
    <w:p>
      <w:pPr>
        <w:autoSpaceDE w:val="0"/>
        <w:autoSpaceDN w:val="0"/>
        <w:adjustRightInd w:val="0"/>
        <w:spacing w:line="360" w:lineRule="auto"/>
        <w:ind w:firstLine="480" w:firstLineChars="200"/>
        <w:rPr>
          <w:b/>
          <w:color w:val="auto"/>
          <w:kern w:val="0"/>
          <w:sz w:val="28"/>
          <w:szCs w:val="28"/>
          <w:highlight w:val="none"/>
        </w:rPr>
      </w:pPr>
      <w:r>
        <w:rPr>
          <w:color w:val="auto"/>
          <w:highlight w:val="none"/>
        </w:rPr>
        <w:t>指挥部成员负责向总指挥报告救援人员到达情况；各小组组长负责向总指挥报告目前事故的情况和处置的情况，等待总指挥下指令，接受指令后立即按职责、分工各自行动。总指挥、副总指挥坐镇指挥，根据反馈信息随时下达指令调整人力、物力重点支援。指挥部设在上风向相对安全的地点，并有明显标志，总指挥须佩戴臂章，以示识别。各队伍完成任务后，应及时向总指挥报告工作进度，等待进一步指令。</w:t>
      </w:r>
      <w:r>
        <w:rPr>
          <w:color w:val="auto"/>
          <w:spacing w:val="-7"/>
          <w:highlight w:val="none"/>
        </w:rPr>
        <w:t>夜班期间发生</w:t>
      </w:r>
      <w:r>
        <w:rPr>
          <w:color w:val="auto"/>
          <w:spacing w:val="-3"/>
          <w:highlight w:val="none"/>
        </w:rPr>
        <w:t>事故时现场早期指挥处置负责人由各小组轮流值班担任。</w:t>
      </w:r>
      <w:r>
        <w:rPr>
          <w:color w:val="auto"/>
          <w:highlight w:val="none"/>
        </w:rPr>
        <w:t>当政府及其有关部门介入后，环境应急指挥权应移交政府及其有关部门人员，企业员工及负责人服从及指挥。</w:t>
      </w:r>
    </w:p>
    <w:p>
      <w:pPr>
        <w:pStyle w:val="5"/>
        <w:rPr>
          <w:color w:val="auto"/>
          <w:highlight w:val="none"/>
        </w:rPr>
      </w:pPr>
      <w:bookmarkStart w:id="55" w:name="_Toc18134"/>
      <w:r>
        <w:rPr>
          <w:color w:val="auto"/>
          <w:highlight w:val="none"/>
        </w:rPr>
        <w:t>2.2 指挥机构组成</w:t>
      </w:r>
      <w:bookmarkEnd w:id="52"/>
      <w:bookmarkEnd w:id="53"/>
      <w:r>
        <w:rPr>
          <w:color w:val="auto"/>
          <w:highlight w:val="none"/>
        </w:rPr>
        <w:t>及职责</w:t>
      </w:r>
      <w:bookmarkEnd w:id="54"/>
      <w:bookmarkEnd w:id="55"/>
    </w:p>
    <w:p>
      <w:pPr>
        <w:pStyle w:val="6"/>
        <w:rPr>
          <w:color w:val="auto"/>
          <w:highlight w:val="none"/>
        </w:rPr>
      </w:pPr>
      <w:bookmarkStart w:id="56" w:name="_Toc28103238"/>
      <w:r>
        <w:rPr>
          <w:color w:val="auto"/>
          <w:highlight w:val="none"/>
        </w:rPr>
        <w:t>2.2.1 指挥机构组成</w:t>
      </w:r>
      <w:bookmarkEnd w:id="56"/>
    </w:p>
    <w:p>
      <w:pPr>
        <w:spacing w:line="360" w:lineRule="auto"/>
        <w:ind w:firstLine="480" w:firstLineChars="200"/>
        <w:rPr>
          <w:color w:val="auto"/>
          <w:kern w:val="0"/>
          <w:szCs w:val="28"/>
          <w:highlight w:val="none"/>
        </w:rPr>
      </w:pPr>
      <w:r>
        <w:rPr>
          <w:color w:val="auto"/>
          <w:kern w:val="0"/>
          <w:szCs w:val="28"/>
          <w:highlight w:val="none"/>
        </w:rPr>
        <w:t>我公司成立的“应急指挥部”小组成员名单如下：</w:t>
      </w:r>
    </w:p>
    <w:p>
      <w:pPr>
        <w:jc w:val="center"/>
        <w:rPr>
          <w:b/>
          <w:bCs/>
          <w:color w:val="auto"/>
          <w:highlight w:val="none"/>
        </w:rPr>
      </w:pPr>
      <w:r>
        <w:rPr>
          <w:b/>
          <w:bCs/>
          <w:color w:val="auto"/>
          <w:highlight w:val="none"/>
        </w:rPr>
        <w:t>表2.2-1  公司应急救援指挥部组织名单</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790"/>
        <w:gridCol w:w="1366"/>
        <w:gridCol w:w="2805"/>
        <w:gridCol w:w="255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90" w:type="pct"/>
            <w:noWrap/>
            <w:vAlign w:val="center"/>
          </w:tcPr>
          <w:p>
            <w:pPr>
              <w:jc w:val="center"/>
              <w:rPr>
                <w:rFonts w:ascii="宋体" w:hAnsi="宋体" w:cs="宋体"/>
                <w:b/>
                <w:color w:val="auto"/>
                <w:sz w:val="21"/>
                <w:szCs w:val="21"/>
                <w:highlight w:val="none"/>
              </w:rPr>
            </w:pPr>
            <w:bookmarkStart w:id="57" w:name="_Toc28103239"/>
            <w:r>
              <w:rPr>
                <w:rFonts w:hint="eastAsia" w:ascii="宋体" w:hAnsi="宋体" w:cs="宋体"/>
                <w:b/>
                <w:color w:val="auto"/>
                <w:sz w:val="21"/>
                <w:szCs w:val="21"/>
                <w:highlight w:val="none"/>
              </w:rPr>
              <w:t>序号</w:t>
            </w:r>
          </w:p>
        </w:tc>
        <w:tc>
          <w:tcPr>
            <w:tcW w:w="968" w:type="pct"/>
            <w:noWrap/>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职务</w:t>
            </w:r>
          </w:p>
        </w:tc>
        <w:tc>
          <w:tcPr>
            <w:tcW w:w="739" w:type="pct"/>
            <w:noWrap/>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姓名</w:t>
            </w:r>
          </w:p>
        </w:tc>
        <w:tc>
          <w:tcPr>
            <w:tcW w:w="1517" w:type="pct"/>
            <w:noWrap/>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职位</w:t>
            </w:r>
          </w:p>
        </w:tc>
        <w:tc>
          <w:tcPr>
            <w:tcW w:w="1383" w:type="pct"/>
            <w:noWrap/>
            <w:vAlign w:val="center"/>
          </w:tcPr>
          <w:p>
            <w:pPr>
              <w:jc w:val="center"/>
              <w:rPr>
                <w:rFonts w:ascii="宋体" w:hAnsi="宋体" w:cs="宋体"/>
                <w:b/>
                <w:color w:val="auto"/>
                <w:sz w:val="21"/>
                <w:szCs w:val="21"/>
                <w:highlight w:val="none"/>
              </w:rPr>
            </w:pPr>
            <w:r>
              <w:rPr>
                <w:rFonts w:hint="eastAsia" w:ascii="宋体" w:hAnsi="宋体" w:cs="宋体"/>
                <w:b/>
                <w:color w:val="auto"/>
                <w:sz w:val="21"/>
                <w:szCs w:val="21"/>
                <w:highlight w:val="none"/>
              </w:rPr>
              <w:t>联系方式(手机)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968"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总指挥</w:t>
            </w:r>
          </w:p>
        </w:tc>
        <w:tc>
          <w:tcPr>
            <w:tcW w:w="739"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陈海</w:t>
            </w:r>
          </w:p>
        </w:tc>
        <w:tc>
          <w:tcPr>
            <w:tcW w:w="1517"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副总经理</w:t>
            </w:r>
          </w:p>
        </w:tc>
        <w:tc>
          <w:tcPr>
            <w:tcW w:w="1383"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13771056107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90"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968"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副总指挥</w:t>
            </w:r>
          </w:p>
        </w:tc>
        <w:tc>
          <w:tcPr>
            <w:tcW w:w="739"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吴科飞</w:t>
            </w:r>
          </w:p>
        </w:tc>
        <w:tc>
          <w:tcPr>
            <w:tcW w:w="1517"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办公室主任</w:t>
            </w:r>
          </w:p>
        </w:tc>
        <w:tc>
          <w:tcPr>
            <w:tcW w:w="1383"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90" w:type="pct"/>
            <w:vMerge w:val="restar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968"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通信警戒组</w:t>
            </w:r>
          </w:p>
        </w:tc>
        <w:tc>
          <w:tcPr>
            <w:tcW w:w="739"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吴科飞</w:t>
            </w:r>
          </w:p>
        </w:tc>
        <w:tc>
          <w:tcPr>
            <w:tcW w:w="1517"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办公室主任</w:t>
            </w:r>
          </w:p>
        </w:tc>
        <w:tc>
          <w:tcPr>
            <w:tcW w:w="1383"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0" w:type="pct"/>
            <w:vMerge w:val="continue"/>
            <w:noWrap/>
            <w:vAlign w:val="center"/>
          </w:tcPr>
          <w:p>
            <w:pPr>
              <w:adjustRightInd w:val="0"/>
              <w:snapToGrid w:val="0"/>
              <w:jc w:val="center"/>
              <w:rPr>
                <w:rFonts w:ascii="宋体" w:hAnsi="宋体" w:cs="宋体"/>
                <w:color w:val="auto"/>
                <w:sz w:val="21"/>
                <w:szCs w:val="21"/>
                <w:highlight w:val="none"/>
              </w:rPr>
            </w:pPr>
          </w:p>
        </w:tc>
        <w:tc>
          <w:tcPr>
            <w:tcW w:w="968"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成员</w:t>
            </w:r>
          </w:p>
        </w:tc>
        <w:tc>
          <w:tcPr>
            <w:tcW w:w="739"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李红</w:t>
            </w:r>
          </w:p>
        </w:tc>
        <w:tc>
          <w:tcPr>
            <w:tcW w:w="1517"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内审员</w:t>
            </w:r>
          </w:p>
        </w:tc>
        <w:tc>
          <w:tcPr>
            <w:tcW w:w="1383"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15251520326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968"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抢险灭火组</w:t>
            </w:r>
          </w:p>
        </w:tc>
        <w:tc>
          <w:tcPr>
            <w:tcW w:w="739"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蒋政元</w:t>
            </w:r>
          </w:p>
        </w:tc>
        <w:tc>
          <w:tcPr>
            <w:tcW w:w="1517"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安全员</w:t>
            </w:r>
          </w:p>
        </w:tc>
        <w:tc>
          <w:tcPr>
            <w:tcW w:w="1383"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13405788736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0" w:type="pct"/>
            <w:vMerge w:val="continue"/>
            <w:noWrap/>
            <w:vAlign w:val="center"/>
          </w:tcPr>
          <w:p>
            <w:pPr>
              <w:adjustRightInd w:val="0"/>
              <w:snapToGrid w:val="0"/>
              <w:jc w:val="center"/>
              <w:rPr>
                <w:rFonts w:ascii="宋体" w:hAnsi="宋体" w:cs="宋体"/>
                <w:color w:val="auto"/>
                <w:sz w:val="21"/>
                <w:szCs w:val="21"/>
                <w:highlight w:val="none"/>
              </w:rPr>
            </w:pPr>
          </w:p>
        </w:tc>
        <w:tc>
          <w:tcPr>
            <w:tcW w:w="968"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成员</w:t>
            </w:r>
          </w:p>
        </w:tc>
        <w:tc>
          <w:tcPr>
            <w:tcW w:w="739"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王艳伟</w:t>
            </w:r>
          </w:p>
        </w:tc>
        <w:tc>
          <w:tcPr>
            <w:tcW w:w="1517"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夹具工</w:t>
            </w:r>
          </w:p>
        </w:tc>
        <w:tc>
          <w:tcPr>
            <w:tcW w:w="1383"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18351573066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90" w:type="pct"/>
            <w:vMerge w:val="restar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5</w:t>
            </w:r>
          </w:p>
        </w:tc>
        <w:tc>
          <w:tcPr>
            <w:tcW w:w="968"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救护疏散组</w:t>
            </w:r>
          </w:p>
        </w:tc>
        <w:tc>
          <w:tcPr>
            <w:tcW w:w="739"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朱琴</w:t>
            </w:r>
          </w:p>
        </w:tc>
        <w:tc>
          <w:tcPr>
            <w:tcW w:w="1517"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质检科副科长</w:t>
            </w:r>
          </w:p>
        </w:tc>
        <w:tc>
          <w:tcPr>
            <w:tcW w:w="1383"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18015349969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90" w:type="pct"/>
            <w:vMerge w:val="continue"/>
            <w:noWrap/>
            <w:vAlign w:val="center"/>
          </w:tcPr>
          <w:p>
            <w:pPr>
              <w:adjustRightInd w:val="0"/>
              <w:snapToGrid w:val="0"/>
              <w:jc w:val="center"/>
              <w:rPr>
                <w:rFonts w:ascii="宋体" w:hAnsi="宋体" w:cs="宋体"/>
                <w:color w:val="auto"/>
                <w:sz w:val="21"/>
                <w:szCs w:val="21"/>
                <w:highlight w:val="none"/>
              </w:rPr>
            </w:pPr>
          </w:p>
        </w:tc>
        <w:tc>
          <w:tcPr>
            <w:tcW w:w="968"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成员</w:t>
            </w:r>
          </w:p>
        </w:tc>
        <w:tc>
          <w:tcPr>
            <w:tcW w:w="739"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吴佩</w:t>
            </w:r>
          </w:p>
        </w:tc>
        <w:tc>
          <w:tcPr>
            <w:tcW w:w="1517"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检验员</w:t>
            </w:r>
          </w:p>
        </w:tc>
        <w:tc>
          <w:tcPr>
            <w:tcW w:w="1383"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1525166675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6</w:t>
            </w:r>
          </w:p>
        </w:tc>
        <w:tc>
          <w:tcPr>
            <w:tcW w:w="968"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后勤保障组</w:t>
            </w:r>
          </w:p>
        </w:tc>
        <w:tc>
          <w:tcPr>
            <w:tcW w:w="739"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周卫平</w:t>
            </w:r>
          </w:p>
        </w:tc>
        <w:tc>
          <w:tcPr>
            <w:tcW w:w="1517"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机修组组长</w:t>
            </w:r>
          </w:p>
        </w:tc>
        <w:tc>
          <w:tcPr>
            <w:tcW w:w="1383"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18973418746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90" w:type="pct"/>
            <w:vMerge w:val="continue"/>
            <w:noWrap/>
            <w:vAlign w:val="center"/>
          </w:tcPr>
          <w:p>
            <w:pPr>
              <w:adjustRightInd w:val="0"/>
              <w:snapToGrid w:val="0"/>
              <w:jc w:val="center"/>
              <w:rPr>
                <w:rFonts w:ascii="宋体" w:hAnsi="宋体" w:cs="宋体"/>
                <w:color w:val="auto"/>
                <w:sz w:val="21"/>
                <w:szCs w:val="21"/>
                <w:highlight w:val="none"/>
              </w:rPr>
            </w:pPr>
          </w:p>
        </w:tc>
        <w:tc>
          <w:tcPr>
            <w:tcW w:w="968"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成员</w:t>
            </w:r>
          </w:p>
        </w:tc>
        <w:tc>
          <w:tcPr>
            <w:tcW w:w="739"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周小红</w:t>
            </w:r>
          </w:p>
        </w:tc>
        <w:tc>
          <w:tcPr>
            <w:tcW w:w="1517" w:type="pct"/>
            <w:noWrap/>
            <w:vAlign w:val="center"/>
          </w:tcPr>
          <w:p>
            <w:pPr>
              <w:pStyle w:val="48"/>
              <w:adjustRightInd w:val="0"/>
              <w:snapToGrid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机修工</w:t>
            </w:r>
          </w:p>
        </w:tc>
        <w:tc>
          <w:tcPr>
            <w:tcW w:w="1383"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17368785636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7</w:t>
            </w:r>
          </w:p>
        </w:tc>
        <w:tc>
          <w:tcPr>
            <w:tcW w:w="968"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事故处理组</w:t>
            </w:r>
          </w:p>
        </w:tc>
        <w:tc>
          <w:tcPr>
            <w:tcW w:w="739"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付涛</w:t>
            </w:r>
          </w:p>
        </w:tc>
        <w:tc>
          <w:tcPr>
            <w:tcW w:w="1517"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生产科长</w:t>
            </w:r>
          </w:p>
        </w:tc>
        <w:tc>
          <w:tcPr>
            <w:tcW w:w="1383" w:type="pct"/>
            <w:noWrap/>
            <w:vAlign w:val="center"/>
          </w:tcPr>
          <w:p>
            <w:pPr>
              <w:adjustRightInd w:val="0"/>
              <w:snapToGrid w:val="0"/>
              <w:spacing w:before="100" w:beforeAutospacing="1" w:after="100" w:afterAutospacing="1"/>
              <w:jc w:val="center"/>
              <w:rPr>
                <w:rFonts w:ascii="宋体" w:hAnsi="宋体" w:cs="宋体"/>
                <w:color w:val="auto"/>
                <w:sz w:val="21"/>
                <w:szCs w:val="21"/>
                <w:highlight w:val="none"/>
              </w:rPr>
            </w:pPr>
            <w:r>
              <w:rPr>
                <w:rFonts w:hint="eastAsia" w:ascii="宋体" w:hAnsi="宋体" w:cs="宋体"/>
                <w:color w:val="auto"/>
                <w:sz w:val="21"/>
                <w:szCs w:val="21"/>
                <w:highlight w:val="none"/>
              </w:rPr>
              <w:t>18861865906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continue"/>
            <w:noWrap/>
            <w:vAlign w:val="center"/>
          </w:tcPr>
          <w:p>
            <w:pPr>
              <w:adjustRightInd w:val="0"/>
              <w:snapToGrid w:val="0"/>
              <w:jc w:val="center"/>
              <w:rPr>
                <w:rFonts w:ascii="宋体" w:hAnsi="宋体" w:cs="宋体"/>
                <w:color w:val="auto"/>
                <w:sz w:val="21"/>
                <w:szCs w:val="21"/>
                <w:highlight w:val="none"/>
              </w:rPr>
            </w:pPr>
          </w:p>
        </w:tc>
        <w:tc>
          <w:tcPr>
            <w:tcW w:w="968"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成员</w:t>
            </w:r>
          </w:p>
        </w:tc>
        <w:tc>
          <w:tcPr>
            <w:tcW w:w="739"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王佳银</w:t>
            </w:r>
          </w:p>
        </w:tc>
        <w:tc>
          <w:tcPr>
            <w:tcW w:w="1517"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物流组长</w:t>
            </w:r>
          </w:p>
        </w:tc>
        <w:tc>
          <w:tcPr>
            <w:tcW w:w="1383"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18852474726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restar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8</w:t>
            </w:r>
          </w:p>
        </w:tc>
        <w:tc>
          <w:tcPr>
            <w:tcW w:w="968"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应急</w:t>
            </w:r>
            <w:r>
              <w:rPr>
                <w:rFonts w:hint="eastAsia" w:ascii="宋体" w:hAnsi="宋体" w:cs="宋体"/>
                <w:color w:val="auto"/>
                <w:sz w:val="21"/>
                <w:szCs w:val="21"/>
                <w:highlight w:val="none"/>
                <w:lang w:val="en-US" w:eastAsia="zh-CN"/>
              </w:rPr>
              <w:t>监测</w:t>
            </w:r>
            <w:r>
              <w:rPr>
                <w:rFonts w:hint="eastAsia" w:ascii="宋体" w:hAnsi="宋体" w:cs="宋体"/>
                <w:color w:val="auto"/>
                <w:sz w:val="21"/>
                <w:szCs w:val="21"/>
                <w:highlight w:val="none"/>
              </w:rPr>
              <w:t>组</w:t>
            </w:r>
          </w:p>
        </w:tc>
        <w:tc>
          <w:tcPr>
            <w:tcW w:w="739" w:type="pct"/>
            <w:noWrap/>
            <w:vAlign w:val="center"/>
          </w:tcPr>
          <w:p>
            <w:pPr>
              <w:adjustRightInd w:val="0"/>
              <w:snapToGrid w:val="0"/>
              <w:jc w:val="center"/>
              <w:rPr>
                <w:rFonts w:ascii="宋体" w:hAnsi="宋体" w:cs="宋体"/>
                <w:color w:val="auto"/>
                <w:sz w:val="21"/>
                <w:szCs w:val="21"/>
                <w:highlight w:val="none"/>
              </w:rPr>
            </w:pPr>
            <w:r>
              <w:rPr>
                <w:rFonts w:ascii="宋体" w:hAnsi="宋体" w:cs="宋体"/>
                <w:color w:val="auto"/>
                <w:sz w:val="21"/>
                <w:szCs w:val="21"/>
                <w:highlight w:val="none"/>
              </w:rPr>
              <w:t>沈斌</w:t>
            </w:r>
          </w:p>
        </w:tc>
        <w:tc>
          <w:tcPr>
            <w:tcW w:w="1517" w:type="pct"/>
            <w:noWrap/>
            <w:vAlign w:val="center"/>
          </w:tcPr>
          <w:p>
            <w:pPr>
              <w:adjustRightInd w:val="0"/>
              <w:snapToGrid w:val="0"/>
              <w:jc w:val="center"/>
              <w:rPr>
                <w:rFonts w:ascii="宋体" w:hAnsi="宋体" w:cs="宋体"/>
                <w:color w:val="auto"/>
                <w:sz w:val="21"/>
                <w:szCs w:val="21"/>
                <w:highlight w:val="none"/>
              </w:rPr>
            </w:pPr>
            <w:r>
              <w:rPr>
                <w:rFonts w:ascii="宋体" w:hAnsi="宋体" w:cs="宋体"/>
                <w:color w:val="auto"/>
                <w:sz w:val="21"/>
                <w:szCs w:val="21"/>
                <w:highlight w:val="none"/>
              </w:rPr>
              <w:t>实验室组长</w:t>
            </w:r>
          </w:p>
        </w:tc>
        <w:tc>
          <w:tcPr>
            <w:tcW w:w="1383"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18861804682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continue"/>
            <w:noWrap/>
            <w:vAlign w:val="center"/>
          </w:tcPr>
          <w:p>
            <w:pPr>
              <w:adjustRightInd w:val="0"/>
              <w:snapToGrid w:val="0"/>
              <w:jc w:val="center"/>
              <w:rPr>
                <w:rFonts w:ascii="宋体" w:hAnsi="宋体" w:cs="宋体"/>
                <w:color w:val="auto"/>
                <w:sz w:val="21"/>
                <w:szCs w:val="21"/>
                <w:highlight w:val="none"/>
              </w:rPr>
            </w:pPr>
          </w:p>
        </w:tc>
        <w:tc>
          <w:tcPr>
            <w:tcW w:w="968" w:type="pct"/>
            <w:noWrap/>
            <w:vAlign w:val="center"/>
          </w:tcPr>
          <w:p>
            <w:pPr>
              <w:adjustRightInd w:val="0"/>
              <w:snapToGrid w:val="0"/>
              <w:jc w:val="center"/>
              <w:rPr>
                <w:rFonts w:ascii="宋体" w:hAnsi="宋体" w:cs="宋体"/>
                <w:color w:val="auto"/>
                <w:sz w:val="21"/>
                <w:szCs w:val="21"/>
                <w:highlight w:val="none"/>
              </w:rPr>
            </w:pPr>
            <w:r>
              <w:rPr>
                <w:rFonts w:ascii="宋体" w:hAnsi="宋体" w:cs="宋体"/>
                <w:color w:val="auto"/>
                <w:sz w:val="21"/>
                <w:szCs w:val="21"/>
                <w:highlight w:val="none"/>
              </w:rPr>
              <w:t>成员</w:t>
            </w:r>
          </w:p>
        </w:tc>
        <w:tc>
          <w:tcPr>
            <w:tcW w:w="739" w:type="pct"/>
            <w:noWrap/>
            <w:vAlign w:val="center"/>
          </w:tcPr>
          <w:p>
            <w:pPr>
              <w:adjustRightInd w:val="0"/>
              <w:snapToGrid w:val="0"/>
              <w:jc w:val="center"/>
              <w:rPr>
                <w:rFonts w:ascii="宋体" w:hAnsi="宋体" w:cs="宋体"/>
                <w:color w:val="auto"/>
                <w:sz w:val="21"/>
                <w:szCs w:val="21"/>
                <w:highlight w:val="none"/>
              </w:rPr>
            </w:pPr>
            <w:r>
              <w:rPr>
                <w:rFonts w:ascii="宋体" w:hAnsi="宋体" w:cs="宋体"/>
                <w:color w:val="auto"/>
                <w:sz w:val="21"/>
                <w:szCs w:val="21"/>
                <w:highlight w:val="none"/>
              </w:rPr>
              <w:t>孙丹凤</w:t>
            </w:r>
          </w:p>
        </w:tc>
        <w:tc>
          <w:tcPr>
            <w:tcW w:w="1517"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实验</w:t>
            </w:r>
            <w:r>
              <w:rPr>
                <w:rFonts w:ascii="宋体" w:hAnsi="宋体" w:cs="宋体"/>
                <w:color w:val="auto"/>
                <w:sz w:val="21"/>
                <w:szCs w:val="21"/>
                <w:highlight w:val="none"/>
              </w:rPr>
              <w:t>员</w:t>
            </w:r>
          </w:p>
        </w:tc>
        <w:tc>
          <w:tcPr>
            <w:tcW w:w="1383" w:type="pct"/>
            <w:noWrap/>
            <w:vAlign w:val="center"/>
          </w:tcPr>
          <w:p>
            <w:pPr>
              <w:adjustRightInd w:val="0"/>
              <w:snapToGrid w:val="0"/>
              <w:jc w:val="center"/>
              <w:rPr>
                <w:rFonts w:ascii="宋体" w:hAnsi="宋体" w:cs="宋体"/>
                <w:color w:val="auto"/>
                <w:sz w:val="21"/>
                <w:szCs w:val="21"/>
                <w:highlight w:val="none"/>
              </w:rPr>
            </w:pPr>
            <w:r>
              <w:rPr>
                <w:rFonts w:hint="eastAsia" w:ascii="宋体" w:hAnsi="宋体" w:cs="宋体"/>
                <w:color w:val="auto"/>
                <w:sz w:val="21"/>
                <w:szCs w:val="21"/>
                <w:highlight w:val="none"/>
              </w:rPr>
              <w:t>13915335530</w:t>
            </w:r>
          </w:p>
        </w:tc>
      </w:tr>
    </w:tbl>
    <w:p>
      <w:pPr>
        <w:pStyle w:val="6"/>
        <w:spacing w:before="120" w:beforeLines="50"/>
        <w:rPr>
          <w:color w:val="auto"/>
          <w:highlight w:val="none"/>
        </w:rPr>
      </w:pPr>
      <w:r>
        <w:rPr>
          <w:color w:val="auto"/>
          <w:highlight w:val="none"/>
        </w:rPr>
        <w:t>2.2.2 指挥机构的主要职责</w:t>
      </w:r>
      <w:bookmarkEnd w:id="57"/>
    </w:p>
    <w:p>
      <w:pPr>
        <w:spacing w:line="360" w:lineRule="auto"/>
        <w:ind w:firstLine="480" w:firstLineChars="200"/>
        <w:rPr>
          <w:color w:val="auto"/>
          <w:highlight w:val="none"/>
        </w:rPr>
      </w:pPr>
      <w:r>
        <w:rPr>
          <w:color w:val="auto"/>
          <w:highlight w:val="none"/>
        </w:rPr>
        <w:t>（1）贯彻执行国家、当地政府、上级有关部门关于环境安全的方针、政策及规定；</w:t>
      </w:r>
    </w:p>
    <w:p>
      <w:pPr>
        <w:spacing w:line="360" w:lineRule="auto"/>
        <w:ind w:firstLine="480" w:firstLineChars="200"/>
        <w:rPr>
          <w:color w:val="auto"/>
          <w:highlight w:val="none"/>
        </w:rPr>
      </w:pPr>
      <w:r>
        <w:rPr>
          <w:color w:val="auto"/>
          <w:highlight w:val="none"/>
        </w:rPr>
        <w:t>（2）组织制定突发环境事件应急预案；</w:t>
      </w:r>
    </w:p>
    <w:p>
      <w:pPr>
        <w:spacing w:line="360" w:lineRule="auto"/>
        <w:ind w:firstLine="480" w:firstLineChars="200"/>
        <w:rPr>
          <w:color w:val="auto"/>
          <w:highlight w:val="none"/>
        </w:rPr>
      </w:pPr>
      <w:r>
        <w:rPr>
          <w:color w:val="auto"/>
          <w:highlight w:val="none"/>
        </w:rPr>
        <w:t>（3）组建突发环境事件应急救援队伍；</w:t>
      </w:r>
    </w:p>
    <w:p>
      <w:pPr>
        <w:spacing w:line="360" w:lineRule="auto"/>
        <w:ind w:firstLine="480" w:firstLineChars="200"/>
        <w:rPr>
          <w:color w:val="auto"/>
          <w:highlight w:val="none"/>
        </w:rPr>
      </w:pPr>
      <w:r>
        <w:rPr>
          <w:color w:val="auto"/>
          <w:highlight w:val="none"/>
        </w:rPr>
        <w:t>（4）负责应急防范设施（备）（如堵漏器材、</w:t>
      </w:r>
      <w:r>
        <w:rPr>
          <w:rFonts w:hint="eastAsia"/>
          <w:color w:val="auto"/>
          <w:highlight w:val="none"/>
        </w:rPr>
        <w:t>应急设施</w:t>
      </w:r>
      <w:r>
        <w:rPr>
          <w:color w:val="auto"/>
          <w:highlight w:val="none"/>
        </w:rPr>
        <w:t>、应急监测仪器、防护器材、救援器材和应急交通工具等）的建设；以及应急救援物资，特别是处理泄漏物、消解和吸收污染物的化学品物资（如</w:t>
      </w:r>
      <w:r>
        <w:rPr>
          <w:rFonts w:hint="eastAsia"/>
          <w:color w:val="auto"/>
          <w:highlight w:val="none"/>
        </w:rPr>
        <w:t>黄沙</w:t>
      </w:r>
      <w:r>
        <w:rPr>
          <w:color w:val="auto"/>
          <w:highlight w:val="none"/>
        </w:rPr>
        <w:t>等）的储备；</w:t>
      </w:r>
    </w:p>
    <w:p>
      <w:pPr>
        <w:spacing w:line="360" w:lineRule="auto"/>
        <w:ind w:firstLine="480" w:firstLineChars="200"/>
        <w:rPr>
          <w:color w:val="auto"/>
          <w:highlight w:val="none"/>
        </w:rPr>
      </w:pPr>
      <w:r>
        <w:rPr>
          <w:color w:val="auto"/>
          <w:highlight w:val="none"/>
        </w:rPr>
        <w:t>（5）检查、督促做好突发环境事件的预防措施和应急救援的各项准备工作，督促、协助有关部门及时消除危险化学品等的跑、冒、滴、漏；</w:t>
      </w:r>
    </w:p>
    <w:p>
      <w:pPr>
        <w:spacing w:line="360" w:lineRule="auto"/>
        <w:ind w:firstLine="480" w:firstLineChars="200"/>
        <w:rPr>
          <w:color w:val="auto"/>
          <w:highlight w:val="none"/>
        </w:rPr>
      </w:pPr>
      <w:r>
        <w:rPr>
          <w:color w:val="auto"/>
          <w:highlight w:val="none"/>
        </w:rPr>
        <w:t>（6）负责组织预案的审批与更新（企业应急指挥部负责审定企业内部各级应急预案）；</w:t>
      </w:r>
    </w:p>
    <w:p>
      <w:pPr>
        <w:spacing w:line="360" w:lineRule="auto"/>
        <w:ind w:firstLine="480" w:firstLineChars="200"/>
        <w:rPr>
          <w:color w:val="auto"/>
          <w:highlight w:val="none"/>
        </w:rPr>
      </w:pPr>
      <w:r>
        <w:rPr>
          <w:color w:val="auto"/>
          <w:highlight w:val="none"/>
        </w:rPr>
        <w:t>（7）负责组织外部评审；</w:t>
      </w:r>
    </w:p>
    <w:p>
      <w:pPr>
        <w:spacing w:line="360" w:lineRule="auto"/>
        <w:ind w:firstLine="480" w:firstLineChars="200"/>
        <w:rPr>
          <w:color w:val="auto"/>
          <w:highlight w:val="none"/>
        </w:rPr>
      </w:pPr>
      <w:r>
        <w:rPr>
          <w:color w:val="auto"/>
          <w:highlight w:val="none"/>
        </w:rPr>
        <w:t>（8）批准本预案的启动与终止；</w:t>
      </w:r>
    </w:p>
    <w:p>
      <w:pPr>
        <w:spacing w:line="360" w:lineRule="auto"/>
        <w:ind w:firstLine="480" w:firstLineChars="200"/>
        <w:rPr>
          <w:color w:val="auto"/>
          <w:highlight w:val="none"/>
        </w:rPr>
      </w:pPr>
      <w:r>
        <w:rPr>
          <w:color w:val="auto"/>
          <w:highlight w:val="none"/>
        </w:rPr>
        <w:t>（9）确定现场指挥人员；</w:t>
      </w:r>
    </w:p>
    <w:p>
      <w:pPr>
        <w:spacing w:line="360" w:lineRule="auto"/>
        <w:ind w:firstLine="480" w:firstLineChars="200"/>
        <w:rPr>
          <w:color w:val="auto"/>
          <w:highlight w:val="none"/>
        </w:rPr>
      </w:pPr>
      <w:r>
        <w:rPr>
          <w:color w:val="auto"/>
          <w:highlight w:val="none"/>
        </w:rPr>
        <w:t>（10）协调事件现场有关工作；</w:t>
      </w:r>
    </w:p>
    <w:p>
      <w:pPr>
        <w:spacing w:line="360" w:lineRule="auto"/>
        <w:ind w:firstLine="480" w:firstLineChars="200"/>
        <w:rPr>
          <w:color w:val="auto"/>
          <w:highlight w:val="none"/>
        </w:rPr>
      </w:pPr>
      <w:r>
        <w:rPr>
          <w:color w:val="auto"/>
          <w:highlight w:val="none"/>
        </w:rPr>
        <w:t>（11）负责应急队伍的调动和资源配置；</w:t>
      </w:r>
    </w:p>
    <w:p>
      <w:pPr>
        <w:spacing w:line="360" w:lineRule="auto"/>
        <w:ind w:firstLine="480" w:firstLineChars="200"/>
        <w:rPr>
          <w:color w:val="auto"/>
          <w:highlight w:val="none"/>
        </w:rPr>
      </w:pPr>
      <w:r>
        <w:rPr>
          <w:color w:val="auto"/>
          <w:highlight w:val="none"/>
        </w:rPr>
        <w:t>（12）突发环境事件信息的上报及可能受影响区域的通报工作；</w:t>
      </w:r>
    </w:p>
    <w:p>
      <w:pPr>
        <w:spacing w:line="360" w:lineRule="auto"/>
        <w:ind w:firstLine="480" w:firstLineChars="200"/>
        <w:rPr>
          <w:color w:val="auto"/>
          <w:highlight w:val="none"/>
        </w:rPr>
      </w:pPr>
      <w:r>
        <w:rPr>
          <w:color w:val="auto"/>
          <w:highlight w:val="none"/>
        </w:rPr>
        <w:t>（13）负责应急状态下请求外部救援力量的决策；</w:t>
      </w:r>
    </w:p>
    <w:p>
      <w:pPr>
        <w:spacing w:line="360" w:lineRule="auto"/>
        <w:ind w:firstLine="480" w:firstLineChars="200"/>
        <w:rPr>
          <w:color w:val="auto"/>
          <w:highlight w:val="none"/>
        </w:rPr>
      </w:pPr>
      <w:r>
        <w:rPr>
          <w:color w:val="auto"/>
          <w:highlight w:val="none"/>
        </w:rPr>
        <w:t>（14）接受上级应急救援指挥机构的指令和调动，协助事件的处理；配合有关部门对环境进行修复、事件调查、经验教训总结；</w:t>
      </w:r>
    </w:p>
    <w:p>
      <w:pPr>
        <w:spacing w:line="360" w:lineRule="auto"/>
        <w:ind w:firstLine="480" w:firstLineChars="200"/>
        <w:rPr>
          <w:color w:val="auto"/>
          <w:highlight w:val="none"/>
        </w:rPr>
      </w:pPr>
      <w:r>
        <w:rPr>
          <w:color w:val="auto"/>
          <w:highlight w:val="none"/>
        </w:rPr>
        <w:t>（15）负责保护事件现场及相关数据；</w:t>
      </w:r>
    </w:p>
    <w:p>
      <w:pPr>
        <w:spacing w:line="360" w:lineRule="auto"/>
        <w:ind w:firstLine="480" w:firstLineChars="200"/>
        <w:rPr>
          <w:color w:val="auto"/>
          <w:highlight w:val="none"/>
        </w:rPr>
      </w:pPr>
      <w:r>
        <w:rPr>
          <w:color w:val="auto"/>
          <w:highlight w:val="none"/>
        </w:rPr>
        <w:t>（16）有计划地组织实施突发环境事件应急救援的培训，根据应急预案进行演练，向周边企业、村落提供本单位有关危险物质特性、救援知识等宣传材料。</w:t>
      </w:r>
    </w:p>
    <w:p>
      <w:pPr>
        <w:pStyle w:val="5"/>
        <w:rPr>
          <w:color w:val="auto"/>
          <w:highlight w:val="none"/>
        </w:rPr>
      </w:pPr>
      <w:bookmarkStart w:id="58" w:name="_Toc7907"/>
      <w:bookmarkStart w:id="59" w:name="_Toc28103240"/>
      <w:bookmarkStart w:id="60" w:name="_Toc391464174"/>
      <w:r>
        <w:rPr>
          <w:color w:val="auto"/>
          <w:highlight w:val="none"/>
        </w:rPr>
        <w:t>2.3 应急救援指挥部</w:t>
      </w:r>
      <w:bookmarkEnd w:id="58"/>
      <w:bookmarkEnd w:id="59"/>
      <w:bookmarkEnd w:id="60"/>
    </w:p>
    <w:p>
      <w:pPr>
        <w:autoSpaceDE w:val="0"/>
        <w:autoSpaceDN w:val="0"/>
        <w:adjustRightInd w:val="0"/>
        <w:snapToGrid w:val="0"/>
        <w:spacing w:line="360" w:lineRule="auto"/>
        <w:ind w:firstLine="480" w:firstLineChars="200"/>
        <w:rPr>
          <w:color w:val="auto"/>
          <w:kern w:val="0"/>
          <w:highlight w:val="none"/>
        </w:rPr>
      </w:pPr>
      <w:bookmarkStart w:id="61" w:name="_Toc391464175"/>
      <w:bookmarkStart w:id="62" w:name="_Toc28103241"/>
      <w:r>
        <w:rPr>
          <w:color w:val="auto"/>
          <w:kern w:val="0"/>
          <w:highlight w:val="none"/>
        </w:rPr>
        <w:t>应急救援指挥部，由总指挥、副总指挥，指挥部人员组成，其中总指挥以及副总指挥由企业主要负责人担任。</w:t>
      </w:r>
      <w:r>
        <w:rPr>
          <w:color w:val="auto"/>
          <w:highlight w:val="none"/>
        </w:rPr>
        <w:t>主要职责如下：</w:t>
      </w:r>
    </w:p>
    <w:p>
      <w:pPr>
        <w:autoSpaceDE w:val="0"/>
        <w:autoSpaceDN w:val="0"/>
        <w:adjustRightInd w:val="0"/>
        <w:snapToGrid w:val="0"/>
        <w:spacing w:line="360" w:lineRule="auto"/>
        <w:ind w:firstLine="480" w:firstLineChars="200"/>
        <w:rPr>
          <w:color w:val="auto"/>
          <w:kern w:val="0"/>
          <w:highlight w:val="none"/>
        </w:rPr>
      </w:pPr>
      <w:r>
        <w:rPr>
          <w:color w:val="auto"/>
          <w:kern w:val="0"/>
          <w:highlight w:val="none"/>
        </w:rPr>
        <w:t>总指挥：</w:t>
      </w:r>
      <w:r>
        <w:rPr>
          <w:rFonts w:hint="eastAsia"/>
          <w:color w:val="auto"/>
          <w:kern w:val="0"/>
          <w:highlight w:val="none"/>
        </w:rPr>
        <w:t>负责指挥全公司事故状态下的应急救援，在应急救援过程中需要对外、对上有关工作的决策及下达指令（包括</w:t>
      </w:r>
      <w:r>
        <w:rPr>
          <w:color w:val="auto"/>
          <w:kern w:val="0"/>
          <w:highlight w:val="none"/>
        </w:rPr>
        <w:t>决定是否启动紧急救援</w:t>
      </w:r>
      <w:r>
        <w:rPr>
          <w:rFonts w:hint="eastAsia"/>
          <w:color w:val="auto"/>
          <w:kern w:val="0"/>
          <w:highlight w:val="none"/>
        </w:rPr>
        <w:t>、公司救援力量不能满足现场救援需要时，是否请求外部救援力量支持、为降低事故损失或减轻事故影响，是否采取紧急避险措施，是否需要对相邻装置、设施或周围居民进行关停、疏散、封闭等）；做好事故处置、控制和善后工作；审核事故快报；审核新闻发布的有关内容；其它。</w:t>
      </w:r>
    </w:p>
    <w:p>
      <w:pPr>
        <w:autoSpaceDE w:val="0"/>
        <w:autoSpaceDN w:val="0"/>
        <w:adjustRightInd w:val="0"/>
        <w:snapToGrid w:val="0"/>
        <w:spacing w:line="360" w:lineRule="auto"/>
        <w:ind w:firstLine="480" w:firstLineChars="200"/>
        <w:rPr>
          <w:color w:val="auto"/>
          <w:kern w:val="0"/>
          <w:highlight w:val="none"/>
        </w:rPr>
      </w:pPr>
      <w:r>
        <w:rPr>
          <w:color w:val="auto"/>
          <w:kern w:val="0"/>
          <w:highlight w:val="none"/>
        </w:rPr>
        <w:t>副总指挥：</w:t>
      </w:r>
    </w:p>
    <w:p>
      <w:pPr>
        <w:autoSpaceDE w:val="0"/>
        <w:autoSpaceDN w:val="0"/>
        <w:adjustRightInd w:val="0"/>
        <w:snapToGrid w:val="0"/>
        <w:spacing w:line="360" w:lineRule="auto"/>
        <w:ind w:firstLine="480" w:firstLineChars="200"/>
        <w:rPr>
          <w:color w:val="auto"/>
          <w:kern w:val="0"/>
          <w:highlight w:val="none"/>
        </w:rPr>
      </w:pPr>
      <w:r>
        <w:rPr>
          <w:color w:val="auto"/>
          <w:highlight w:val="none"/>
        </w:rPr>
        <w:t>（1）</w:t>
      </w:r>
      <w:r>
        <w:rPr>
          <w:color w:val="auto"/>
          <w:kern w:val="0"/>
          <w:highlight w:val="none"/>
        </w:rPr>
        <w:t>负责组织协调整体救援工作</w:t>
      </w:r>
      <w:r>
        <w:rPr>
          <w:rFonts w:hint="eastAsia"/>
          <w:color w:val="auto"/>
          <w:kern w:val="0"/>
          <w:highlight w:val="none"/>
        </w:rPr>
        <w:t>，负责各小组应急救援处置职责的落实</w:t>
      </w:r>
      <w:r>
        <w:rPr>
          <w:color w:val="auto"/>
          <w:kern w:val="0"/>
          <w:highlight w:val="none"/>
        </w:rPr>
        <w:t>；</w:t>
      </w:r>
    </w:p>
    <w:p>
      <w:pPr>
        <w:autoSpaceDE w:val="0"/>
        <w:autoSpaceDN w:val="0"/>
        <w:adjustRightInd w:val="0"/>
        <w:snapToGrid w:val="0"/>
        <w:spacing w:line="360" w:lineRule="auto"/>
        <w:ind w:firstLine="480" w:firstLineChars="200"/>
        <w:rPr>
          <w:color w:val="auto"/>
          <w:kern w:val="0"/>
          <w:highlight w:val="none"/>
        </w:rPr>
      </w:pPr>
      <w:r>
        <w:rPr>
          <w:color w:val="auto"/>
          <w:highlight w:val="none"/>
        </w:rPr>
        <w:t>（2）</w:t>
      </w:r>
      <w:r>
        <w:rPr>
          <w:rFonts w:hint="eastAsia"/>
          <w:color w:val="auto"/>
          <w:highlight w:val="none"/>
        </w:rPr>
        <w:t>负责收集事故的相关信息，协助总指挥对事件的严重性做出迅速而又准确的判断</w:t>
      </w:r>
      <w:r>
        <w:rPr>
          <w:color w:val="auto"/>
          <w:kern w:val="0"/>
          <w:highlight w:val="none"/>
        </w:rPr>
        <w:t>；</w:t>
      </w:r>
    </w:p>
    <w:p>
      <w:pPr>
        <w:autoSpaceDE w:val="0"/>
        <w:autoSpaceDN w:val="0"/>
        <w:adjustRightInd w:val="0"/>
        <w:snapToGrid w:val="0"/>
        <w:spacing w:line="360" w:lineRule="auto"/>
        <w:ind w:firstLine="480" w:firstLineChars="200"/>
        <w:rPr>
          <w:color w:val="auto"/>
          <w:kern w:val="0"/>
          <w:highlight w:val="none"/>
        </w:rPr>
      </w:pPr>
      <w:r>
        <w:rPr>
          <w:color w:val="auto"/>
          <w:highlight w:val="none"/>
        </w:rPr>
        <w:t>（3）</w:t>
      </w:r>
      <w:r>
        <w:rPr>
          <w:rFonts w:hint="eastAsia"/>
          <w:color w:val="auto"/>
          <w:kern w:val="0"/>
          <w:highlight w:val="none"/>
        </w:rPr>
        <w:t>总指挥不在时，</w:t>
      </w:r>
      <w:r>
        <w:rPr>
          <w:color w:val="auto"/>
          <w:kern w:val="0"/>
          <w:highlight w:val="none"/>
        </w:rPr>
        <w:t>必要时</w:t>
      </w:r>
      <w:r>
        <w:rPr>
          <w:rFonts w:hint="eastAsia"/>
          <w:color w:val="auto"/>
          <w:kern w:val="0"/>
          <w:highlight w:val="none"/>
        </w:rPr>
        <w:t>承担总指挥的职责。</w:t>
      </w:r>
    </w:p>
    <w:p>
      <w:pPr>
        <w:spacing w:line="360" w:lineRule="auto"/>
        <w:ind w:firstLine="480" w:firstLineChars="200"/>
        <w:rPr>
          <w:color w:val="auto"/>
          <w:highlight w:val="none"/>
        </w:rPr>
      </w:pPr>
      <w:r>
        <w:rPr>
          <w:color w:val="auto"/>
          <w:highlight w:val="none"/>
        </w:rPr>
        <w:t>指挥部人员：</w:t>
      </w:r>
    </w:p>
    <w:p>
      <w:pPr>
        <w:spacing w:line="360" w:lineRule="auto"/>
        <w:ind w:firstLine="480" w:firstLineChars="200"/>
        <w:rPr>
          <w:color w:val="auto"/>
          <w:highlight w:val="none"/>
        </w:rPr>
      </w:pPr>
      <w:r>
        <w:rPr>
          <w:color w:val="auto"/>
          <w:highlight w:val="none"/>
        </w:rPr>
        <w:t>（1）指导环境应急预案的编制及修改完善；</w:t>
      </w:r>
    </w:p>
    <w:p>
      <w:pPr>
        <w:spacing w:line="360" w:lineRule="auto"/>
        <w:ind w:firstLine="480" w:firstLineChars="200"/>
        <w:rPr>
          <w:color w:val="auto"/>
          <w:highlight w:val="none"/>
        </w:rPr>
      </w:pPr>
      <w:r>
        <w:rPr>
          <w:color w:val="auto"/>
          <w:highlight w:val="none"/>
        </w:rPr>
        <w:t>（2）执行应急指挥部的决定；</w:t>
      </w:r>
    </w:p>
    <w:p>
      <w:pPr>
        <w:spacing w:line="360" w:lineRule="auto"/>
        <w:ind w:firstLine="480" w:firstLineChars="200"/>
        <w:rPr>
          <w:color w:val="auto"/>
          <w:highlight w:val="none"/>
        </w:rPr>
      </w:pPr>
      <w:r>
        <w:rPr>
          <w:color w:val="auto"/>
          <w:highlight w:val="none"/>
        </w:rPr>
        <w:t>（3）负责组织公司各应急救援小组，落实应急救援人员（包括各应急救援小组负责人和人员），并存档；</w:t>
      </w:r>
    </w:p>
    <w:p>
      <w:pPr>
        <w:spacing w:line="360" w:lineRule="auto"/>
        <w:ind w:firstLine="480" w:firstLineChars="200"/>
        <w:rPr>
          <w:color w:val="auto"/>
          <w:highlight w:val="none"/>
        </w:rPr>
      </w:pPr>
      <w:r>
        <w:rPr>
          <w:color w:val="auto"/>
          <w:highlight w:val="none"/>
        </w:rPr>
        <w:t>（4）实施应急预案的管理工作；</w:t>
      </w:r>
    </w:p>
    <w:p>
      <w:pPr>
        <w:spacing w:line="360" w:lineRule="auto"/>
        <w:ind w:firstLine="480" w:firstLineChars="200"/>
        <w:rPr>
          <w:color w:val="auto"/>
          <w:highlight w:val="none"/>
        </w:rPr>
      </w:pPr>
      <w:r>
        <w:rPr>
          <w:color w:val="auto"/>
          <w:highlight w:val="none"/>
        </w:rPr>
        <w:t>（5）检查抢修抢险，个体防护，医疗救援，通讯联络等装备器材配备情况，是否符合事故应急救援的需要，确保器材始终处于完好的状态，保证能有效使用；</w:t>
      </w:r>
    </w:p>
    <w:p>
      <w:pPr>
        <w:spacing w:line="360" w:lineRule="auto"/>
        <w:ind w:firstLine="480" w:firstLineChars="200"/>
        <w:rPr>
          <w:color w:val="auto"/>
          <w:highlight w:val="none"/>
        </w:rPr>
      </w:pPr>
      <w:r>
        <w:rPr>
          <w:color w:val="auto"/>
          <w:highlight w:val="none"/>
        </w:rPr>
        <w:t>（6）检查应急救援的物资的准备情况；</w:t>
      </w:r>
    </w:p>
    <w:p>
      <w:pPr>
        <w:spacing w:line="360" w:lineRule="auto"/>
        <w:ind w:firstLine="480" w:firstLineChars="200"/>
        <w:rPr>
          <w:color w:val="auto"/>
          <w:highlight w:val="none"/>
        </w:rPr>
      </w:pPr>
      <w:r>
        <w:rPr>
          <w:color w:val="auto"/>
          <w:highlight w:val="none"/>
        </w:rPr>
        <w:t>（7）负责员工的应急救援教育及应急救援演练；</w:t>
      </w:r>
    </w:p>
    <w:p>
      <w:pPr>
        <w:spacing w:line="360" w:lineRule="auto"/>
        <w:ind w:firstLine="480" w:firstLineChars="200"/>
        <w:rPr>
          <w:color w:val="auto"/>
          <w:highlight w:val="none"/>
        </w:rPr>
      </w:pPr>
      <w:r>
        <w:rPr>
          <w:color w:val="auto"/>
          <w:highlight w:val="none"/>
        </w:rPr>
        <w:t>（8）负责与外部有关部门的应急救援的协调信息交流工作；</w:t>
      </w:r>
    </w:p>
    <w:p>
      <w:pPr>
        <w:spacing w:line="360" w:lineRule="auto"/>
        <w:ind w:firstLine="480" w:firstLineChars="200"/>
        <w:rPr>
          <w:color w:val="auto"/>
          <w:highlight w:val="none"/>
        </w:rPr>
      </w:pPr>
      <w:r>
        <w:rPr>
          <w:color w:val="auto"/>
          <w:highlight w:val="none"/>
        </w:rPr>
        <w:t>（9）建立并管理应急救援的信息资料档案；</w:t>
      </w:r>
    </w:p>
    <w:p>
      <w:pPr>
        <w:spacing w:line="360" w:lineRule="auto"/>
        <w:ind w:firstLine="480" w:firstLineChars="200"/>
        <w:rPr>
          <w:color w:val="auto"/>
          <w:highlight w:val="none"/>
        </w:rPr>
      </w:pPr>
      <w:r>
        <w:rPr>
          <w:rFonts w:hint="eastAsia" w:ascii="宋体" w:hAnsi="宋体" w:cs="宋体"/>
          <w:color w:val="auto"/>
          <w:highlight w:val="none"/>
        </w:rPr>
        <w:t>①</w:t>
      </w:r>
      <w:r>
        <w:rPr>
          <w:color w:val="auto"/>
          <w:highlight w:val="none"/>
        </w:rPr>
        <w:t>危险物质数据库：危险物质名称数量存放地点及物理化学性质。</w:t>
      </w:r>
    </w:p>
    <w:p>
      <w:pPr>
        <w:spacing w:line="360" w:lineRule="auto"/>
        <w:ind w:firstLine="480" w:firstLineChars="200"/>
        <w:rPr>
          <w:color w:val="auto"/>
          <w:highlight w:val="none"/>
        </w:rPr>
      </w:pPr>
      <w:r>
        <w:rPr>
          <w:rFonts w:hint="eastAsia" w:ascii="宋体" w:hAnsi="宋体" w:cs="宋体"/>
          <w:color w:val="auto"/>
          <w:highlight w:val="none"/>
        </w:rPr>
        <w:t>②</w:t>
      </w:r>
      <w:r>
        <w:rPr>
          <w:color w:val="auto"/>
          <w:highlight w:val="none"/>
        </w:rPr>
        <w:t>救援物资数据库：应急救援物资和设备，名称，数量，大小，存放地点，负责人及调动方式。</w:t>
      </w:r>
    </w:p>
    <w:p>
      <w:pPr>
        <w:spacing w:line="360" w:lineRule="auto"/>
        <w:ind w:firstLine="480" w:firstLineChars="200"/>
        <w:rPr>
          <w:color w:val="auto"/>
          <w:highlight w:val="none"/>
        </w:rPr>
      </w:pPr>
      <w:r>
        <w:rPr>
          <w:rFonts w:hint="eastAsia" w:ascii="宋体" w:hAnsi="宋体" w:cs="宋体"/>
          <w:color w:val="auto"/>
          <w:highlight w:val="none"/>
        </w:rPr>
        <w:t>③</w:t>
      </w:r>
      <w:r>
        <w:rPr>
          <w:color w:val="auto"/>
          <w:highlight w:val="none"/>
        </w:rPr>
        <w:t>危险源示意图，图中应注明；</w:t>
      </w:r>
    </w:p>
    <w:p>
      <w:pPr>
        <w:spacing w:line="360" w:lineRule="auto"/>
        <w:ind w:firstLine="480" w:firstLineChars="200"/>
        <w:rPr>
          <w:color w:val="auto"/>
          <w:highlight w:val="none"/>
        </w:rPr>
      </w:pPr>
      <w:r>
        <w:rPr>
          <w:color w:val="auto"/>
          <w:highlight w:val="none"/>
        </w:rPr>
        <w:t>----存放大量危险物质的区块；</w:t>
      </w:r>
    </w:p>
    <w:p>
      <w:pPr>
        <w:spacing w:line="360" w:lineRule="auto"/>
        <w:ind w:firstLine="480" w:firstLineChars="200"/>
        <w:rPr>
          <w:color w:val="auto"/>
          <w:highlight w:val="none"/>
        </w:rPr>
      </w:pPr>
      <w:r>
        <w:rPr>
          <w:color w:val="auto"/>
          <w:highlight w:val="none"/>
        </w:rPr>
        <w:t>----救援设备的存放地点；</w:t>
      </w:r>
    </w:p>
    <w:p>
      <w:pPr>
        <w:spacing w:line="360" w:lineRule="auto"/>
        <w:ind w:firstLine="480" w:firstLineChars="200"/>
        <w:rPr>
          <w:color w:val="auto"/>
          <w:highlight w:val="none"/>
        </w:rPr>
      </w:pPr>
      <w:r>
        <w:rPr>
          <w:color w:val="auto"/>
          <w:highlight w:val="none"/>
        </w:rPr>
        <w:t>----消防系统和附近水源；</w:t>
      </w:r>
    </w:p>
    <w:p>
      <w:pPr>
        <w:spacing w:line="360" w:lineRule="auto"/>
        <w:ind w:firstLine="480" w:firstLineChars="200"/>
        <w:rPr>
          <w:color w:val="auto"/>
          <w:highlight w:val="none"/>
        </w:rPr>
      </w:pPr>
      <w:r>
        <w:rPr>
          <w:color w:val="auto"/>
          <w:highlight w:val="none"/>
        </w:rPr>
        <w:t>----污水管道和排水系统。</w:t>
      </w:r>
    </w:p>
    <w:p>
      <w:pPr>
        <w:spacing w:line="360" w:lineRule="auto"/>
        <w:ind w:firstLine="480" w:firstLineChars="200"/>
        <w:rPr>
          <w:color w:val="auto"/>
          <w:highlight w:val="none"/>
        </w:rPr>
      </w:pPr>
      <w:r>
        <w:rPr>
          <w:rFonts w:hint="eastAsia" w:ascii="宋体" w:hAnsi="宋体" w:cs="宋体"/>
          <w:color w:val="auto"/>
          <w:highlight w:val="none"/>
        </w:rPr>
        <w:t>④</w:t>
      </w:r>
      <w:r>
        <w:rPr>
          <w:color w:val="auto"/>
          <w:highlight w:val="none"/>
        </w:rPr>
        <w:t>公司职工名单表。</w:t>
      </w:r>
    </w:p>
    <w:p>
      <w:pPr>
        <w:spacing w:line="360" w:lineRule="auto"/>
        <w:ind w:firstLine="480" w:firstLineChars="200"/>
        <w:rPr>
          <w:color w:val="auto"/>
          <w:highlight w:val="none"/>
        </w:rPr>
      </w:pPr>
      <w:r>
        <w:rPr>
          <w:rFonts w:hint="eastAsia" w:ascii="宋体" w:hAnsi="宋体" w:cs="宋体"/>
          <w:color w:val="auto"/>
          <w:highlight w:val="none"/>
        </w:rPr>
        <w:t>⑤</w:t>
      </w:r>
      <w:r>
        <w:rPr>
          <w:color w:val="auto"/>
          <w:highlight w:val="none"/>
        </w:rPr>
        <w:t>关键岗位人员的地址和联系方式（主要包括应急救援小组负责人）。</w:t>
      </w:r>
    </w:p>
    <w:p>
      <w:pPr>
        <w:spacing w:line="360" w:lineRule="auto"/>
        <w:ind w:firstLine="480" w:firstLineChars="200"/>
        <w:rPr>
          <w:color w:val="auto"/>
          <w:highlight w:val="none"/>
        </w:rPr>
      </w:pPr>
      <w:r>
        <w:rPr>
          <w:rFonts w:hint="eastAsia" w:ascii="宋体" w:hAnsi="宋体" w:cs="宋体"/>
          <w:color w:val="auto"/>
          <w:highlight w:val="none"/>
        </w:rPr>
        <w:t>⑥</w:t>
      </w:r>
      <w:r>
        <w:rPr>
          <w:color w:val="auto"/>
          <w:highlight w:val="none"/>
        </w:rPr>
        <w:t>应急救援与事故处理法规，标准，手册。</w:t>
      </w:r>
    </w:p>
    <w:p>
      <w:pPr>
        <w:spacing w:line="360" w:lineRule="auto"/>
        <w:ind w:firstLine="480" w:firstLineChars="200"/>
        <w:rPr>
          <w:color w:val="auto"/>
          <w:highlight w:val="none"/>
        </w:rPr>
      </w:pPr>
      <w:r>
        <w:rPr>
          <w:rFonts w:hint="eastAsia" w:ascii="宋体" w:hAnsi="宋体" w:cs="宋体"/>
          <w:color w:val="auto"/>
          <w:highlight w:val="none"/>
        </w:rPr>
        <w:t>⑦</w:t>
      </w:r>
      <w:r>
        <w:rPr>
          <w:color w:val="auto"/>
          <w:highlight w:val="none"/>
        </w:rPr>
        <w:t>地方政府和应急服务机构的地址和联系方式（包括和本公司附近有关应急救援单位，如；医院，消防队，供电部门。供水部门及环保部门等）。</w:t>
      </w:r>
    </w:p>
    <w:p>
      <w:pPr>
        <w:spacing w:line="360" w:lineRule="auto"/>
        <w:ind w:firstLine="480" w:firstLineChars="200"/>
        <w:rPr>
          <w:color w:val="auto"/>
          <w:highlight w:val="none"/>
        </w:rPr>
      </w:pPr>
      <w:r>
        <w:rPr>
          <w:color w:val="auto"/>
          <w:highlight w:val="none"/>
        </w:rPr>
        <w:t>（10）掌握厂区内</w:t>
      </w:r>
      <w:r>
        <w:rPr>
          <w:rFonts w:hint="eastAsia"/>
          <w:color w:val="auto"/>
          <w:highlight w:val="none"/>
        </w:rPr>
        <w:t>环境风险源</w:t>
      </w:r>
      <w:r>
        <w:rPr>
          <w:color w:val="auto"/>
          <w:highlight w:val="none"/>
        </w:rPr>
        <w:t>的分布情况，了解国内外的有关技术信息、进展情况和形势动态，提出相应的对策和意见；</w:t>
      </w:r>
    </w:p>
    <w:p>
      <w:pPr>
        <w:spacing w:line="360" w:lineRule="auto"/>
        <w:ind w:firstLine="480" w:firstLineChars="200"/>
        <w:rPr>
          <w:color w:val="auto"/>
          <w:highlight w:val="none"/>
        </w:rPr>
      </w:pPr>
      <w:r>
        <w:rPr>
          <w:color w:val="auto"/>
          <w:highlight w:val="none"/>
        </w:rPr>
        <w:t>（11）对环境污染事故的危害范围、发展趋势做出科学评估，为应急领导小组的决策和指挥提供科学依据；</w:t>
      </w:r>
    </w:p>
    <w:p>
      <w:pPr>
        <w:spacing w:line="360" w:lineRule="auto"/>
        <w:ind w:firstLine="480" w:firstLineChars="200"/>
        <w:rPr>
          <w:color w:val="auto"/>
          <w:highlight w:val="none"/>
        </w:rPr>
      </w:pPr>
      <w:r>
        <w:rPr>
          <w:color w:val="auto"/>
          <w:highlight w:val="none"/>
        </w:rPr>
        <w:t>（12）参与污染程度、危害范围、时间等级的判定，对污染区域的警报设立与解除等重大防护措施的决策提供技术依据；</w:t>
      </w:r>
    </w:p>
    <w:p>
      <w:pPr>
        <w:spacing w:line="360" w:lineRule="auto"/>
        <w:ind w:firstLine="480" w:firstLineChars="200"/>
        <w:rPr>
          <w:color w:val="auto"/>
          <w:highlight w:val="none"/>
        </w:rPr>
      </w:pPr>
      <w:r>
        <w:rPr>
          <w:color w:val="auto"/>
          <w:highlight w:val="none"/>
        </w:rPr>
        <w:t>（13）指导各应急小组进行现场处置；</w:t>
      </w:r>
    </w:p>
    <w:p>
      <w:pPr>
        <w:spacing w:line="360" w:lineRule="auto"/>
        <w:ind w:firstLine="480" w:firstLineChars="200"/>
        <w:rPr>
          <w:color w:val="auto"/>
          <w:highlight w:val="none"/>
        </w:rPr>
      </w:pPr>
      <w:r>
        <w:rPr>
          <w:color w:val="auto"/>
          <w:highlight w:val="none"/>
        </w:rPr>
        <w:t>（14）负责对环境污染事故现场应急处置工作、环境受污染程度的评估工作以及环境</w:t>
      </w:r>
      <w:r>
        <w:rPr>
          <w:rFonts w:hint="eastAsia"/>
          <w:color w:val="auto"/>
          <w:highlight w:val="none"/>
        </w:rPr>
        <w:t>恢复</w:t>
      </w:r>
      <w:r>
        <w:rPr>
          <w:color w:val="auto"/>
          <w:highlight w:val="none"/>
        </w:rPr>
        <w:t>方案的制定。</w:t>
      </w:r>
    </w:p>
    <w:p>
      <w:pPr>
        <w:spacing w:line="360" w:lineRule="auto"/>
        <w:ind w:firstLine="480" w:firstLineChars="200"/>
        <w:rPr>
          <w:color w:val="auto"/>
          <w:highlight w:val="none"/>
        </w:rPr>
      </w:pPr>
      <w:r>
        <w:rPr>
          <w:color w:val="auto"/>
          <w:highlight w:val="none"/>
        </w:rPr>
        <w:t>如发生重大环境污染事件，政府及其他有关部门介入后，企业的总指挥或副总指挥将环境应急指挥权移交给政府，总指挥</w:t>
      </w:r>
      <w:r>
        <w:rPr>
          <w:rFonts w:hint="eastAsia"/>
          <w:color w:val="auto"/>
          <w:highlight w:val="none"/>
          <w:lang w:val="en-US" w:eastAsia="zh-CN"/>
        </w:rPr>
        <w:t>陈海</w:t>
      </w:r>
      <w:r>
        <w:rPr>
          <w:color w:val="auto"/>
          <w:highlight w:val="none"/>
        </w:rPr>
        <w:t>和副总指挥</w:t>
      </w:r>
      <w:r>
        <w:rPr>
          <w:rFonts w:hint="eastAsia"/>
          <w:color w:val="auto"/>
          <w:highlight w:val="none"/>
          <w:lang w:val="en-US" w:eastAsia="zh-CN"/>
        </w:rPr>
        <w:t>吴科飞</w:t>
      </w:r>
      <w:r>
        <w:rPr>
          <w:color w:val="auto"/>
          <w:highlight w:val="none"/>
        </w:rPr>
        <w:t>负责在企业内协调指挥，应急小组其他成员积极参与配合政府相关部门，一起组织应急救援保障工作。</w:t>
      </w:r>
    </w:p>
    <w:p>
      <w:pPr>
        <w:pStyle w:val="5"/>
        <w:rPr>
          <w:color w:val="auto"/>
          <w:highlight w:val="none"/>
        </w:rPr>
      </w:pPr>
      <w:bookmarkStart w:id="63" w:name="_Toc7308"/>
      <w:r>
        <w:rPr>
          <w:color w:val="auto"/>
          <w:highlight w:val="none"/>
        </w:rPr>
        <w:t>2.4应急救援小组</w:t>
      </w:r>
      <w:bookmarkEnd w:id="61"/>
      <w:bookmarkEnd w:id="62"/>
      <w:bookmarkEnd w:id="63"/>
    </w:p>
    <w:p>
      <w:pPr>
        <w:spacing w:line="360" w:lineRule="auto"/>
        <w:ind w:firstLine="480" w:firstLineChars="200"/>
        <w:rPr>
          <w:color w:val="auto"/>
          <w:highlight w:val="none"/>
        </w:rPr>
      </w:pPr>
      <w:bookmarkStart w:id="64" w:name="_Toc28103242"/>
      <w:r>
        <w:rPr>
          <w:color w:val="auto"/>
          <w:highlight w:val="none"/>
        </w:rPr>
        <w:t>应急救援小组是环境污染事故应急处理的骨干力量，其任务是担负厂区内污染事故的救援及处置，各应急救援小组组成和职责如下：</w:t>
      </w:r>
    </w:p>
    <w:p>
      <w:pPr>
        <w:adjustRightInd w:val="0"/>
        <w:snapToGrid w:val="0"/>
        <w:spacing w:line="360" w:lineRule="auto"/>
        <w:ind w:firstLine="482" w:firstLineChars="200"/>
        <w:outlineLvl w:val="2"/>
        <w:rPr>
          <w:b/>
          <w:color w:val="auto"/>
          <w:highlight w:val="none"/>
        </w:rPr>
      </w:pPr>
      <w:r>
        <w:rPr>
          <w:b/>
          <w:color w:val="auto"/>
          <w:highlight w:val="none"/>
        </w:rPr>
        <w:t>1、通信警戒组</w:t>
      </w:r>
    </w:p>
    <w:p>
      <w:pPr>
        <w:spacing w:line="360" w:lineRule="auto"/>
        <w:ind w:firstLine="480" w:firstLineChars="200"/>
        <w:rPr>
          <w:color w:val="auto"/>
          <w:highlight w:val="none"/>
        </w:rPr>
      </w:pPr>
      <w:r>
        <w:rPr>
          <w:color w:val="auto"/>
          <w:highlight w:val="none"/>
        </w:rPr>
        <w:t>主要职责如下：</w:t>
      </w:r>
    </w:p>
    <w:p>
      <w:pPr>
        <w:spacing w:line="360" w:lineRule="auto"/>
        <w:ind w:firstLine="480" w:firstLineChars="200"/>
        <w:rPr>
          <w:color w:val="auto"/>
          <w:highlight w:val="none"/>
        </w:rPr>
      </w:pPr>
      <w:r>
        <w:rPr>
          <w:color w:val="auto"/>
          <w:highlight w:val="none"/>
        </w:rPr>
        <w:t>（1）接到警报后，立即通知检修人员及技术人员待命，</w:t>
      </w:r>
      <w:r>
        <w:rPr>
          <w:rFonts w:hint="eastAsia"/>
          <w:color w:val="auto"/>
          <w:highlight w:val="none"/>
        </w:rPr>
        <w:t>门卫</w:t>
      </w:r>
      <w:r>
        <w:rPr>
          <w:color w:val="auto"/>
          <w:highlight w:val="none"/>
        </w:rPr>
        <w:t>中断一般外线电话，确保事故处理外线畅通，应急指挥部处理事故所用电话迅速、准确无误；</w:t>
      </w:r>
    </w:p>
    <w:p>
      <w:pPr>
        <w:spacing w:line="360" w:lineRule="auto"/>
        <w:ind w:firstLine="464" w:firstLineChars="200"/>
        <w:rPr>
          <w:color w:val="auto"/>
          <w:spacing w:val="-4"/>
          <w:highlight w:val="none"/>
        </w:rPr>
      </w:pPr>
      <w:r>
        <w:rPr>
          <w:color w:val="auto"/>
          <w:spacing w:val="-4"/>
          <w:highlight w:val="none"/>
        </w:rPr>
        <w:t>（2）承担与当地区域或各职能管理部门的应急指挥机构的联系工作，及时将事故发生情况及最新进展向有关部门汇报，并将上级指挥机构的命令及时向应急指挥小组汇报；</w:t>
      </w:r>
    </w:p>
    <w:p>
      <w:pPr>
        <w:spacing w:line="360" w:lineRule="auto"/>
        <w:ind w:firstLine="480" w:firstLineChars="200"/>
        <w:rPr>
          <w:color w:val="auto"/>
          <w:highlight w:val="none"/>
        </w:rPr>
      </w:pPr>
      <w:r>
        <w:rPr>
          <w:color w:val="auto"/>
          <w:highlight w:val="none"/>
        </w:rPr>
        <w:t>（3）迅速通知应急指挥部、各救援专业组及有关部门、车间，查明事故源部位及原因，采取应急措施，防止事故扩大，下达按应急预案处置的指令；</w:t>
      </w:r>
    </w:p>
    <w:p>
      <w:pPr>
        <w:spacing w:line="360" w:lineRule="auto"/>
        <w:ind w:firstLine="464" w:firstLineChars="200"/>
        <w:rPr>
          <w:color w:val="auto"/>
          <w:spacing w:val="-4"/>
          <w:highlight w:val="none"/>
        </w:rPr>
      </w:pPr>
      <w:r>
        <w:rPr>
          <w:color w:val="auto"/>
          <w:spacing w:val="-4"/>
          <w:highlight w:val="none"/>
        </w:rPr>
        <w:t>（4）发生环境污染事故后，根据事故情况配戴好防毒面具，迅速奔赴现场；根据事故影响范围，设置禁区，布置岗哨，加强警戒，巡逻检查，严禁无关人员进入禁区；</w:t>
      </w:r>
    </w:p>
    <w:p>
      <w:pPr>
        <w:spacing w:line="360" w:lineRule="auto"/>
        <w:ind w:firstLine="480" w:firstLineChars="200"/>
        <w:rPr>
          <w:color w:val="auto"/>
          <w:highlight w:val="none"/>
        </w:rPr>
      </w:pPr>
      <w:r>
        <w:rPr>
          <w:color w:val="auto"/>
          <w:highlight w:val="none"/>
        </w:rPr>
        <w:t>（5）根据查明的有毒有害物的种类，可能引起急性中毒的浓度范围，确定警戒区域，设置警示标志；</w:t>
      </w:r>
    </w:p>
    <w:p>
      <w:pPr>
        <w:spacing w:line="360" w:lineRule="auto"/>
        <w:ind w:firstLine="480" w:firstLineChars="200"/>
        <w:rPr>
          <w:color w:val="auto"/>
          <w:highlight w:val="none"/>
        </w:rPr>
      </w:pPr>
      <w:r>
        <w:rPr>
          <w:color w:val="auto"/>
          <w:highlight w:val="none"/>
        </w:rPr>
        <w:t>（6）接到报警后，封闭厂区大门，维持厂区道路交通秩序，引导外来救援力量进入事故发生点，严禁外来人员入厂围观；</w:t>
      </w:r>
    </w:p>
    <w:p>
      <w:pPr>
        <w:spacing w:line="360" w:lineRule="auto"/>
        <w:ind w:firstLine="480" w:firstLineChars="200"/>
        <w:rPr>
          <w:color w:val="auto"/>
          <w:highlight w:val="none"/>
        </w:rPr>
      </w:pPr>
      <w:r>
        <w:rPr>
          <w:color w:val="auto"/>
          <w:highlight w:val="none"/>
        </w:rPr>
        <w:t>（7）应到事故发生区域封路，指挥抢救车辆行驶路线，指挥群众正确疏散。</w:t>
      </w:r>
    </w:p>
    <w:p>
      <w:pPr>
        <w:adjustRightInd w:val="0"/>
        <w:snapToGrid w:val="0"/>
        <w:spacing w:line="360" w:lineRule="auto"/>
        <w:ind w:firstLine="482" w:firstLineChars="200"/>
        <w:outlineLvl w:val="2"/>
        <w:rPr>
          <w:b/>
          <w:color w:val="auto"/>
          <w:highlight w:val="none"/>
        </w:rPr>
      </w:pPr>
      <w:bookmarkStart w:id="65" w:name="_Toc28103243"/>
      <w:r>
        <w:rPr>
          <w:b/>
          <w:color w:val="auto"/>
          <w:highlight w:val="none"/>
        </w:rPr>
        <w:t>2、抢险灭火组</w:t>
      </w:r>
      <w:bookmarkEnd w:id="65"/>
    </w:p>
    <w:p>
      <w:pPr>
        <w:spacing w:line="360" w:lineRule="auto"/>
        <w:ind w:firstLine="480" w:firstLineChars="200"/>
        <w:rPr>
          <w:bCs/>
          <w:color w:val="auto"/>
          <w:highlight w:val="none"/>
        </w:rPr>
      </w:pPr>
      <w:r>
        <w:rPr>
          <w:bCs/>
          <w:color w:val="auto"/>
          <w:highlight w:val="none"/>
        </w:rPr>
        <w:t>主要职责如下：</w:t>
      </w:r>
    </w:p>
    <w:p>
      <w:pPr>
        <w:spacing w:line="360" w:lineRule="auto"/>
        <w:ind w:firstLine="480" w:firstLineChars="200"/>
        <w:rPr>
          <w:color w:val="auto"/>
          <w:highlight w:val="none"/>
        </w:rPr>
      </w:pPr>
      <w:r>
        <w:rPr>
          <w:color w:val="auto"/>
          <w:highlight w:val="none"/>
        </w:rPr>
        <w:t>（1）在事故发生后，迅速派出人员进行抢险救灾；</w:t>
      </w:r>
    </w:p>
    <w:p>
      <w:pPr>
        <w:spacing w:line="360" w:lineRule="auto"/>
        <w:ind w:firstLine="480" w:firstLineChars="200"/>
        <w:rPr>
          <w:color w:val="auto"/>
          <w:highlight w:val="none"/>
        </w:rPr>
      </w:pPr>
      <w:r>
        <w:rPr>
          <w:color w:val="auto"/>
          <w:highlight w:val="none"/>
        </w:rPr>
        <w:t>（</w:t>
      </w:r>
      <w:r>
        <w:rPr>
          <w:rFonts w:hint="eastAsia"/>
          <w:color w:val="auto"/>
          <w:highlight w:val="none"/>
          <w:lang w:val="en-US" w:eastAsia="zh-CN"/>
        </w:rPr>
        <w:t>2</w:t>
      </w:r>
      <w:r>
        <w:rPr>
          <w:color w:val="auto"/>
          <w:highlight w:val="none"/>
        </w:rPr>
        <w:t>）为在进行有毒有害介质堵漏的抢修队员进行气体防护监护，指导抢险抢修人员正确使用防护用具；</w:t>
      </w:r>
    </w:p>
    <w:p>
      <w:pPr>
        <w:spacing w:line="360" w:lineRule="auto"/>
        <w:ind w:firstLine="480" w:firstLineChars="200"/>
        <w:rPr>
          <w:color w:val="auto"/>
          <w:highlight w:val="none"/>
        </w:rPr>
      </w:pPr>
      <w:r>
        <w:rPr>
          <w:color w:val="auto"/>
          <w:highlight w:val="none"/>
        </w:rPr>
        <w:t>（</w:t>
      </w:r>
      <w:r>
        <w:rPr>
          <w:rFonts w:hint="eastAsia"/>
          <w:color w:val="auto"/>
          <w:highlight w:val="none"/>
          <w:lang w:val="en-US" w:eastAsia="zh-CN"/>
        </w:rPr>
        <w:t>3</w:t>
      </w:r>
      <w:r>
        <w:rPr>
          <w:color w:val="auto"/>
          <w:highlight w:val="none"/>
        </w:rPr>
        <w:t>）储备一定量的防护用具；当储备量不够需要时，迅速调配其他岗位的备用防毒器具；</w:t>
      </w:r>
    </w:p>
    <w:p>
      <w:pPr>
        <w:spacing w:line="360" w:lineRule="auto"/>
        <w:ind w:firstLine="480" w:firstLineChars="200"/>
        <w:rPr>
          <w:color w:val="auto"/>
          <w:highlight w:val="none"/>
        </w:rPr>
      </w:pPr>
      <w:r>
        <w:rPr>
          <w:color w:val="auto"/>
          <w:highlight w:val="none"/>
        </w:rPr>
        <w:t>（</w:t>
      </w:r>
      <w:r>
        <w:rPr>
          <w:rFonts w:hint="eastAsia"/>
          <w:color w:val="auto"/>
          <w:highlight w:val="none"/>
          <w:lang w:val="en-US" w:eastAsia="zh-CN"/>
        </w:rPr>
        <w:t>4</w:t>
      </w:r>
      <w:r>
        <w:rPr>
          <w:color w:val="auto"/>
          <w:highlight w:val="none"/>
        </w:rPr>
        <w:t>）负责事故现场及有毒物质扩散区域内的清洗、消毒工作。</w:t>
      </w:r>
    </w:p>
    <w:p>
      <w:pPr>
        <w:spacing w:line="360" w:lineRule="auto"/>
        <w:ind w:firstLine="464" w:firstLineChars="200"/>
        <w:rPr>
          <w:color w:val="auto"/>
          <w:spacing w:val="-4"/>
          <w:highlight w:val="none"/>
        </w:rPr>
      </w:pPr>
      <w:r>
        <w:rPr>
          <w:color w:val="auto"/>
          <w:spacing w:val="-4"/>
          <w:highlight w:val="none"/>
        </w:rPr>
        <w:t>（</w:t>
      </w:r>
      <w:r>
        <w:rPr>
          <w:rFonts w:hint="eastAsia"/>
          <w:color w:val="auto"/>
          <w:spacing w:val="-4"/>
          <w:highlight w:val="none"/>
          <w:lang w:val="en-US" w:eastAsia="zh-CN"/>
        </w:rPr>
        <w:t>5</w:t>
      </w:r>
      <w:r>
        <w:rPr>
          <w:color w:val="auto"/>
          <w:spacing w:val="-4"/>
          <w:highlight w:val="none"/>
        </w:rPr>
        <w:t>）火灾扑救后，尽快组织力量抢修厂内的供电、供水等重要设施，尽快恢复功能。</w:t>
      </w:r>
    </w:p>
    <w:p>
      <w:pPr>
        <w:adjustRightInd w:val="0"/>
        <w:snapToGrid w:val="0"/>
        <w:spacing w:line="360" w:lineRule="auto"/>
        <w:ind w:firstLine="482" w:firstLineChars="200"/>
        <w:outlineLvl w:val="2"/>
        <w:rPr>
          <w:b/>
          <w:color w:val="auto"/>
          <w:highlight w:val="none"/>
        </w:rPr>
      </w:pPr>
      <w:bookmarkStart w:id="66" w:name="_Toc28103244"/>
      <w:r>
        <w:rPr>
          <w:b/>
          <w:color w:val="auto"/>
          <w:highlight w:val="none"/>
        </w:rPr>
        <w:t>3、</w:t>
      </w:r>
      <w:bookmarkEnd w:id="66"/>
      <w:r>
        <w:rPr>
          <w:rFonts w:hint="eastAsia"/>
          <w:b/>
          <w:color w:val="auto"/>
          <w:highlight w:val="none"/>
          <w:lang w:val="en-US" w:eastAsia="zh-CN"/>
        </w:rPr>
        <w:t>后勤</w:t>
      </w:r>
      <w:r>
        <w:rPr>
          <w:b/>
          <w:color w:val="auto"/>
          <w:highlight w:val="none"/>
        </w:rPr>
        <w:t>保障组</w:t>
      </w:r>
    </w:p>
    <w:p>
      <w:pPr>
        <w:spacing w:line="360" w:lineRule="auto"/>
        <w:ind w:firstLine="480" w:firstLineChars="200"/>
        <w:rPr>
          <w:bCs/>
          <w:color w:val="auto"/>
          <w:highlight w:val="none"/>
        </w:rPr>
      </w:pPr>
      <w:r>
        <w:rPr>
          <w:bCs/>
          <w:color w:val="auto"/>
          <w:highlight w:val="none"/>
        </w:rPr>
        <w:t>主要职责如下：</w:t>
      </w:r>
    </w:p>
    <w:p>
      <w:pPr>
        <w:spacing w:line="360" w:lineRule="auto"/>
        <w:ind w:firstLine="480" w:firstLineChars="200"/>
        <w:rPr>
          <w:bCs/>
          <w:color w:val="auto"/>
          <w:highlight w:val="none"/>
        </w:rPr>
      </w:pPr>
      <w:r>
        <w:rPr>
          <w:bCs/>
          <w:color w:val="auto"/>
          <w:highlight w:val="none"/>
        </w:rPr>
        <w:t>（1）</w:t>
      </w:r>
      <w:r>
        <w:rPr>
          <w:rFonts w:hint="eastAsia"/>
          <w:bCs/>
          <w:color w:val="auto"/>
          <w:highlight w:val="none"/>
          <w:lang w:val="en-US" w:eastAsia="zh-CN"/>
        </w:rPr>
        <w:t>后勤</w:t>
      </w:r>
      <w:r>
        <w:rPr>
          <w:bCs/>
          <w:color w:val="auto"/>
          <w:highlight w:val="none"/>
        </w:rPr>
        <w:t>保障组在接到报警后，根据现场实际需要，准备抢险抢救物质及设备等工具；</w:t>
      </w:r>
    </w:p>
    <w:p>
      <w:pPr>
        <w:spacing w:line="360" w:lineRule="auto"/>
        <w:ind w:firstLine="480" w:firstLineChars="200"/>
        <w:rPr>
          <w:bCs/>
          <w:color w:val="auto"/>
          <w:highlight w:val="none"/>
        </w:rPr>
      </w:pPr>
      <w:r>
        <w:rPr>
          <w:bCs/>
          <w:color w:val="auto"/>
          <w:highlight w:val="none"/>
        </w:rPr>
        <w:t>（2）根据生产部门、事故装置查明事故部位管线、设备等型号及几何尺寸，对照库存储备，及时准确地提供备件；</w:t>
      </w:r>
    </w:p>
    <w:p>
      <w:pPr>
        <w:spacing w:line="360" w:lineRule="auto"/>
        <w:ind w:firstLine="480" w:firstLineChars="200"/>
        <w:rPr>
          <w:bCs/>
          <w:color w:val="auto"/>
          <w:highlight w:val="none"/>
        </w:rPr>
      </w:pPr>
      <w:r>
        <w:rPr>
          <w:bCs/>
          <w:color w:val="auto"/>
          <w:highlight w:val="none"/>
        </w:rPr>
        <w:t>（3）根据事故的程度，及时向外单位联系，调剂物资、工程器具等；</w:t>
      </w:r>
    </w:p>
    <w:p>
      <w:pPr>
        <w:spacing w:line="360" w:lineRule="auto"/>
        <w:ind w:firstLine="480" w:firstLineChars="200"/>
        <w:rPr>
          <w:bCs/>
          <w:color w:val="auto"/>
          <w:highlight w:val="none"/>
        </w:rPr>
      </w:pPr>
      <w:r>
        <w:rPr>
          <w:bCs/>
          <w:color w:val="auto"/>
          <w:highlight w:val="none"/>
        </w:rPr>
        <w:t>（4）负责抢救受伤、中毒人员的生活必需品的供应；</w:t>
      </w:r>
    </w:p>
    <w:p>
      <w:pPr>
        <w:spacing w:line="360" w:lineRule="auto"/>
        <w:ind w:firstLine="480" w:firstLineChars="200"/>
        <w:rPr>
          <w:bCs/>
          <w:color w:val="auto"/>
          <w:highlight w:val="none"/>
        </w:rPr>
      </w:pPr>
      <w:r>
        <w:rPr>
          <w:bCs/>
          <w:color w:val="auto"/>
          <w:highlight w:val="none"/>
        </w:rPr>
        <w:t>（5）负责抢险救援物质的运输。</w:t>
      </w:r>
    </w:p>
    <w:p>
      <w:pPr>
        <w:adjustRightInd w:val="0"/>
        <w:snapToGrid w:val="0"/>
        <w:spacing w:line="360" w:lineRule="auto"/>
        <w:ind w:firstLine="482" w:firstLineChars="200"/>
        <w:outlineLvl w:val="2"/>
        <w:rPr>
          <w:b/>
          <w:color w:val="auto"/>
          <w:highlight w:val="none"/>
        </w:rPr>
      </w:pPr>
      <w:bookmarkStart w:id="67" w:name="_Toc28103245"/>
      <w:r>
        <w:rPr>
          <w:b/>
          <w:color w:val="auto"/>
          <w:highlight w:val="none"/>
        </w:rPr>
        <w:t>4、救护疏散组</w:t>
      </w:r>
      <w:bookmarkEnd w:id="67"/>
    </w:p>
    <w:p>
      <w:pPr>
        <w:spacing w:line="360" w:lineRule="auto"/>
        <w:ind w:firstLine="480" w:firstLineChars="200"/>
        <w:rPr>
          <w:color w:val="auto"/>
          <w:highlight w:val="none"/>
        </w:rPr>
      </w:pPr>
      <w:r>
        <w:rPr>
          <w:color w:val="auto"/>
          <w:highlight w:val="none"/>
        </w:rPr>
        <w:t>主要职责如下：</w:t>
      </w:r>
    </w:p>
    <w:p>
      <w:pPr>
        <w:spacing w:line="360" w:lineRule="auto"/>
        <w:ind w:firstLine="480" w:firstLineChars="200"/>
        <w:rPr>
          <w:color w:val="auto"/>
          <w:highlight w:val="none"/>
        </w:rPr>
      </w:pPr>
      <w:r>
        <w:rPr>
          <w:color w:val="auto"/>
          <w:highlight w:val="none"/>
        </w:rPr>
        <w:t>（1）熟悉厂区内危险物质对人体危害的特性及相应的医疗急救措施；</w:t>
      </w:r>
    </w:p>
    <w:p>
      <w:pPr>
        <w:spacing w:line="360" w:lineRule="auto"/>
        <w:ind w:firstLine="480" w:firstLineChars="200"/>
        <w:rPr>
          <w:color w:val="auto"/>
          <w:highlight w:val="none"/>
        </w:rPr>
      </w:pPr>
      <w:r>
        <w:rPr>
          <w:color w:val="auto"/>
          <w:highlight w:val="none"/>
        </w:rPr>
        <w:t>（2）负责储备足量的急救器材和药品，并能随即取用，事故发生时根据需要分发急救器材、药品；</w:t>
      </w:r>
    </w:p>
    <w:p>
      <w:pPr>
        <w:spacing w:line="360" w:lineRule="auto"/>
        <w:ind w:firstLine="480" w:firstLineChars="200"/>
        <w:rPr>
          <w:color w:val="auto"/>
          <w:highlight w:val="none"/>
        </w:rPr>
      </w:pPr>
      <w:r>
        <w:rPr>
          <w:color w:val="auto"/>
          <w:highlight w:val="none"/>
        </w:rPr>
        <w:t>（3）事故发生后，应迅速做好准备工作，中毒者送来后，根据中毒症状，及时采取相应的急救措施，对伤者进行输氧急救，重伤员及时转院抢救；</w:t>
      </w:r>
    </w:p>
    <w:p>
      <w:pPr>
        <w:spacing w:line="360" w:lineRule="auto"/>
        <w:ind w:firstLine="480" w:firstLineChars="200"/>
        <w:rPr>
          <w:color w:val="auto"/>
          <w:highlight w:val="none"/>
        </w:rPr>
      </w:pPr>
      <w:r>
        <w:rPr>
          <w:color w:val="auto"/>
          <w:highlight w:val="none"/>
        </w:rPr>
        <w:t>（4）当厂方急救力量无法满足需要时，向其他医疗单位申请救援并迅速转移伤者。</w:t>
      </w:r>
    </w:p>
    <w:p>
      <w:pPr>
        <w:adjustRightInd w:val="0"/>
        <w:snapToGrid w:val="0"/>
        <w:spacing w:line="360" w:lineRule="auto"/>
        <w:ind w:firstLine="482" w:firstLineChars="200"/>
        <w:outlineLvl w:val="2"/>
        <w:rPr>
          <w:b/>
          <w:color w:val="auto"/>
          <w:highlight w:val="none"/>
        </w:rPr>
      </w:pPr>
      <w:bookmarkStart w:id="68" w:name="_Toc28103246"/>
      <w:r>
        <w:rPr>
          <w:b/>
          <w:color w:val="auto"/>
          <w:highlight w:val="none"/>
        </w:rPr>
        <w:t>5、</w:t>
      </w:r>
      <w:bookmarkEnd w:id="68"/>
      <w:r>
        <w:rPr>
          <w:rFonts w:hint="eastAsia"/>
          <w:b/>
          <w:color w:val="auto"/>
          <w:highlight w:val="none"/>
          <w:lang w:val="en-US" w:eastAsia="zh-CN"/>
        </w:rPr>
        <w:t>事故</w:t>
      </w:r>
      <w:r>
        <w:rPr>
          <w:b/>
          <w:color w:val="auto"/>
          <w:highlight w:val="none"/>
        </w:rPr>
        <w:t>处置组</w:t>
      </w:r>
    </w:p>
    <w:p>
      <w:pPr>
        <w:spacing w:line="360" w:lineRule="auto"/>
        <w:ind w:firstLine="480" w:firstLineChars="200"/>
        <w:rPr>
          <w:color w:val="auto"/>
          <w:highlight w:val="none"/>
        </w:rPr>
      </w:pPr>
      <w:r>
        <w:rPr>
          <w:color w:val="auto"/>
          <w:highlight w:val="none"/>
        </w:rPr>
        <w:t>主要职责如下：</w:t>
      </w:r>
    </w:p>
    <w:p>
      <w:pPr>
        <w:adjustRightInd w:val="0"/>
        <w:snapToGrid w:val="0"/>
        <w:spacing w:line="360" w:lineRule="auto"/>
        <w:ind w:firstLine="480" w:firstLineChars="200"/>
        <w:rPr>
          <w:color w:val="auto"/>
          <w:highlight w:val="none"/>
        </w:rPr>
      </w:pPr>
      <w:r>
        <w:rPr>
          <w:color w:val="auto"/>
          <w:highlight w:val="none"/>
        </w:rPr>
        <w:t>（1）对事故进行处置，包括对少量物料泄漏进行堵漏等。</w:t>
      </w:r>
    </w:p>
    <w:p>
      <w:pPr>
        <w:adjustRightInd w:val="0"/>
        <w:snapToGrid w:val="0"/>
        <w:spacing w:line="360" w:lineRule="auto"/>
        <w:ind w:firstLine="480" w:firstLineChars="200"/>
        <w:rPr>
          <w:color w:val="auto"/>
          <w:highlight w:val="none"/>
        </w:rPr>
      </w:pPr>
      <w:r>
        <w:rPr>
          <w:color w:val="auto"/>
          <w:highlight w:val="none"/>
        </w:rPr>
        <w:t>（2）根据突发事故污染物的扩散速度和事故发生地的气象和地域特点，确定污染物扩散范围；</w:t>
      </w:r>
    </w:p>
    <w:p>
      <w:pPr>
        <w:adjustRightInd w:val="0"/>
        <w:snapToGrid w:val="0"/>
        <w:spacing w:line="360" w:lineRule="auto"/>
        <w:ind w:firstLine="480" w:firstLineChars="200"/>
        <w:rPr>
          <w:color w:val="auto"/>
          <w:highlight w:val="none"/>
        </w:rPr>
      </w:pPr>
      <w:r>
        <w:rPr>
          <w:color w:val="auto"/>
          <w:highlight w:val="none"/>
        </w:rPr>
        <w:t>（3）根据事故现场采样结果，综合分析环境事故污染变化趋势，并通过专家咨询和讨论的方式，预测并报告环境事故的发展情况及污染物的变化情况，作为环境事故应急决策的依据；</w:t>
      </w:r>
    </w:p>
    <w:p>
      <w:pPr>
        <w:adjustRightInd w:val="0"/>
        <w:snapToGrid w:val="0"/>
        <w:spacing w:line="360" w:lineRule="auto"/>
        <w:ind w:firstLine="480" w:firstLineChars="200"/>
        <w:rPr>
          <w:color w:val="auto"/>
          <w:highlight w:val="none"/>
        </w:rPr>
      </w:pPr>
      <w:r>
        <w:rPr>
          <w:color w:val="auto"/>
          <w:highlight w:val="none"/>
          <w:lang w:val="zh-CN"/>
        </w:rPr>
        <w:t>（</w:t>
      </w:r>
      <w:r>
        <w:rPr>
          <w:color w:val="auto"/>
          <w:highlight w:val="none"/>
        </w:rPr>
        <w:t>4</w:t>
      </w:r>
      <w:r>
        <w:rPr>
          <w:color w:val="auto"/>
          <w:highlight w:val="none"/>
          <w:lang w:val="zh-CN"/>
        </w:rPr>
        <w:t>）</w:t>
      </w:r>
      <w:r>
        <w:rPr>
          <w:color w:val="auto"/>
          <w:highlight w:val="none"/>
        </w:rPr>
        <w:t>协助领导小组做好受事故影响人员的善后工作。</w:t>
      </w:r>
    </w:p>
    <w:p>
      <w:pPr>
        <w:spacing w:line="360" w:lineRule="auto"/>
        <w:ind w:firstLine="420"/>
        <w:outlineLvl w:val="2"/>
        <w:rPr>
          <w:b/>
          <w:bCs/>
          <w:color w:val="auto"/>
          <w:highlight w:val="none"/>
        </w:rPr>
      </w:pPr>
      <w:r>
        <w:rPr>
          <w:rFonts w:hint="eastAsia"/>
          <w:b/>
          <w:color w:val="auto"/>
          <w:highlight w:val="none"/>
        </w:rPr>
        <w:t>6、应急监测组</w:t>
      </w:r>
    </w:p>
    <w:p>
      <w:pPr>
        <w:spacing w:line="360" w:lineRule="auto"/>
        <w:ind w:firstLine="420"/>
        <w:rPr>
          <w:color w:val="auto"/>
          <w:highlight w:val="none"/>
        </w:rPr>
      </w:pPr>
      <w:r>
        <w:rPr>
          <w:rFonts w:hint="eastAsia"/>
          <w:color w:val="auto"/>
          <w:highlight w:val="none"/>
        </w:rPr>
        <w:t>主要职责如下：</w:t>
      </w:r>
    </w:p>
    <w:p>
      <w:pPr>
        <w:spacing w:line="360" w:lineRule="auto"/>
        <w:ind w:firstLine="420"/>
        <w:rPr>
          <w:color w:val="auto"/>
          <w:highlight w:val="none"/>
        </w:rPr>
      </w:pPr>
      <w:r>
        <w:rPr>
          <w:rFonts w:hint="eastAsia"/>
          <w:color w:val="auto"/>
          <w:highlight w:val="none"/>
        </w:rPr>
        <w:t>（1）主要负责与应急监测单位的联系和协调，引导监测单位采样人员安全采样；</w:t>
      </w:r>
    </w:p>
    <w:p>
      <w:pPr>
        <w:spacing w:line="360" w:lineRule="auto"/>
        <w:ind w:firstLine="420"/>
        <w:rPr>
          <w:rFonts w:hint="eastAsia"/>
          <w:color w:val="auto"/>
          <w:highlight w:val="none"/>
        </w:rPr>
      </w:pPr>
      <w:r>
        <w:rPr>
          <w:rFonts w:hint="eastAsia"/>
          <w:color w:val="auto"/>
          <w:highlight w:val="none"/>
        </w:rPr>
        <w:t>（2）分析判断应急监测报告监测结果，并报告公司领导，必要时联络通信疏散组通知周围企事业单位人员撤离。</w:t>
      </w:r>
    </w:p>
    <w:p>
      <w:pPr>
        <w:spacing w:line="360" w:lineRule="auto"/>
        <w:ind w:firstLine="420"/>
        <w:rPr>
          <w:color w:val="auto"/>
          <w:highlight w:val="none"/>
        </w:rPr>
        <w:sectPr>
          <w:pgSz w:w="11907" w:h="16840"/>
          <w:pgMar w:top="1402" w:right="1440" w:bottom="1797" w:left="1440" w:header="851" w:footer="992" w:gutter="0"/>
          <w:pgBorders>
            <w:top w:val="none" w:sz="0" w:space="0"/>
            <w:left w:val="none" w:sz="0" w:space="0"/>
            <w:bottom w:val="none" w:sz="0" w:space="0"/>
            <w:right w:val="none" w:sz="0" w:space="0"/>
          </w:pgBorders>
          <w:pgNumType w:fmt="decimal"/>
          <w:cols w:space="720" w:num="1"/>
        </w:sectPr>
      </w:pPr>
      <w:r>
        <w:rPr>
          <w:color w:val="auto"/>
          <w:highlight w:val="none"/>
        </w:rPr>
        <w:t>政府及其有关部门介入后</w:t>
      </w:r>
      <w:r>
        <w:rPr>
          <w:rFonts w:hint="eastAsia"/>
          <w:color w:val="auto"/>
          <w:highlight w:val="none"/>
        </w:rPr>
        <w:t>，</w:t>
      </w:r>
      <w:r>
        <w:rPr>
          <w:color w:val="auto"/>
          <w:highlight w:val="none"/>
        </w:rPr>
        <w:t>各小组工作分工不变，责任人为各小组组长，服从统一指挥。</w:t>
      </w:r>
    </w:p>
    <w:bookmarkEnd w:id="64"/>
    <w:p>
      <w:pPr>
        <w:pStyle w:val="4"/>
        <w:rPr>
          <w:color w:val="auto"/>
          <w:highlight w:val="none"/>
        </w:rPr>
      </w:pPr>
      <w:bookmarkStart w:id="69" w:name="_Toc273391329"/>
      <w:bookmarkStart w:id="70" w:name="_Toc28103247"/>
      <w:bookmarkStart w:id="71" w:name="_Toc273391653"/>
      <w:bookmarkStart w:id="72" w:name="_Toc10965"/>
      <w:r>
        <w:rPr>
          <w:color w:val="auto"/>
          <w:highlight w:val="none"/>
        </w:rPr>
        <w:t>3 监控预警</w:t>
      </w:r>
      <w:bookmarkEnd w:id="69"/>
      <w:bookmarkEnd w:id="70"/>
      <w:bookmarkEnd w:id="71"/>
      <w:bookmarkEnd w:id="72"/>
    </w:p>
    <w:p>
      <w:pPr>
        <w:pStyle w:val="5"/>
        <w:rPr>
          <w:color w:val="auto"/>
          <w:highlight w:val="none"/>
        </w:rPr>
      </w:pPr>
      <w:bookmarkStart w:id="73" w:name="_Toc273391330"/>
      <w:bookmarkStart w:id="74" w:name="_Toc273391654"/>
      <w:bookmarkStart w:id="75" w:name="_Toc24604"/>
      <w:bookmarkStart w:id="76" w:name="_Toc28103248"/>
      <w:r>
        <w:rPr>
          <w:color w:val="auto"/>
          <w:highlight w:val="none"/>
        </w:rPr>
        <w:t xml:space="preserve">3.1 </w:t>
      </w:r>
      <w:r>
        <w:rPr>
          <w:rFonts w:hint="eastAsia"/>
          <w:color w:val="auto"/>
          <w:highlight w:val="none"/>
          <w:lang w:val="en-US" w:eastAsia="zh-CN"/>
        </w:rPr>
        <w:t>风险源</w:t>
      </w:r>
      <w:r>
        <w:rPr>
          <w:color w:val="auto"/>
          <w:highlight w:val="none"/>
        </w:rPr>
        <w:t>监控</w:t>
      </w:r>
      <w:bookmarkEnd w:id="73"/>
      <w:bookmarkEnd w:id="74"/>
      <w:bookmarkEnd w:id="75"/>
      <w:bookmarkEnd w:id="76"/>
    </w:p>
    <w:p>
      <w:pPr>
        <w:snapToGrid w:val="0"/>
        <w:spacing w:line="360" w:lineRule="auto"/>
        <w:ind w:left="-122" w:firstLine="480" w:firstLineChars="200"/>
        <w:rPr>
          <w:rFonts w:hint="eastAsia"/>
          <w:color w:val="auto"/>
          <w:highlight w:val="none"/>
        </w:rPr>
      </w:pPr>
      <w:bookmarkStart w:id="77" w:name="_Toc28103249"/>
      <w:r>
        <w:rPr>
          <w:rFonts w:hint="eastAsia"/>
          <w:color w:val="auto"/>
          <w:highlight w:val="none"/>
        </w:rPr>
        <w:t>按照政府环保部门和</w:t>
      </w:r>
      <w:r>
        <w:rPr>
          <w:rFonts w:hint="eastAsia"/>
          <w:color w:val="auto"/>
          <w:highlight w:val="none"/>
          <w:lang w:val="en-US" w:eastAsia="zh-CN"/>
        </w:rPr>
        <w:t>国家相关</w:t>
      </w:r>
      <w:r>
        <w:rPr>
          <w:rFonts w:hint="eastAsia"/>
          <w:color w:val="auto"/>
          <w:highlight w:val="none"/>
        </w:rPr>
        <w:t>环境风险技术要求，对公司区域内易引发突发环境事件的危险源、危险区域进行调查、登记、风险评估。主要从法规要求、泄漏物质毒性、可能泄漏最大数量、相关方关注程度、可能遭受的财产损失、环境影响范围、环境影响可恢复性等七个方面及环境风险源发生环境污染事件的可能性来明确其风险特性，确定环境风险源，对其进行分级，提出控制措施。</w:t>
      </w:r>
    </w:p>
    <w:p>
      <w:pPr>
        <w:pStyle w:val="6"/>
        <w:rPr>
          <w:color w:val="auto"/>
          <w:highlight w:val="none"/>
        </w:rPr>
      </w:pPr>
      <w:r>
        <w:rPr>
          <w:color w:val="auto"/>
          <w:highlight w:val="none"/>
        </w:rPr>
        <w:t>3.1.1 监控的方式方法</w:t>
      </w:r>
      <w:bookmarkEnd w:id="77"/>
    </w:p>
    <w:p>
      <w:pPr>
        <w:snapToGrid w:val="0"/>
        <w:spacing w:line="360" w:lineRule="auto"/>
        <w:ind w:left="-122" w:firstLine="480" w:firstLineChars="200"/>
        <w:rPr>
          <w:color w:val="auto"/>
          <w:highlight w:val="none"/>
        </w:rPr>
      </w:pPr>
      <w:r>
        <w:rPr>
          <w:rFonts w:hint="eastAsia"/>
          <w:color w:val="auto"/>
          <w:highlight w:val="none"/>
        </w:rPr>
        <w:t>公司涉及的主要风险单元有</w:t>
      </w:r>
      <w:r>
        <w:rPr>
          <w:rFonts w:hint="eastAsia"/>
          <w:color w:val="auto"/>
          <w:highlight w:val="none"/>
          <w:lang w:val="en-US" w:eastAsia="zh-CN"/>
        </w:rPr>
        <w:t>镀铬生产线</w:t>
      </w:r>
      <w:r>
        <w:rPr>
          <w:rFonts w:hint="eastAsia"/>
          <w:color w:val="auto"/>
          <w:highlight w:val="none"/>
        </w:rPr>
        <w:t>、</w:t>
      </w:r>
      <w:r>
        <w:rPr>
          <w:rFonts w:hint="eastAsia"/>
          <w:color w:val="auto"/>
          <w:highlight w:val="none"/>
          <w:lang w:val="en-US" w:eastAsia="zh-CN"/>
        </w:rPr>
        <w:t>清洗线、</w:t>
      </w:r>
      <w:r>
        <w:rPr>
          <w:rFonts w:hint="eastAsia"/>
          <w:color w:val="auto"/>
          <w:highlight w:val="none"/>
        </w:rPr>
        <w:t>实验室、</w:t>
      </w:r>
      <w:r>
        <w:rPr>
          <w:rFonts w:hint="eastAsia"/>
          <w:color w:val="auto"/>
          <w:highlight w:val="none"/>
          <w:lang w:val="en-US" w:eastAsia="zh-CN"/>
        </w:rPr>
        <w:t>酸性库、碱性库、</w:t>
      </w:r>
      <w:r>
        <w:rPr>
          <w:rFonts w:hint="eastAsia"/>
          <w:color w:val="auto"/>
          <w:highlight w:val="none"/>
        </w:rPr>
        <w:t>污水处理</w:t>
      </w:r>
      <w:r>
        <w:rPr>
          <w:rFonts w:hint="eastAsia"/>
          <w:color w:val="auto"/>
          <w:highlight w:val="none"/>
          <w:lang w:val="en-US" w:eastAsia="zh-CN"/>
        </w:rPr>
        <w:t>设施</w:t>
      </w:r>
      <w:r>
        <w:rPr>
          <w:rFonts w:hint="eastAsia"/>
          <w:color w:val="auto"/>
          <w:highlight w:val="none"/>
        </w:rPr>
        <w:t>及危废仓库等。公司在日常管理做好相应台账记录基础上，采取了在线监控、视频监控、日常巡查、隐患排查、应急准备等措施，来监控和预防突发环境事件的发生，具体如下：</w:t>
      </w:r>
    </w:p>
    <w:p>
      <w:pPr>
        <w:snapToGrid w:val="0"/>
        <w:spacing w:line="360" w:lineRule="auto"/>
        <w:ind w:firstLine="482" w:firstLineChars="200"/>
        <w:rPr>
          <w:rFonts w:hint="eastAsia"/>
          <w:b/>
          <w:bCs/>
          <w:color w:val="auto"/>
          <w:highlight w:val="none"/>
          <w:lang w:eastAsia="zh-CN"/>
        </w:rPr>
      </w:pPr>
      <w:r>
        <w:rPr>
          <w:rFonts w:hint="eastAsia"/>
          <w:b/>
          <w:bCs/>
          <w:color w:val="auto"/>
          <w:highlight w:val="none"/>
          <w:lang w:eastAsia="zh-CN"/>
        </w:rPr>
        <w:t>（1）视频监控设施</w:t>
      </w:r>
    </w:p>
    <w:p>
      <w:pPr>
        <w:snapToGrid w:val="0"/>
        <w:spacing w:line="360" w:lineRule="auto"/>
        <w:ind w:firstLine="480" w:firstLineChars="200"/>
        <w:rPr>
          <w:rFonts w:hint="eastAsia"/>
          <w:color w:val="auto"/>
          <w:highlight w:val="none"/>
        </w:rPr>
      </w:pPr>
      <w:r>
        <w:rPr>
          <w:rFonts w:hint="eastAsia"/>
          <w:color w:val="auto"/>
          <w:highlight w:val="none"/>
        </w:rPr>
        <w:t>公司各风险单元如</w:t>
      </w:r>
      <w:r>
        <w:rPr>
          <w:rFonts w:hint="eastAsia"/>
          <w:color w:val="auto"/>
          <w:highlight w:val="none"/>
          <w:lang w:val="en-US" w:eastAsia="zh-CN"/>
        </w:rPr>
        <w:t>镀铬生产线</w:t>
      </w:r>
      <w:r>
        <w:rPr>
          <w:rFonts w:hint="eastAsia"/>
          <w:color w:val="auto"/>
          <w:highlight w:val="none"/>
        </w:rPr>
        <w:t>、</w:t>
      </w:r>
      <w:r>
        <w:rPr>
          <w:rFonts w:hint="eastAsia"/>
          <w:color w:val="auto"/>
          <w:highlight w:val="none"/>
          <w:lang w:val="en-US" w:eastAsia="zh-CN"/>
        </w:rPr>
        <w:t>清洗线、</w:t>
      </w:r>
      <w:r>
        <w:rPr>
          <w:rFonts w:hint="eastAsia"/>
          <w:color w:val="auto"/>
          <w:highlight w:val="none"/>
        </w:rPr>
        <w:t>实验室、</w:t>
      </w:r>
      <w:r>
        <w:rPr>
          <w:rFonts w:hint="eastAsia"/>
          <w:color w:val="auto"/>
          <w:highlight w:val="none"/>
          <w:lang w:val="en-US" w:eastAsia="zh-CN"/>
        </w:rPr>
        <w:t>酸性库、碱性库、</w:t>
      </w:r>
      <w:r>
        <w:rPr>
          <w:rFonts w:hint="eastAsia"/>
          <w:color w:val="auto"/>
          <w:highlight w:val="none"/>
        </w:rPr>
        <w:t>污水处理</w:t>
      </w:r>
      <w:r>
        <w:rPr>
          <w:rFonts w:hint="eastAsia"/>
          <w:color w:val="auto"/>
          <w:highlight w:val="none"/>
          <w:lang w:val="en-US" w:eastAsia="zh-CN"/>
        </w:rPr>
        <w:t>设施以及</w:t>
      </w:r>
      <w:r>
        <w:rPr>
          <w:rFonts w:hint="eastAsia"/>
          <w:color w:val="auto"/>
          <w:highlight w:val="none"/>
        </w:rPr>
        <w:t>危废仓库等均设有视频监控，监控画面位于门卫，门卫设有人24小时值班，一旦发生异常，可第一时间赶赴现场并采取控制措施。</w:t>
      </w:r>
    </w:p>
    <w:p>
      <w:pPr>
        <w:snapToGrid w:val="0"/>
        <w:spacing w:line="360" w:lineRule="auto"/>
        <w:ind w:firstLine="482" w:firstLineChars="200"/>
        <w:rPr>
          <w:b/>
          <w:bCs/>
          <w:color w:val="auto"/>
          <w:highlight w:val="none"/>
        </w:rPr>
      </w:pPr>
      <w:r>
        <w:rPr>
          <w:rFonts w:hint="eastAsia"/>
          <w:b/>
          <w:bCs/>
          <w:color w:val="auto"/>
          <w:highlight w:val="none"/>
          <w:lang w:eastAsia="zh-CN"/>
        </w:rPr>
        <w:t>（</w:t>
      </w:r>
      <w:r>
        <w:rPr>
          <w:rFonts w:hint="eastAsia"/>
          <w:b/>
          <w:bCs/>
          <w:color w:val="auto"/>
          <w:highlight w:val="none"/>
          <w:lang w:val="en-US" w:eastAsia="zh-CN"/>
        </w:rPr>
        <w:t>2</w:t>
      </w:r>
      <w:r>
        <w:rPr>
          <w:rFonts w:hint="eastAsia"/>
          <w:b/>
          <w:bCs/>
          <w:color w:val="auto"/>
          <w:highlight w:val="none"/>
          <w:lang w:eastAsia="zh-CN"/>
        </w:rPr>
        <w:t>）</w:t>
      </w:r>
      <w:r>
        <w:rPr>
          <w:rFonts w:hint="eastAsia"/>
          <w:b/>
          <w:bCs/>
          <w:color w:val="auto"/>
          <w:highlight w:val="none"/>
        </w:rPr>
        <w:t>定期巡查</w:t>
      </w:r>
    </w:p>
    <w:p>
      <w:pPr>
        <w:adjustRightInd w:val="0"/>
        <w:snapToGrid w:val="0"/>
        <w:spacing w:line="360" w:lineRule="auto"/>
        <w:ind w:firstLine="480" w:firstLineChars="200"/>
        <w:rPr>
          <w:color w:val="auto"/>
          <w:highlight w:val="none"/>
        </w:rPr>
      </w:pPr>
      <w:r>
        <w:rPr>
          <w:color w:val="auto"/>
          <w:highlight w:val="none"/>
        </w:rPr>
        <w:t>①</w:t>
      </w:r>
      <w:r>
        <w:rPr>
          <w:rFonts w:hint="eastAsia"/>
          <w:color w:val="auto"/>
          <w:highlight w:val="none"/>
        </w:rPr>
        <w:t>对</w:t>
      </w:r>
      <w:r>
        <w:rPr>
          <w:rFonts w:hint="eastAsia"/>
          <w:color w:val="auto"/>
          <w:highlight w:val="none"/>
          <w:lang w:val="en-US" w:eastAsia="zh-CN"/>
        </w:rPr>
        <w:t>镀铬生产线</w:t>
      </w:r>
      <w:r>
        <w:rPr>
          <w:rFonts w:hint="eastAsia"/>
          <w:color w:val="auto"/>
          <w:highlight w:val="none"/>
        </w:rPr>
        <w:t>、</w:t>
      </w:r>
      <w:r>
        <w:rPr>
          <w:rFonts w:hint="eastAsia"/>
          <w:color w:val="auto"/>
          <w:highlight w:val="none"/>
          <w:lang w:val="en-US" w:eastAsia="zh-CN"/>
        </w:rPr>
        <w:t>清洗线、</w:t>
      </w:r>
      <w:r>
        <w:rPr>
          <w:rFonts w:hint="eastAsia"/>
          <w:color w:val="auto"/>
          <w:highlight w:val="none"/>
        </w:rPr>
        <w:t>实验室、</w:t>
      </w:r>
      <w:r>
        <w:rPr>
          <w:rFonts w:hint="eastAsia"/>
          <w:color w:val="auto"/>
          <w:highlight w:val="none"/>
          <w:lang w:val="en-US" w:eastAsia="zh-CN"/>
        </w:rPr>
        <w:t>酸性库、碱性库、</w:t>
      </w:r>
      <w:r>
        <w:rPr>
          <w:rFonts w:hint="eastAsia"/>
          <w:color w:val="auto"/>
          <w:highlight w:val="none"/>
        </w:rPr>
        <w:t>污水处理</w:t>
      </w:r>
      <w:r>
        <w:rPr>
          <w:rFonts w:hint="eastAsia"/>
          <w:color w:val="auto"/>
          <w:highlight w:val="none"/>
          <w:lang w:val="en-US" w:eastAsia="zh-CN"/>
        </w:rPr>
        <w:t>设施以及</w:t>
      </w:r>
      <w:r>
        <w:rPr>
          <w:rFonts w:hint="eastAsia"/>
          <w:color w:val="auto"/>
          <w:highlight w:val="none"/>
        </w:rPr>
        <w:t>危废仓库等环境危险源专人负责操作，并定期每周一次组织检查，检查内容包括：</w:t>
      </w:r>
      <w:r>
        <w:rPr>
          <w:color w:val="auto"/>
          <w:highlight w:val="none"/>
        </w:rPr>
        <w:t>仪表的工作情况；安全设施的工作情况；管道、阀门是否有泄漏</w:t>
      </w:r>
      <w:r>
        <w:rPr>
          <w:rFonts w:hint="eastAsia"/>
          <w:color w:val="auto"/>
          <w:highlight w:val="none"/>
        </w:rPr>
        <w:t>等</w:t>
      </w:r>
      <w:r>
        <w:rPr>
          <w:color w:val="auto"/>
          <w:highlight w:val="none"/>
        </w:rPr>
        <w:t>。</w:t>
      </w:r>
    </w:p>
    <w:p>
      <w:pPr>
        <w:spacing w:line="360" w:lineRule="auto"/>
        <w:ind w:firstLine="480" w:firstLineChars="200"/>
        <w:rPr>
          <w:rFonts w:hint="eastAsia" w:eastAsia="宋体"/>
          <w:color w:val="auto"/>
          <w:highlight w:val="none"/>
          <w:lang w:val="en-US" w:eastAsia="zh-CN"/>
        </w:rPr>
      </w:pPr>
      <w:r>
        <w:rPr>
          <w:rFonts w:hint="eastAsia"/>
          <w:color w:val="auto"/>
          <w:highlight w:val="none"/>
        </w:rPr>
        <w:t>②对厂区内容易引发重大突发环境事件的生产车间等环境危险源每月定期组织进行检查、监控，采用手动报警按钮方式预警，并采取安全防范措施，对突发环境事件进行预防。</w:t>
      </w:r>
      <w:r>
        <w:rPr>
          <w:rFonts w:hint="eastAsia"/>
          <w:color w:val="auto"/>
          <w:highlight w:val="none"/>
          <w:lang w:val="en-US" w:eastAsia="zh-CN"/>
        </w:rPr>
        <w:t xml:space="preserve"> </w:t>
      </w:r>
    </w:p>
    <w:p>
      <w:pPr>
        <w:adjustRightInd w:val="0"/>
        <w:snapToGrid w:val="0"/>
        <w:spacing w:line="360" w:lineRule="auto"/>
        <w:ind w:firstLine="480" w:firstLineChars="200"/>
        <w:rPr>
          <w:color w:val="auto"/>
          <w:highlight w:val="none"/>
        </w:rPr>
      </w:pPr>
      <w:r>
        <w:rPr>
          <w:rFonts w:hint="eastAsia"/>
          <w:color w:val="auto"/>
          <w:highlight w:val="none"/>
        </w:rPr>
        <w:t>③</w:t>
      </w:r>
      <w:r>
        <w:rPr>
          <w:color w:val="auto"/>
          <w:highlight w:val="none"/>
        </w:rPr>
        <w:t>对生产车间和重点库区实行车间领导负责制，专人落实环境安全工作，并定期组织检查。</w:t>
      </w:r>
    </w:p>
    <w:p>
      <w:pPr>
        <w:spacing w:line="360" w:lineRule="auto"/>
        <w:ind w:firstLine="480" w:firstLineChars="200"/>
        <w:rPr>
          <w:color w:val="auto"/>
          <w:highlight w:val="none"/>
        </w:rPr>
      </w:pPr>
      <w:r>
        <w:rPr>
          <w:color w:val="auto"/>
          <w:highlight w:val="none"/>
        </w:rPr>
        <w:t>④制订日常点检表，专人巡检，作好点检记录</w:t>
      </w:r>
      <w:r>
        <w:rPr>
          <w:rFonts w:hint="eastAsia"/>
          <w:color w:val="auto"/>
          <w:highlight w:val="none"/>
        </w:rPr>
        <w:t>。</w:t>
      </w:r>
    </w:p>
    <w:p>
      <w:pPr>
        <w:spacing w:line="360" w:lineRule="auto"/>
        <w:ind w:firstLine="480" w:firstLineChars="200"/>
        <w:rPr>
          <w:color w:val="auto"/>
          <w:highlight w:val="none"/>
        </w:rPr>
      </w:pPr>
      <w:r>
        <w:rPr>
          <w:rFonts w:hint="eastAsia"/>
          <w:color w:val="auto"/>
          <w:highlight w:val="none"/>
        </w:rPr>
        <w:t>⑤</w:t>
      </w:r>
      <w:r>
        <w:rPr>
          <w:color w:val="auto"/>
          <w:highlight w:val="none"/>
        </w:rPr>
        <w:t>设备设施定期保养并保持完好</w:t>
      </w:r>
      <w:r>
        <w:rPr>
          <w:rFonts w:hint="eastAsia"/>
          <w:color w:val="auto"/>
          <w:highlight w:val="none"/>
        </w:rPr>
        <w:t>。</w:t>
      </w:r>
    </w:p>
    <w:p>
      <w:pPr>
        <w:spacing w:line="360" w:lineRule="auto"/>
        <w:ind w:firstLine="480" w:firstLineChars="200"/>
        <w:rPr>
          <w:color w:val="auto"/>
          <w:highlight w:val="none"/>
        </w:rPr>
      </w:pPr>
      <w:r>
        <w:rPr>
          <w:color w:val="auto"/>
          <w:highlight w:val="none"/>
        </w:rPr>
        <w:t>⑥对发现的问题或隐患及时报告并采取立即整改和限时整改的管理手段，无法立即整改的要采取临时安全防护措施。</w:t>
      </w:r>
    </w:p>
    <w:p>
      <w:pPr>
        <w:spacing w:line="360" w:lineRule="auto"/>
        <w:ind w:firstLine="480" w:firstLineChars="200"/>
        <w:rPr>
          <w:color w:val="auto"/>
          <w:highlight w:val="none"/>
        </w:rPr>
      </w:pPr>
      <w:r>
        <w:rPr>
          <w:rFonts w:hint="eastAsia"/>
          <w:color w:val="auto"/>
          <w:highlight w:val="none"/>
        </w:rPr>
        <w:t>⑦</w:t>
      </w:r>
      <w:r>
        <w:rPr>
          <w:color w:val="auto"/>
          <w:highlight w:val="none"/>
        </w:rPr>
        <w:t>结合定期检查、现场巡查实现环境风险源的监控方式。按照各类事故的危害因素分析和采取防范措施，加强对各类事故的隐患监督检查，发现险情和可能发生环境事故的重要信息，立即上报并采取应对措施，预防事故发生。</w:t>
      </w:r>
    </w:p>
    <w:p>
      <w:pPr>
        <w:snapToGrid w:val="0"/>
        <w:spacing w:line="360" w:lineRule="auto"/>
        <w:ind w:firstLine="482" w:firstLineChars="200"/>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3</w:t>
      </w:r>
      <w:r>
        <w:rPr>
          <w:rFonts w:hint="eastAsia"/>
          <w:b/>
          <w:bCs/>
          <w:color w:val="auto"/>
          <w:highlight w:val="none"/>
          <w:lang w:eastAsia="zh-CN"/>
        </w:rPr>
        <w:t>）隐患排查</w:t>
      </w:r>
    </w:p>
    <w:p>
      <w:pPr>
        <w:pStyle w:val="3"/>
        <w:numPr>
          <w:ilvl w:val="0"/>
          <w:numId w:val="0"/>
        </w:numPr>
        <w:spacing w:line="360" w:lineRule="auto"/>
        <w:ind w:firstLine="480" w:firstLineChars="200"/>
        <w:rPr>
          <w:color w:val="auto"/>
          <w:highlight w:val="none"/>
        </w:rPr>
      </w:pPr>
      <w:r>
        <w:rPr>
          <w:rFonts w:hint="eastAsia"/>
          <w:color w:val="auto"/>
          <w:highlight w:val="none"/>
        </w:rPr>
        <w:t>公司根据要求制定并完善公司的隐患排查制度，建立隐患排查治理责任制，建立从主要负责人到每位作业人员，覆盖各部门、各岗位的隐患排查治理责任体系，并按照生产车间、</w:t>
      </w:r>
      <w:r>
        <w:rPr>
          <w:rFonts w:hint="eastAsia"/>
          <w:color w:val="auto"/>
          <w:highlight w:val="none"/>
          <w:lang w:val="en-US" w:eastAsia="zh-CN"/>
        </w:rPr>
        <w:t>酸性库、碱性库、</w:t>
      </w:r>
      <w:r>
        <w:rPr>
          <w:rFonts w:hint="eastAsia"/>
          <w:color w:val="auto"/>
          <w:highlight w:val="none"/>
        </w:rPr>
        <w:t>污水处理</w:t>
      </w:r>
      <w:r>
        <w:rPr>
          <w:rFonts w:hint="eastAsia"/>
          <w:color w:val="auto"/>
          <w:highlight w:val="none"/>
          <w:lang w:val="en-US" w:eastAsia="zh-CN"/>
        </w:rPr>
        <w:t>设施以及</w:t>
      </w:r>
      <w:r>
        <w:rPr>
          <w:rFonts w:hint="eastAsia"/>
          <w:color w:val="auto"/>
          <w:highlight w:val="none"/>
        </w:rPr>
        <w:t>危废仓库等分区域、分工划分排查区域，明确每个区域的责任人，逐级建立并落实隐患排查治理岗位责任制。</w:t>
      </w:r>
    </w:p>
    <w:p>
      <w:pPr>
        <w:pStyle w:val="3"/>
        <w:numPr>
          <w:ilvl w:val="0"/>
          <w:numId w:val="0"/>
        </w:numPr>
        <w:spacing w:line="360" w:lineRule="auto"/>
        <w:ind w:firstLine="480" w:firstLineChars="200"/>
        <w:rPr>
          <w:color w:val="auto"/>
          <w:highlight w:val="none"/>
        </w:rPr>
      </w:pPr>
      <w:r>
        <w:rPr>
          <w:rFonts w:hint="eastAsia"/>
          <w:color w:val="auto"/>
          <w:highlight w:val="none"/>
        </w:rPr>
        <w:t>公司从环境应急管理和突发环境事件风险防控措施等方面排查可能直接导致或次生突发环境事件的隐患，并根据《省生态环境厅关于印发工业企业及园区突发环境事件隐患分级判定方法（试行）的通知》（苏环办[2022]248号文）并结合企业实际情况进行隐患分级，对于重大隐患及时制定治理方案并进行治理。</w:t>
      </w:r>
    </w:p>
    <w:p>
      <w:pPr>
        <w:pStyle w:val="3"/>
        <w:numPr>
          <w:ilvl w:val="0"/>
          <w:numId w:val="0"/>
        </w:numPr>
        <w:spacing w:line="360" w:lineRule="auto"/>
        <w:ind w:firstLine="480" w:firstLineChars="200"/>
        <w:rPr>
          <w:color w:val="auto"/>
          <w:highlight w:val="none"/>
        </w:rPr>
      </w:pPr>
      <w:r>
        <w:rPr>
          <w:rFonts w:hint="eastAsia"/>
          <w:color w:val="auto"/>
          <w:highlight w:val="none"/>
        </w:rPr>
        <w:t>公司日常隐患排查由综合排查、日常排查、专项排查及抽查等方式，并以日常排查为主。日常排查每月一次，综合排查每年一次，专项排查和抽查根据公司实际生产情况不定期开展进行。</w:t>
      </w:r>
    </w:p>
    <w:p>
      <w:pPr>
        <w:snapToGrid w:val="0"/>
        <w:spacing w:line="360" w:lineRule="auto"/>
        <w:ind w:firstLine="480" w:firstLineChars="200"/>
        <w:rPr>
          <w:bCs/>
          <w:color w:val="auto"/>
          <w:highlight w:val="none"/>
        </w:rPr>
      </w:pPr>
      <w:r>
        <w:rPr>
          <w:rFonts w:hint="eastAsia"/>
          <w:bCs/>
          <w:color w:val="auto"/>
          <w:highlight w:val="none"/>
        </w:rPr>
        <w:t>公司环境风险单元及采取的监控措施</w:t>
      </w:r>
      <w:r>
        <w:rPr>
          <w:bCs/>
          <w:color w:val="auto"/>
          <w:highlight w:val="none"/>
        </w:rPr>
        <w:t>具体见</w:t>
      </w:r>
      <w:r>
        <w:rPr>
          <w:rFonts w:hint="eastAsia"/>
          <w:bCs/>
          <w:color w:val="auto"/>
          <w:highlight w:val="none"/>
          <w:lang w:val="en-US" w:eastAsia="zh-CN"/>
        </w:rPr>
        <w:t>下表</w:t>
      </w:r>
      <w:r>
        <w:rPr>
          <w:bCs/>
          <w:color w:val="auto"/>
          <w:highlight w:val="none"/>
        </w:rPr>
        <w:t>：</w:t>
      </w:r>
    </w:p>
    <w:p>
      <w:pPr>
        <w:adjustRightInd w:val="0"/>
        <w:snapToGrid w:val="0"/>
        <w:jc w:val="center"/>
        <w:rPr>
          <w:b/>
          <w:color w:val="auto"/>
          <w:highlight w:val="none"/>
        </w:rPr>
      </w:pPr>
      <w:r>
        <w:rPr>
          <w:b/>
          <w:color w:val="auto"/>
          <w:highlight w:val="none"/>
        </w:rPr>
        <w:t>表3.1-</w:t>
      </w:r>
      <w:r>
        <w:rPr>
          <w:rFonts w:hint="eastAsia"/>
          <w:b/>
          <w:color w:val="auto"/>
          <w:highlight w:val="none"/>
          <w:lang w:val="en-US" w:eastAsia="zh-CN"/>
        </w:rPr>
        <w:t>1</w:t>
      </w:r>
      <w:r>
        <w:rPr>
          <w:b/>
          <w:color w:val="auto"/>
          <w:highlight w:val="none"/>
        </w:rPr>
        <w:t xml:space="preserve">  环境风险单元及</w:t>
      </w:r>
      <w:r>
        <w:rPr>
          <w:rFonts w:hint="eastAsia"/>
          <w:b/>
          <w:color w:val="auto"/>
          <w:highlight w:val="none"/>
        </w:rPr>
        <w:t>监控</w:t>
      </w:r>
      <w:r>
        <w:rPr>
          <w:b/>
          <w:color w:val="auto"/>
          <w:highlight w:val="none"/>
        </w:rPr>
        <w:t>措施情况一览表</w:t>
      </w:r>
    </w:p>
    <w:tbl>
      <w:tblPr>
        <w:tblStyle w:val="20"/>
        <w:tblW w:w="4996"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404"/>
        <w:gridCol w:w="2715"/>
        <w:gridCol w:w="2637"/>
        <w:gridCol w:w="173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1161" w:type="pct"/>
            <w:gridSpan w:val="2"/>
            <w:vAlign w:val="center"/>
          </w:tcPr>
          <w:p>
            <w:pPr>
              <w:spacing w:before="120" w:beforeLines="50"/>
              <w:jc w:val="center"/>
              <w:rPr>
                <w:b/>
                <w:color w:val="auto"/>
                <w:sz w:val="21"/>
                <w:szCs w:val="21"/>
                <w:highlight w:val="none"/>
              </w:rPr>
            </w:pPr>
            <w:r>
              <w:rPr>
                <w:b/>
                <w:color w:val="auto"/>
                <w:sz w:val="21"/>
                <w:szCs w:val="21"/>
                <w:highlight w:val="none"/>
              </w:rPr>
              <w:t>环境风险单元</w:t>
            </w:r>
          </w:p>
        </w:tc>
        <w:tc>
          <w:tcPr>
            <w:tcW w:w="1469" w:type="pct"/>
            <w:vAlign w:val="center"/>
          </w:tcPr>
          <w:p>
            <w:pPr>
              <w:spacing w:before="120" w:beforeLines="50"/>
              <w:jc w:val="center"/>
              <w:rPr>
                <w:b/>
                <w:color w:val="auto"/>
                <w:sz w:val="21"/>
                <w:szCs w:val="21"/>
                <w:highlight w:val="none"/>
              </w:rPr>
            </w:pPr>
            <w:r>
              <w:rPr>
                <w:b/>
                <w:color w:val="auto"/>
                <w:sz w:val="21"/>
                <w:szCs w:val="21"/>
                <w:highlight w:val="none"/>
              </w:rPr>
              <w:t>环境风险物质</w:t>
            </w:r>
          </w:p>
        </w:tc>
        <w:tc>
          <w:tcPr>
            <w:tcW w:w="1427" w:type="pct"/>
            <w:vAlign w:val="center"/>
          </w:tcPr>
          <w:p>
            <w:pPr>
              <w:spacing w:before="120" w:beforeLines="50"/>
              <w:jc w:val="center"/>
              <w:rPr>
                <w:b/>
                <w:color w:val="auto"/>
                <w:sz w:val="21"/>
                <w:szCs w:val="21"/>
                <w:highlight w:val="none"/>
              </w:rPr>
            </w:pPr>
            <w:r>
              <w:rPr>
                <w:rFonts w:hint="eastAsia"/>
                <w:b/>
                <w:color w:val="auto"/>
                <w:sz w:val="21"/>
                <w:szCs w:val="21"/>
                <w:highlight w:val="none"/>
              </w:rPr>
              <w:t>现有监控</w:t>
            </w:r>
            <w:r>
              <w:rPr>
                <w:b/>
                <w:color w:val="auto"/>
                <w:sz w:val="21"/>
                <w:szCs w:val="21"/>
                <w:highlight w:val="none"/>
              </w:rPr>
              <w:t>措施</w:t>
            </w:r>
          </w:p>
        </w:tc>
        <w:tc>
          <w:tcPr>
            <w:tcW w:w="941" w:type="pct"/>
            <w:vAlign w:val="center"/>
          </w:tcPr>
          <w:p>
            <w:pPr>
              <w:spacing w:before="120" w:beforeLines="50"/>
              <w:jc w:val="center"/>
              <w:rPr>
                <w:b/>
                <w:color w:val="auto"/>
                <w:sz w:val="21"/>
                <w:szCs w:val="21"/>
                <w:highlight w:val="none"/>
              </w:rPr>
            </w:pPr>
            <w:r>
              <w:rPr>
                <w:rFonts w:hint="eastAsia"/>
                <w:b/>
                <w:color w:val="auto"/>
                <w:sz w:val="21"/>
                <w:szCs w:val="21"/>
                <w:highlight w:val="none"/>
              </w:rPr>
              <w:t>拟增设监控措施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3" w:hRule="atLeast"/>
          <w:tblHeader/>
        </w:trPr>
        <w:tc>
          <w:tcPr>
            <w:tcW w:w="401" w:type="pct"/>
            <w:vMerge w:val="restart"/>
            <w:vAlign w:val="center"/>
          </w:tcPr>
          <w:p>
            <w:pPr>
              <w:ind w:left="-60" w:leftChars="-25" w:right="-60" w:rightChars="-25"/>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生产车间</w:t>
            </w:r>
          </w:p>
        </w:tc>
        <w:tc>
          <w:tcPr>
            <w:tcW w:w="760" w:type="pct"/>
            <w:vAlign w:val="center"/>
          </w:tcPr>
          <w:p>
            <w:pPr>
              <w:spacing w:before="120" w:beforeLines="50"/>
              <w:ind w:left="-60" w:leftChars="-25" w:right="-60" w:rightChars="-25"/>
              <w:jc w:val="center"/>
              <w:rPr>
                <w:rFonts w:hint="default"/>
                <w:color w:val="auto"/>
                <w:sz w:val="21"/>
                <w:szCs w:val="21"/>
                <w:highlight w:val="none"/>
                <w:lang w:val="en-US" w:eastAsia="zh-CN"/>
              </w:rPr>
            </w:pPr>
            <w:r>
              <w:rPr>
                <w:rFonts w:hint="eastAsia"/>
                <w:color w:val="auto"/>
                <w:sz w:val="21"/>
                <w:szCs w:val="21"/>
                <w:highlight w:val="none"/>
                <w:lang w:val="en-US" w:eastAsia="zh-CN"/>
              </w:rPr>
              <w:t>镀铬生产线</w:t>
            </w:r>
          </w:p>
        </w:tc>
        <w:tc>
          <w:tcPr>
            <w:tcW w:w="1469" w:type="pct"/>
            <w:vAlign w:val="center"/>
          </w:tcPr>
          <w:p>
            <w:pPr>
              <w:spacing w:before="120" w:beforeLines="50"/>
              <w:ind w:left="-60" w:leftChars="-25" w:right="-60" w:rightChars="-25"/>
              <w:jc w:val="center"/>
              <w:rPr>
                <w:rFonts w:hint="default"/>
                <w:color w:val="auto"/>
                <w:sz w:val="21"/>
                <w:szCs w:val="21"/>
                <w:highlight w:val="none"/>
                <w:lang w:val="en-US" w:eastAsia="zh-CN"/>
              </w:rPr>
            </w:pPr>
            <w:r>
              <w:rPr>
                <w:rFonts w:hint="eastAsia"/>
                <w:color w:val="auto"/>
                <w:sz w:val="21"/>
                <w:szCs w:val="21"/>
                <w:highlight w:val="none"/>
                <w:lang w:val="en-US" w:eastAsia="zh-CN"/>
              </w:rPr>
              <w:t>镀铬起镀液</w:t>
            </w:r>
          </w:p>
        </w:tc>
        <w:tc>
          <w:tcPr>
            <w:tcW w:w="1427" w:type="pct"/>
            <w:vAlign w:val="center"/>
          </w:tcPr>
          <w:p>
            <w:pPr>
              <w:spacing w:before="120" w:beforeLines="50"/>
              <w:ind w:left="-60" w:leftChars="-25" w:right="-60" w:rightChars="-25"/>
              <w:jc w:val="center"/>
              <w:rPr>
                <w:rFonts w:hint="eastAsia"/>
                <w:color w:val="auto"/>
                <w:sz w:val="21"/>
                <w:szCs w:val="21"/>
                <w:highlight w:val="none"/>
                <w:lang w:val="en-US" w:eastAsia="zh-CN"/>
              </w:rPr>
            </w:pPr>
            <w:r>
              <w:rPr>
                <w:rFonts w:hint="eastAsia"/>
                <w:color w:val="auto"/>
                <w:sz w:val="21"/>
                <w:szCs w:val="21"/>
                <w:highlight w:val="none"/>
                <w:lang w:val="en-US" w:eastAsia="zh-CN"/>
              </w:rPr>
              <w:t>监控摄像头、巡查制度</w:t>
            </w:r>
          </w:p>
        </w:tc>
        <w:tc>
          <w:tcPr>
            <w:tcW w:w="941" w:type="pct"/>
            <w:vAlign w:val="center"/>
          </w:tcPr>
          <w:p>
            <w:pPr>
              <w:spacing w:before="120" w:beforeLines="50"/>
              <w:ind w:left="-60" w:leftChars="-25" w:right="-60" w:rightChars="-25"/>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401" w:type="pct"/>
            <w:vMerge w:val="continue"/>
            <w:vAlign w:val="center"/>
          </w:tcPr>
          <w:p>
            <w:pPr>
              <w:ind w:left="-60" w:leftChars="-25" w:right="-60" w:rightChars="-25"/>
              <w:jc w:val="center"/>
              <w:rPr>
                <w:color w:val="auto"/>
                <w:spacing w:val="-20"/>
                <w:sz w:val="21"/>
                <w:szCs w:val="21"/>
                <w:highlight w:val="none"/>
              </w:rPr>
            </w:pPr>
          </w:p>
        </w:tc>
        <w:tc>
          <w:tcPr>
            <w:tcW w:w="760" w:type="pct"/>
            <w:vAlign w:val="center"/>
          </w:tcPr>
          <w:p>
            <w:pPr>
              <w:spacing w:before="120" w:beforeLines="50"/>
              <w:ind w:left="-60" w:leftChars="-25" w:right="-60" w:rightChars="-25"/>
              <w:jc w:val="center"/>
              <w:rPr>
                <w:rFonts w:hint="eastAsia"/>
                <w:color w:val="auto"/>
                <w:sz w:val="21"/>
                <w:szCs w:val="21"/>
                <w:highlight w:val="none"/>
                <w:lang w:val="en-US" w:eastAsia="zh-CN"/>
              </w:rPr>
            </w:pPr>
            <w:r>
              <w:rPr>
                <w:rFonts w:hint="eastAsia"/>
                <w:color w:val="auto"/>
                <w:sz w:val="21"/>
                <w:szCs w:val="21"/>
                <w:highlight w:val="none"/>
                <w:lang w:val="en-US" w:eastAsia="zh-CN"/>
              </w:rPr>
              <w:t>清洗线</w:t>
            </w:r>
          </w:p>
        </w:tc>
        <w:tc>
          <w:tcPr>
            <w:tcW w:w="1469" w:type="pct"/>
            <w:vAlign w:val="center"/>
          </w:tcPr>
          <w:p>
            <w:pPr>
              <w:spacing w:before="120" w:beforeLines="50"/>
              <w:ind w:left="-60" w:leftChars="-25" w:right="-60" w:rightChars="-25"/>
              <w:jc w:val="center"/>
              <w:rPr>
                <w:rFonts w:hint="eastAsia"/>
                <w:color w:val="auto"/>
                <w:sz w:val="21"/>
                <w:szCs w:val="21"/>
                <w:highlight w:val="none"/>
                <w:lang w:val="en-US" w:eastAsia="zh-CN"/>
              </w:rPr>
            </w:pPr>
            <w:r>
              <w:rPr>
                <w:rFonts w:hint="eastAsia"/>
                <w:color w:val="auto"/>
                <w:sz w:val="21"/>
                <w:szCs w:val="21"/>
                <w:highlight w:val="none"/>
                <w:lang w:val="en-US" w:eastAsia="zh-CN"/>
              </w:rPr>
              <w:t>脱脂剂（喷淋清洗剂）</w:t>
            </w:r>
          </w:p>
        </w:tc>
        <w:tc>
          <w:tcPr>
            <w:tcW w:w="1427" w:type="pct"/>
            <w:vAlign w:val="center"/>
          </w:tcPr>
          <w:p>
            <w:pPr>
              <w:spacing w:before="120" w:beforeLines="50"/>
              <w:ind w:left="-60" w:leftChars="-25" w:right="-60" w:rightChars="-25"/>
              <w:jc w:val="center"/>
              <w:rPr>
                <w:rFonts w:hint="eastAsia"/>
                <w:color w:val="auto"/>
                <w:sz w:val="21"/>
                <w:szCs w:val="21"/>
                <w:highlight w:val="none"/>
                <w:lang w:val="en-US" w:eastAsia="zh-CN"/>
              </w:rPr>
            </w:pPr>
            <w:r>
              <w:rPr>
                <w:rFonts w:hint="eastAsia"/>
                <w:color w:val="auto"/>
                <w:sz w:val="21"/>
                <w:szCs w:val="21"/>
                <w:highlight w:val="none"/>
                <w:lang w:val="en-US" w:eastAsia="zh-CN"/>
              </w:rPr>
              <w:t>监控摄像头、巡查制度</w:t>
            </w:r>
          </w:p>
        </w:tc>
        <w:tc>
          <w:tcPr>
            <w:tcW w:w="941" w:type="pct"/>
            <w:vAlign w:val="center"/>
          </w:tcPr>
          <w:p>
            <w:pPr>
              <w:spacing w:before="120" w:beforeLines="50"/>
              <w:ind w:left="-60" w:leftChars="-25" w:right="-60" w:rightChars="-25"/>
              <w:jc w:val="center"/>
              <w:rPr>
                <w:rFonts w:hint="eastAsia"/>
                <w:color w:val="auto"/>
                <w:sz w:val="21"/>
                <w:szCs w:val="21"/>
                <w:highlight w:val="none"/>
                <w:lang w:val="en-US" w:eastAsia="zh-CN"/>
              </w:rPr>
            </w:pPr>
            <w:r>
              <w:rPr>
                <w:rFonts w:hint="eastAsia"/>
                <w:color w:val="auto"/>
                <w:sz w:val="21"/>
                <w:szCs w:val="21"/>
                <w:highlight w:val="none"/>
                <w:lang w:val="en-US"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401" w:type="pct"/>
            <w:vMerge w:val="continue"/>
            <w:vAlign w:val="center"/>
          </w:tcPr>
          <w:p>
            <w:pPr>
              <w:ind w:left="-60" w:leftChars="-25" w:right="-60" w:rightChars="-25"/>
              <w:jc w:val="center"/>
              <w:rPr>
                <w:color w:val="auto"/>
                <w:spacing w:val="-20"/>
                <w:sz w:val="21"/>
                <w:szCs w:val="21"/>
                <w:highlight w:val="none"/>
              </w:rPr>
            </w:pPr>
          </w:p>
        </w:tc>
        <w:tc>
          <w:tcPr>
            <w:tcW w:w="760" w:type="pct"/>
            <w:vAlign w:val="center"/>
          </w:tcPr>
          <w:p>
            <w:pPr>
              <w:spacing w:before="120" w:beforeLines="50"/>
              <w:ind w:left="-60" w:leftChars="-25" w:right="-60" w:rightChars="-25"/>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实验室</w:t>
            </w:r>
          </w:p>
        </w:tc>
        <w:tc>
          <w:tcPr>
            <w:tcW w:w="1469" w:type="pct"/>
            <w:vAlign w:val="center"/>
          </w:tcPr>
          <w:p>
            <w:pPr>
              <w:spacing w:before="120" w:beforeLines="50"/>
              <w:ind w:left="-60" w:leftChars="-25" w:right="-60" w:rightChars="-25"/>
              <w:jc w:val="center"/>
              <w:rPr>
                <w:rFonts w:hint="default"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硫酸、盐酸</w:t>
            </w:r>
          </w:p>
        </w:tc>
        <w:tc>
          <w:tcPr>
            <w:tcW w:w="1427" w:type="pct"/>
            <w:vAlign w:val="center"/>
          </w:tcPr>
          <w:p>
            <w:pPr>
              <w:spacing w:before="120" w:beforeLines="50"/>
              <w:ind w:left="-60" w:leftChars="-25" w:right="-60" w:rightChars="-25"/>
              <w:jc w:val="center"/>
              <w:rPr>
                <w:rFonts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监控摄像头、巡查制度</w:t>
            </w:r>
          </w:p>
        </w:tc>
        <w:tc>
          <w:tcPr>
            <w:tcW w:w="941" w:type="pct"/>
            <w:vAlign w:val="center"/>
          </w:tcPr>
          <w:p>
            <w:pPr>
              <w:spacing w:before="120" w:beforeLines="50"/>
              <w:ind w:left="-60" w:leftChars="-25" w:right="-60" w:rightChars="-25"/>
              <w:jc w:val="center"/>
              <w:rPr>
                <w:rFonts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401" w:type="pct"/>
            <w:vMerge w:val="restart"/>
            <w:vAlign w:val="center"/>
          </w:tcPr>
          <w:p>
            <w:pPr>
              <w:ind w:left="-60" w:leftChars="-25" w:right="-60" w:rightChars="-25"/>
              <w:jc w:val="center"/>
              <w:rPr>
                <w:color w:val="auto"/>
                <w:spacing w:val="-20"/>
                <w:sz w:val="21"/>
                <w:szCs w:val="21"/>
                <w:highlight w:val="none"/>
              </w:rPr>
            </w:pPr>
            <w:r>
              <w:rPr>
                <w:color w:val="auto"/>
                <w:spacing w:val="-20"/>
                <w:sz w:val="21"/>
                <w:szCs w:val="21"/>
                <w:highlight w:val="none"/>
              </w:rPr>
              <w:t>贮运工程</w:t>
            </w:r>
          </w:p>
        </w:tc>
        <w:tc>
          <w:tcPr>
            <w:tcW w:w="760" w:type="pct"/>
            <w:vAlign w:val="center"/>
          </w:tcPr>
          <w:p>
            <w:pPr>
              <w:spacing w:before="120" w:beforeLines="50"/>
              <w:ind w:left="-60" w:leftChars="-25" w:right="-60" w:rightChars="-25"/>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酸性库</w:t>
            </w:r>
          </w:p>
        </w:tc>
        <w:tc>
          <w:tcPr>
            <w:tcW w:w="1469" w:type="pct"/>
            <w:vAlign w:val="center"/>
          </w:tcPr>
          <w:p>
            <w:pPr>
              <w:spacing w:before="120" w:beforeLines="50"/>
              <w:ind w:left="-60" w:leftChars="-25" w:right="-60" w:rightChars="-25"/>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镀铬起镀液、</w:t>
            </w:r>
            <w:r>
              <w:rPr>
                <w:rFonts w:hint="eastAsia"/>
                <w:color w:val="auto"/>
                <w:sz w:val="21"/>
                <w:szCs w:val="21"/>
                <w:highlight w:val="none"/>
              </w:rPr>
              <w:t>硫酸、盐酸</w:t>
            </w:r>
            <w:r>
              <w:rPr>
                <w:rFonts w:hint="eastAsia"/>
                <w:color w:val="auto"/>
                <w:sz w:val="21"/>
                <w:szCs w:val="21"/>
                <w:highlight w:val="none"/>
                <w:lang w:eastAsia="zh-CN"/>
              </w:rPr>
              <w:t>、</w:t>
            </w:r>
            <w:r>
              <w:rPr>
                <w:rFonts w:hint="eastAsia"/>
                <w:color w:val="auto"/>
                <w:sz w:val="21"/>
                <w:szCs w:val="21"/>
                <w:highlight w:val="none"/>
                <w:lang w:val="en-US" w:eastAsia="zh-CN"/>
              </w:rPr>
              <w:t>脱脂剂（喷淋清洗剂）</w:t>
            </w:r>
          </w:p>
        </w:tc>
        <w:tc>
          <w:tcPr>
            <w:tcW w:w="1427" w:type="pct"/>
            <w:vAlign w:val="center"/>
          </w:tcPr>
          <w:p>
            <w:pPr>
              <w:spacing w:before="120" w:beforeLines="50"/>
              <w:ind w:left="-60" w:leftChars="-25" w:right="-60" w:rightChars="-25"/>
              <w:jc w:val="center"/>
              <w:rPr>
                <w:rFonts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监控摄像头、巡查制度</w:t>
            </w:r>
          </w:p>
        </w:tc>
        <w:tc>
          <w:tcPr>
            <w:tcW w:w="941" w:type="pct"/>
            <w:vAlign w:val="center"/>
          </w:tcPr>
          <w:p>
            <w:pPr>
              <w:spacing w:before="120" w:beforeLines="50"/>
              <w:ind w:left="-60" w:leftChars="-25" w:right="-60" w:rightChars="-25"/>
              <w:jc w:val="center"/>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401" w:type="pct"/>
            <w:vMerge w:val="continue"/>
            <w:vAlign w:val="center"/>
          </w:tcPr>
          <w:p>
            <w:pPr>
              <w:ind w:left="-60" w:leftChars="-25" w:right="-60" w:rightChars="-25"/>
              <w:jc w:val="center"/>
              <w:rPr>
                <w:color w:val="auto"/>
                <w:spacing w:val="-20"/>
                <w:sz w:val="21"/>
                <w:szCs w:val="21"/>
                <w:highlight w:val="none"/>
              </w:rPr>
            </w:pPr>
          </w:p>
        </w:tc>
        <w:tc>
          <w:tcPr>
            <w:tcW w:w="760" w:type="pct"/>
            <w:vAlign w:val="center"/>
          </w:tcPr>
          <w:p>
            <w:pPr>
              <w:spacing w:before="120" w:beforeLines="50"/>
              <w:ind w:left="-60" w:leftChars="-25" w:right="-60" w:rightChars="-25"/>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碱性库</w:t>
            </w:r>
          </w:p>
        </w:tc>
        <w:tc>
          <w:tcPr>
            <w:tcW w:w="1469" w:type="pct"/>
            <w:vAlign w:val="center"/>
          </w:tcPr>
          <w:p>
            <w:pPr>
              <w:spacing w:before="120" w:beforeLines="50"/>
              <w:ind w:left="-60" w:leftChars="-25" w:right="-60" w:rightChars="-25"/>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氢氧化钠</w:t>
            </w:r>
          </w:p>
        </w:tc>
        <w:tc>
          <w:tcPr>
            <w:tcW w:w="1427" w:type="pct"/>
            <w:vAlign w:val="center"/>
          </w:tcPr>
          <w:p>
            <w:pPr>
              <w:spacing w:before="120" w:beforeLines="50"/>
              <w:ind w:left="-60" w:leftChars="-25" w:right="-60" w:rightChars="-25"/>
              <w:jc w:val="center"/>
              <w:rPr>
                <w:rFonts w:hint="eastAsia"/>
                <w:color w:val="auto"/>
                <w:sz w:val="21"/>
                <w:szCs w:val="21"/>
                <w:highlight w:val="none"/>
              </w:rPr>
            </w:pPr>
            <w:r>
              <w:rPr>
                <w:rFonts w:hint="eastAsia"/>
                <w:color w:val="auto"/>
                <w:sz w:val="21"/>
                <w:szCs w:val="21"/>
                <w:highlight w:val="none"/>
              </w:rPr>
              <w:t>监控摄像头、巡查制度</w:t>
            </w:r>
          </w:p>
        </w:tc>
        <w:tc>
          <w:tcPr>
            <w:tcW w:w="941" w:type="pct"/>
            <w:vAlign w:val="center"/>
          </w:tcPr>
          <w:p>
            <w:pPr>
              <w:spacing w:before="120" w:beforeLines="50"/>
              <w:ind w:left="-60" w:leftChars="-25" w:right="-60" w:rightChars="-25"/>
              <w:jc w:val="center"/>
              <w:rPr>
                <w:rFonts w:hint="eastAsia"/>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401" w:type="pct"/>
            <w:vMerge w:val="restart"/>
            <w:vAlign w:val="center"/>
          </w:tcPr>
          <w:p>
            <w:pPr>
              <w:ind w:left="-60" w:leftChars="-25" w:right="-60" w:rightChars="-25"/>
              <w:jc w:val="center"/>
              <w:rPr>
                <w:color w:val="auto"/>
                <w:sz w:val="21"/>
                <w:szCs w:val="21"/>
                <w:highlight w:val="none"/>
              </w:rPr>
            </w:pPr>
            <w:r>
              <w:rPr>
                <w:color w:val="auto"/>
                <w:sz w:val="21"/>
                <w:szCs w:val="21"/>
                <w:highlight w:val="none"/>
              </w:rPr>
              <w:t>环保</w:t>
            </w:r>
          </w:p>
          <w:p>
            <w:pPr>
              <w:ind w:left="-60" w:leftChars="-25" w:right="-60" w:rightChars="-25"/>
              <w:jc w:val="center"/>
              <w:rPr>
                <w:color w:val="auto"/>
                <w:sz w:val="21"/>
                <w:szCs w:val="21"/>
                <w:highlight w:val="none"/>
              </w:rPr>
            </w:pPr>
            <w:r>
              <w:rPr>
                <w:color w:val="auto"/>
                <w:sz w:val="21"/>
                <w:szCs w:val="21"/>
                <w:highlight w:val="none"/>
              </w:rPr>
              <w:t>工程</w:t>
            </w:r>
          </w:p>
        </w:tc>
        <w:tc>
          <w:tcPr>
            <w:tcW w:w="760" w:type="pct"/>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废气处理装置</w:t>
            </w:r>
          </w:p>
        </w:tc>
        <w:tc>
          <w:tcPr>
            <w:tcW w:w="1469" w:type="pct"/>
            <w:vAlign w:val="center"/>
          </w:tcPr>
          <w:p>
            <w:pPr>
              <w:spacing w:before="120" w:beforeLines="50"/>
              <w:ind w:left="-60" w:leftChars="-25" w:right="-60" w:rightChars="-25"/>
              <w:jc w:val="center"/>
              <w:rPr>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rPr>
              <w:t>铬酸雾、硫酸雾、氯化氢</w:t>
            </w:r>
          </w:p>
        </w:tc>
        <w:tc>
          <w:tcPr>
            <w:tcW w:w="1427" w:type="pct"/>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加强监管与维护</w:t>
            </w:r>
          </w:p>
        </w:tc>
        <w:tc>
          <w:tcPr>
            <w:tcW w:w="941" w:type="pct"/>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401" w:type="pct"/>
            <w:vMerge w:val="continue"/>
            <w:vAlign w:val="center"/>
          </w:tcPr>
          <w:p>
            <w:pPr>
              <w:ind w:left="-60" w:leftChars="-25" w:right="-60" w:rightChars="-25"/>
              <w:jc w:val="center"/>
              <w:rPr>
                <w:color w:val="auto"/>
                <w:sz w:val="21"/>
                <w:szCs w:val="21"/>
                <w:highlight w:val="none"/>
              </w:rPr>
            </w:pPr>
          </w:p>
        </w:tc>
        <w:tc>
          <w:tcPr>
            <w:tcW w:w="760" w:type="pct"/>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污水处理站</w:t>
            </w:r>
          </w:p>
        </w:tc>
        <w:tc>
          <w:tcPr>
            <w:tcW w:w="1469" w:type="pct"/>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lang w:val="en-US" w:eastAsia="zh-CN"/>
              </w:rPr>
              <w:t>生产废水（含铬）</w:t>
            </w:r>
          </w:p>
        </w:tc>
        <w:tc>
          <w:tcPr>
            <w:tcW w:w="1427" w:type="pct"/>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lang w:val="en-US" w:eastAsia="zh-CN"/>
              </w:rPr>
              <w:t>视频</w:t>
            </w:r>
            <w:r>
              <w:rPr>
                <w:rFonts w:hint="eastAsia"/>
                <w:color w:val="auto"/>
                <w:sz w:val="21"/>
                <w:szCs w:val="21"/>
                <w:highlight w:val="none"/>
              </w:rPr>
              <w:t>监测</w:t>
            </w:r>
            <w:r>
              <w:rPr>
                <w:rFonts w:hint="eastAsia"/>
                <w:color w:val="auto"/>
                <w:sz w:val="21"/>
                <w:szCs w:val="21"/>
                <w:highlight w:val="none"/>
                <w:lang w:val="en-US" w:eastAsia="zh-CN"/>
              </w:rPr>
              <w:t>、巡查制度</w:t>
            </w:r>
          </w:p>
        </w:tc>
        <w:tc>
          <w:tcPr>
            <w:tcW w:w="941" w:type="pct"/>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401" w:type="pct"/>
            <w:vMerge w:val="continue"/>
            <w:vAlign w:val="center"/>
          </w:tcPr>
          <w:p>
            <w:pPr>
              <w:ind w:left="-60" w:leftChars="-25" w:right="-60" w:rightChars="-25"/>
              <w:jc w:val="center"/>
              <w:rPr>
                <w:color w:val="auto"/>
                <w:sz w:val="21"/>
                <w:szCs w:val="21"/>
                <w:highlight w:val="none"/>
              </w:rPr>
            </w:pPr>
          </w:p>
        </w:tc>
        <w:tc>
          <w:tcPr>
            <w:tcW w:w="760" w:type="pct"/>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危废仓库</w:t>
            </w:r>
          </w:p>
        </w:tc>
        <w:tc>
          <w:tcPr>
            <w:tcW w:w="1469" w:type="pct"/>
            <w:vAlign w:val="center"/>
          </w:tcPr>
          <w:p>
            <w:pPr>
              <w:spacing w:before="120" w:beforeLines="50"/>
              <w:ind w:left="-60" w:leftChars="-25" w:right="-60" w:rightChars="-25"/>
              <w:jc w:val="center"/>
              <w:rPr>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废弃劳保用品</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废包装袋</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废机油</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废滤芯</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废水处理RO膜</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含铬废液</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废水处理污泥及蒸发废盐等</w:t>
            </w:r>
          </w:p>
        </w:tc>
        <w:tc>
          <w:tcPr>
            <w:tcW w:w="1427" w:type="pct"/>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监控摄像头、巡查制度</w:t>
            </w:r>
          </w:p>
        </w:tc>
        <w:tc>
          <w:tcPr>
            <w:tcW w:w="941" w:type="pct"/>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w:t>
            </w:r>
          </w:p>
        </w:tc>
      </w:tr>
    </w:tbl>
    <w:p>
      <w:pPr>
        <w:keepNext w:val="0"/>
        <w:keepLines w:val="0"/>
        <w:pageBreakBefore w:val="0"/>
        <w:widowControl w:val="0"/>
        <w:kinsoku/>
        <w:wordWrap/>
        <w:overflowPunct/>
        <w:topLinePunct w:val="0"/>
        <w:autoSpaceDE/>
        <w:autoSpaceDN/>
        <w:bidi w:val="0"/>
        <w:adjustRightInd w:val="0"/>
        <w:snapToGrid w:val="0"/>
        <w:spacing w:before="0" w:beforeLines="50" w:line="360" w:lineRule="auto"/>
        <w:ind w:firstLine="480" w:firstLineChars="200"/>
        <w:textAlignment w:val="auto"/>
        <w:rPr>
          <w:rFonts w:hAnsi="宋体"/>
          <w:color w:val="auto"/>
          <w:highlight w:val="none"/>
        </w:rPr>
      </w:pPr>
      <w:r>
        <w:rPr>
          <w:rFonts w:hAnsi="宋体"/>
          <w:color w:val="auto"/>
          <w:highlight w:val="none"/>
        </w:rPr>
        <w:t>公司在</w:t>
      </w:r>
      <w:r>
        <w:rPr>
          <w:rFonts w:hint="eastAsia"/>
          <w:color w:val="auto"/>
          <w:highlight w:val="none"/>
          <w:lang w:val="en-US" w:eastAsia="zh-CN"/>
        </w:rPr>
        <w:t>镀铬生产线</w:t>
      </w:r>
      <w:r>
        <w:rPr>
          <w:rFonts w:hint="eastAsia"/>
          <w:color w:val="auto"/>
          <w:highlight w:val="none"/>
        </w:rPr>
        <w:t>、</w:t>
      </w:r>
      <w:r>
        <w:rPr>
          <w:rFonts w:hint="eastAsia"/>
          <w:color w:val="auto"/>
          <w:highlight w:val="none"/>
          <w:lang w:val="en-US" w:eastAsia="zh-CN"/>
        </w:rPr>
        <w:t>清洗线、</w:t>
      </w:r>
      <w:r>
        <w:rPr>
          <w:rFonts w:hint="eastAsia"/>
          <w:color w:val="auto"/>
          <w:highlight w:val="none"/>
        </w:rPr>
        <w:t>实验室、</w:t>
      </w:r>
      <w:r>
        <w:rPr>
          <w:rFonts w:hint="eastAsia"/>
          <w:color w:val="auto"/>
          <w:highlight w:val="none"/>
          <w:lang w:val="en-US" w:eastAsia="zh-CN"/>
        </w:rPr>
        <w:t>酸性库、碱性库、</w:t>
      </w:r>
      <w:r>
        <w:rPr>
          <w:rFonts w:hint="eastAsia"/>
          <w:color w:val="auto"/>
          <w:highlight w:val="none"/>
        </w:rPr>
        <w:t>污水处理</w:t>
      </w:r>
      <w:r>
        <w:rPr>
          <w:rFonts w:hint="eastAsia"/>
          <w:color w:val="auto"/>
          <w:highlight w:val="none"/>
          <w:lang w:val="en-US" w:eastAsia="zh-CN"/>
        </w:rPr>
        <w:t>设施</w:t>
      </w:r>
      <w:r>
        <w:rPr>
          <w:rFonts w:hint="eastAsia"/>
          <w:color w:val="auto"/>
          <w:highlight w:val="none"/>
        </w:rPr>
        <w:t>及危废仓库</w:t>
      </w:r>
      <w:r>
        <w:rPr>
          <w:rFonts w:hint="eastAsia" w:ascii="Times New Roman" w:hAnsi="宋体" w:eastAsia="宋体" w:cs="Times New Roman"/>
          <w:color w:val="auto"/>
          <w:highlight w:val="none"/>
        </w:rPr>
        <w:t>等重点区域</w:t>
      </w:r>
      <w:r>
        <w:rPr>
          <w:rFonts w:ascii="Times New Roman" w:hAnsi="宋体" w:eastAsia="宋体" w:cs="Times New Roman"/>
          <w:color w:val="auto"/>
          <w:highlight w:val="none"/>
        </w:rPr>
        <w:t>布设监控探头，</w:t>
      </w:r>
      <w:r>
        <w:rPr>
          <w:rFonts w:hint="eastAsia"/>
          <w:color w:val="auto"/>
          <w:highlight w:val="none"/>
          <w:lang w:val="en-US" w:eastAsia="zh-CN"/>
        </w:rPr>
        <w:t>镀铬生产线</w:t>
      </w:r>
      <w:r>
        <w:rPr>
          <w:rFonts w:hint="eastAsia"/>
          <w:color w:val="auto"/>
          <w:highlight w:val="none"/>
        </w:rPr>
        <w:t>、</w:t>
      </w:r>
      <w:r>
        <w:rPr>
          <w:rFonts w:hint="eastAsia"/>
          <w:color w:val="auto"/>
          <w:highlight w:val="none"/>
          <w:lang w:val="en-US" w:eastAsia="zh-CN"/>
        </w:rPr>
        <w:t>清洗线、</w:t>
      </w:r>
      <w:r>
        <w:rPr>
          <w:rFonts w:hint="eastAsia"/>
          <w:color w:val="auto"/>
          <w:highlight w:val="none"/>
        </w:rPr>
        <w:t>实验室</w:t>
      </w:r>
      <w:r>
        <w:rPr>
          <w:rFonts w:ascii="Times New Roman" w:hAnsi="宋体" w:eastAsia="宋体" w:cs="Times New Roman"/>
          <w:color w:val="auto"/>
          <w:highlight w:val="none"/>
        </w:rPr>
        <w:t>摄像画面集中于</w:t>
      </w:r>
      <w:r>
        <w:rPr>
          <w:rFonts w:hint="eastAsia" w:ascii="Times New Roman" w:hAnsi="宋体" w:eastAsia="宋体" w:cs="Times New Roman"/>
          <w:color w:val="auto"/>
          <w:highlight w:val="none"/>
          <w:lang w:val="en-US" w:eastAsia="zh-CN"/>
        </w:rPr>
        <w:t>单独的监控室</w:t>
      </w:r>
      <w:r>
        <w:rPr>
          <w:rFonts w:ascii="Times New Roman" w:hAnsi="宋体" w:eastAsia="宋体" w:cs="Times New Roman"/>
          <w:color w:val="auto"/>
          <w:highlight w:val="none"/>
        </w:rPr>
        <w:t>内</w:t>
      </w:r>
      <w:r>
        <w:rPr>
          <w:rFonts w:hint="eastAsia" w:eastAsia="宋体"/>
          <w:color w:val="auto"/>
          <w:highlight w:val="none"/>
          <w:lang w:eastAsia="zh-CN"/>
        </w:rPr>
        <w:t>；</w:t>
      </w:r>
      <w:r>
        <w:rPr>
          <w:rFonts w:hint="eastAsia"/>
          <w:color w:val="auto"/>
          <w:highlight w:val="none"/>
          <w:lang w:val="en-US" w:eastAsia="zh-CN"/>
        </w:rPr>
        <w:t>酸性库、碱性库、</w:t>
      </w:r>
      <w:r>
        <w:rPr>
          <w:rFonts w:hint="eastAsia"/>
          <w:color w:val="auto"/>
          <w:highlight w:val="none"/>
        </w:rPr>
        <w:t>污水处理</w:t>
      </w:r>
      <w:r>
        <w:rPr>
          <w:rFonts w:hint="eastAsia"/>
          <w:color w:val="auto"/>
          <w:highlight w:val="none"/>
          <w:lang w:val="en-US" w:eastAsia="zh-CN"/>
        </w:rPr>
        <w:t>设施</w:t>
      </w:r>
      <w:r>
        <w:rPr>
          <w:rFonts w:hint="eastAsia"/>
          <w:color w:val="auto"/>
          <w:highlight w:val="none"/>
        </w:rPr>
        <w:t>及危废仓库</w:t>
      </w:r>
      <w:r>
        <w:rPr>
          <w:rFonts w:hint="eastAsia" w:ascii="Times New Roman" w:hAnsi="宋体" w:eastAsia="宋体" w:cs="Times New Roman"/>
          <w:color w:val="auto"/>
          <w:highlight w:val="none"/>
        </w:rPr>
        <w:t>等</w:t>
      </w:r>
      <w:r>
        <w:rPr>
          <w:rFonts w:ascii="Times New Roman" w:hAnsi="宋体" w:eastAsia="宋体" w:cs="Times New Roman"/>
          <w:color w:val="auto"/>
          <w:highlight w:val="none"/>
        </w:rPr>
        <w:t>摄像画面集中于</w:t>
      </w:r>
      <w:r>
        <w:rPr>
          <w:rFonts w:hint="eastAsia" w:ascii="Times New Roman" w:hAnsi="宋体" w:eastAsia="宋体" w:cs="Times New Roman"/>
          <w:color w:val="auto"/>
          <w:highlight w:val="none"/>
          <w:lang w:val="en-US" w:eastAsia="zh-CN"/>
        </w:rPr>
        <w:t>门卫保安</w:t>
      </w:r>
      <w:r>
        <w:rPr>
          <w:rFonts w:hint="eastAsia" w:ascii="Times New Roman" w:hAnsi="宋体" w:eastAsia="宋体" w:cs="Times New Roman"/>
          <w:color w:val="auto"/>
          <w:highlight w:val="none"/>
        </w:rPr>
        <w:t>室</w:t>
      </w:r>
      <w:r>
        <w:rPr>
          <w:rFonts w:ascii="Times New Roman" w:hAnsi="宋体" w:eastAsia="宋体" w:cs="Times New Roman"/>
          <w:color w:val="auto"/>
          <w:highlight w:val="none"/>
        </w:rPr>
        <w:t>内</w:t>
      </w:r>
      <w:r>
        <w:rPr>
          <w:rFonts w:hint="eastAsia" w:ascii="Times New Roman" w:hAnsi="宋体" w:eastAsia="宋体" w:cs="Times New Roman"/>
          <w:color w:val="auto"/>
          <w:highlight w:val="none"/>
          <w:lang w:eastAsia="zh-CN"/>
        </w:rPr>
        <w:t>；</w:t>
      </w:r>
      <w:r>
        <w:rPr>
          <w:rFonts w:hint="eastAsia" w:ascii="Times New Roman" w:hAnsi="宋体" w:eastAsia="宋体" w:cs="Times New Roman"/>
          <w:color w:val="auto"/>
          <w:highlight w:val="none"/>
          <w:lang w:val="en-US" w:eastAsia="zh-CN"/>
        </w:rPr>
        <w:t>均有员工监管，</w:t>
      </w:r>
      <w:r>
        <w:rPr>
          <w:rFonts w:ascii="Times New Roman" w:hAnsi="宋体" w:eastAsia="宋体" w:cs="Times New Roman"/>
          <w:color w:val="auto"/>
          <w:highlight w:val="none"/>
        </w:rPr>
        <w:t>一旦出现异常时，控制中心可立刻采取相应措施。另外安排人员每天全厂定时巡检，及时发现和找出问题。在</w:t>
      </w:r>
      <w:r>
        <w:rPr>
          <w:rFonts w:hint="eastAsia" w:ascii="Times New Roman" w:hAnsi="宋体" w:eastAsia="宋体" w:cs="Times New Roman"/>
          <w:color w:val="auto"/>
          <w:highlight w:val="none"/>
          <w:lang w:val="en-US" w:eastAsia="zh-CN"/>
        </w:rPr>
        <w:t>生产线、酸性库</w:t>
      </w:r>
      <w:r>
        <w:rPr>
          <w:rFonts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危废仓库</w:t>
      </w:r>
      <w:r>
        <w:rPr>
          <w:rFonts w:ascii="Times New Roman" w:hAnsi="宋体" w:eastAsia="宋体" w:cs="Times New Roman"/>
          <w:color w:val="auto"/>
          <w:highlight w:val="none"/>
        </w:rPr>
        <w:t>内设置火灾报警及消防联动系统，用于对厂内重点场所的火灾情况进行监控。</w:t>
      </w:r>
    </w:p>
    <w:p>
      <w:pPr>
        <w:pStyle w:val="6"/>
        <w:spacing w:before="120" w:beforeLines="50"/>
        <w:rPr>
          <w:color w:val="auto"/>
          <w:highlight w:val="none"/>
        </w:rPr>
      </w:pPr>
      <w:r>
        <w:rPr>
          <w:color w:val="auto"/>
          <w:highlight w:val="none"/>
        </w:rPr>
        <w:t>3.1.2</w:t>
      </w:r>
      <w:r>
        <w:rPr>
          <w:rFonts w:hint="eastAsia"/>
          <w:color w:val="auto"/>
          <w:highlight w:val="none"/>
        </w:rPr>
        <w:t xml:space="preserve"> </w:t>
      </w:r>
      <w:r>
        <w:rPr>
          <w:color w:val="auto"/>
          <w:highlight w:val="none"/>
        </w:rPr>
        <w:t>强化风险意识、增强管理</w:t>
      </w:r>
    </w:p>
    <w:p>
      <w:pPr>
        <w:adjustRightInd w:val="0"/>
        <w:snapToGrid w:val="0"/>
        <w:spacing w:line="360" w:lineRule="auto"/>
        <w:ind w:firstLine="480" w:firstLineChars="200"/>
        <w:rPr>
          <w:color w:val="auto"/>
          <w:highlight w:val="none"/>
        </w:rPr>
      </w:pPr>
      <w:r>
        <w:rPr>
          <w:rFonts w:hint="eastAsia"/>
          <w:color w:val="auto"/>
          <w:highlight w:val="none"/>
        </w:rPr>
        <w:t>1、</w:t>
      </w:r>
      <w:r>
        <w:rPr>
          <w:color w:val="auto"/>
          <w:highlight w:val="none"/>
        </w:rPr>
        <w:t>风险事故的发生存在泄漏、火灾、违规操作、仪表失灵等原因。因此在平时作业中企业需加强对员工的培训和管理，减少因人为失误而带来的突发环境污染事故发生概率，例如：</w:t>
      </w:r>
    </w:p>
    <w:p>
      <w:pPr>
        <w:pStyle w:val="8"/>
        <w:adjustRightInd w:val="0"/>
        <w:snapToGrid w:val="0"/>
        <w:spacing w:line="360" w:lineRule="auto"/>
        <w:ind w:firstLine="480"/>
        <w:rPr>
          <w:color w:val="auto"/>
          <w:highlight w:val="none"/>
        </w:rPr>
      </w:pPr>
      <w:r>
        <w:rPr>
          <w:color w:val="auto"/>
          <w:highlight w:val="none"/>
        </w:rPr>
        <w:t>（1）制定各级生产责任制、各项管理制度、工艺操作规程、技术规程和各种设备维修保养和设备管理制度，加强生产现场管理，狠抓劳动纪律，同时经常对职工进行思想教育、工艺操作、设备操作训练，使职工能熟练掌握所在岗位和所在环境中的各个要素，了解一些常见的扑火的自救能力，互相救助的一些常识。</w:t>
      </w:r>
    </w:p>
    <w:p>
      <w:pPr>
        <w:pStyle w:val="8"/>
        <w:snapToGrid w:val="0"/>
        <w:spacing w:line="360" w:lineRule="auto"/>
        <w:ind w:firstLine="480"/>
        <w:rPr>
          <w:color w:val="auto"/>
          <w:highlight w:val="none"/>
        </w:rPr>
      </w:pPr>
      <w:r>
        <w:rPr>
          <w:color w:val="auto"/>
          <w:highlight w:val="none"/>
        </w:rPr>
        <w:t>（2）加强</w:t>
      </w:r>
      <w:r>
        <w:rPr>
          <w:rFonts w:hint="eastAsia"/>
          <w:color w:val="auto"/>
          <w:highlight w:val="none"/>
          <w:lang w:val="en-US" w:eastAsia="zh-CN"/>
        </w:rPr>
        <w:t>巡逻</w:t>
      </w:r>
      <w:r>
        <w:rPr>
          <w:color w:val="auto"/>
          <w:highlight w:val="none"/>
        </w:rPr>
        <w:t>检查，全厂检查每月至少一次，车间每星期一次，每日管理人员和岗位工人坚持巡回检查，发现事故隐患及时整改。加强技术教育培训，不断提高每个职工的业务水平和技术素质，提高对突发事故的处理能力，厂内定期组织</w:t>
      </w:r>
      <w:r>
        <w:rPr>
          <w:rFonts w:hint="eastAsia"/>
          <w:color w:val="auto"/>
          <w:highlight w:val="none"/>
          <w:lang w:val="en-US" w:eastAsia="zh-CN"/>
        </w:rPr>
        <w:t>应急演练</w:t>
      </w:r>
      <w:r>
        <w:rPr>
          <w:color w:val="auto"/>
          <w:highlight w:val="none"/>
        </w:rPr>
        <w:t>活动。</w:t>
      </w:r>
    </w:p>
    <w:p>
      <w:pPr>
        <w:pStyle w:val="8"/>
        <w:adjustRightInd w:val="0"/>
        <w:snapToGrid w:val="0"/>
        <w:spacing w:line="360" w:lineRule="auto"/>
        <w:ind w:firstLine="480"/>
        <w:rPr>
          <w:color w:val="auto"/>
          <w:highlight w:val="none"/>
        </w:rPr>
      </w:pPr>
      <w:r>
        <w:rPr>
          <w:color w:val="auto"/>
          <w:highlight w:val="none"/>
        </w:rPr>
        <w:t>（3）对不同原料按储存要求进行隔离或离开存放，有专人保管，配备消防器材等。。</w:t>
      </w:r>
    </w:p>
    <w:p>
      <w:pPr>
        <w:pStyle w:val="8"/>
        <w:adjustRightInd w:val="0"/>
        <w:snapToGrid w:val="0"/>
        <w:spacing w:line="360" w:lineRule="auto"/>
        <w:ind w:firstLine="480"/>
        <w:rPr>
          <w:color w:val="auto"/>
          <w:highlight w:val="none"/>
        </w:rPr>
      </w:pPr>
      <w:r>
        <w:rPr>
          <w:color w:val="auto"/>
          <w:highlight w:val="none"/>
        </w:rPr>
        <w:t>（4）加强对职工的劳动保护用品的使用和发放，为职工配备所需用的防护用品和急救用品，如手套、防护服等。</w:t>
      </w:r>
    </w:p>
    <w:p>
      <w:pPr>
        <w:pStyle w:val="8"/>
        <w:adjustRightInd w:val="0"/>
        <w:snapToGrid w:val="0"/>
        <w:spacing w:line="360" w:lineRule="auto"/>
        <w:ind w:firstLine="480"/>
        <w:rPr>
          <w:color w:val="auto"/>
          <w:highlight w:val="none"/>
        </w:rPr>
      </w:pPr>
      <w:r>
        <w:rPr>
          <w:color w:val="auto"/>
          <w:highlight w:val="none"/>
        </w:rPr>
        <w:t>（5）加强监测，杜绝意外泄漏事故造成的危害。</w:t>
      </w:r>
    </w:p>
    <w:p>
      <w:pPr>
        <w:pStyle w:val="8"/>
        <w:adjustRightInd w:val="0"/>
        <w:snapToGrid w:val="0"/>
        <w:spacing w:line="360" w:lineRule="auto"/>
        <w:ind w:firstLine="480"/>
        <w:rPr>
          <w:color w:val="auto"/>
          <w:highlight w:val="none"/>
        </w:rPr>
      </w:pPr>
      <w:r>
        <w:rPr>
          <w:color w:val="auto"/>
          <w:highlight w:val="none"/>
        </w:rPr>
        <w:t>（6）采用密封性能良好的阀门、泵等设备和配件，在防爆区域内使用的电气设备，均需采用相应的防爆等级的防爆产品。物料输送管均需设有防静电装置。</w:t>
      </w:r>
    </w:p>
    <w:p>
      <w:pPr>
        <w:pStyle w:val="37"/>
        <w:tabs>
          <w:tab w:val="left" w:pos="1850"/>
        </w:tabs>
        <w:adjustRightInd w:val="0"/>
        <w:snapToGrid w:val="0"/>
        <w:spacing w:line="360" w:lineRule="auto"/>
        <w:ind w:left="0" w:firstLine="480"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2、企业还需加强对生产设备及管网的管理和维修，具体如下：</w:t>
      </w:r>
    </w:p>
    <w:p>
      <w:pPr>
        <w:pStyle w:val="37"/>
        <w:tabs>
          <w:tab w:val="left" w:pos="1850"/>
        </w:tabs>
        <w:adjustRightInd w:val="0"/>
        <w:snapToGrid w:val="0"/>
        <w:spacing w:line="360" w:lineRule="auto"/>
        <w:ind w:left="0" w:firstLine="468"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spacing w:val="-3"/>
          <w:highlight w:val="none"/>
        </w:rPr>
        <w:t>（1）成立设备维护管理机构，建立设备检修制度。</w:t>
      </w:r>
    </w:p>
    <w:p>
      <w:pPr>
        <w:pStyle w:val="37"/>
        <w:tabs>
          <w:tab w:val="left" w:pos="1856"/>
        </w:tabs>
        <w:adjustRightInd w:val="0"/>
        <w:snapToGrid w:val="0"/>
        <w:spacing w:line="360" w:lineRule="auto"/>
        <w:ind w:left="0" w:firstLine="476" w:firstLineChars="200"/>
        <w:jc w:val="left"/>
        <w:rPr>
          <w:rFonts w:ascii="Times New Roman" w:hAnsi="Times New Roman" w:eastAsia="宋体" w:cs="Times New Roman"/>
          <w:color w:val="auto"/>
          <w:highlight w:val="none"/>
        </w:rPr>
      </w:pPr>
      <w:r>
        <w:rPr>
          <w:rFonts w:ascii="Times New Roman" w:hAnsi="Times New Roman" w:eastAsia="宋体" w:cs="Times New Roman"/>
          <w:color w:val="auto"/>
          <w:spacing w:val="-1"/>
          <w:highlight w:val="none"/>
        </w:rPr>
        <w:t>（2）制定《</w:t>
      </w:r>
      <w:r>
        <w:rPr>
          <w:rFonts w:hint="eastAsia" w:ascii="Times New Roman" w:hAnsi="Times New Roman" w:eastAsia="宋体" w:cs="Times New Roman"/>
          <w:color w:val="auto"/>
          <w:spacing w:val="-1"/>
          <w:highlight w:val="none"/>
          <w:lang w:val="en-US" w:eastAsia="zh-CN"/>
        </w:rPr>
        <w:t>生产设备</w:t>
      </w:r>
      <w:r>
        <w:rPr>
          <w:rFonts w:ascii="Times New Roman" w:hAnsi="Times New Roman" w:eastAsia="宋体" w:cs="Times New Roman"/>
          <w:color w:val="auto"/>
          <w:spacing w:val="-1"/>
          <w:highlight w:val="none"/>
        </w:rPr>
        <w:t>检修安装制度》，并严格遵照执行，定期进行全厂</w:t>
      </w:r>
      <w:r>
        <w:rPr>
          <w:rFonts w:ascii="Times New Roman" w:hAnsi="Times New Roman" w:eastAsia="宋体" w:cs="Times New Roman"/>
          <w:color w:val="auto"/>
          <w:spacing w:val="-3"/>
          <w:highlight w:val="none"/>
        </w:rPr>
        <w:t>设备检修，并做详细记录，特别是环境风险物质的包装、存储设备。</w:t>
      </w:r>
    </w:p>
    <w:p>
      <w:pPr>
        <w:pStyle w:val="37"/>
        <w:tabs>
          <w:tab w:val="left" w:pos="1850"/>
        </w:tabs>
        <w:adjustRightInd w:val="0"/>
        <w:snapToGrid w:val="0"/>
        <w:spacing w:line="360" w:lineRule="auto"/>
        <w:ind w:left="0" w:firstLine="468" w:firstLineChars="200"/>
        <w:jc w:val="left"/>
        <w:rPr>
          <w:rFonts w:ascii="Times New Roman" w:hAnsi="Times New Roman" w:eastAsia="宋体" w:cs="Times New Roman"/>
          <w:color w:val="auto"/>
          <w:spacing w:val="-3"/>
          <w:highlight w:val="none"/>
        </w:rPr>
      </w:pPr>
      <w:r>
        <w:rPr>
          <w:rFonts w:ascii="Times New Roman" w:hAnsi="Times New Roman" w:eastAsia="宋体" w:cs="Times New Roman"/>
          <w:color w:val="auto"/>
          <w:spacing w:val="-3"/>
          <w:highlight w:val="none"/>
        </w:rPr>
        <w:t>（3）</w:t>
      </w:r>
      <w:r>
        <w:rPr>
          <w:rFonts w:hint="eastAsia" w:ascii="Times New Roman" w:hAnsi="Times New Roman" w:eastAsia="宋体" w:cs="Times New Roman"/>
          <w:color w:val="auto"/>
          <w:spacing w:val="-3"/>
          <w:highlight w:val="none"/>
        </w:rPr>
        <w:t>定期检修厂内雨污水管网</w:t>
      </w:r>
      <w:r>
        <w:rPr>
          <w:rFonts w:ascii="Times New Roman" w:hAnsi="Times New Roman" w:eastAsia="宋体" w:cs="Times New Roman"/>
          <w:color w:val="auto"/>
          <w:spacing w:val="-3"/>
          <w:highlight w:val="none"/>
        </w:rPr>
        <w:t>，保证管网通畅无淤阻。</w:t>
      </w:r>
    </w:p>
    <w:p>
      <w:pPr>
        <w:pStyle w:val="8"/>
        <w:adjustRightInd w:val="0"/>
        <w:snapToGrid w:val="0"/>
        <w:spacing w:line="360" w:lineRule="auto"/>
        <w:ind w:firstLine="468"/>
        <w:rPr>
          <w:color w:val="auto"/>
          <w:highlight w:val="none"/>
        </w:rPr>
      </w:pPr>
      <w:r>
        <w:rPr>
          <w:color w:val="auto"/>
          <w:spacing w:val="-3"/>
          <w:highlight w:val="none"/>
        </w:rPr>
        <w:t>（4）定期更换老化设备，对于老化设备及时修补以及替换。</w:t>
      </w:r>
    </w:p>
    <w:p>
      <w:pPr>
        <w:pStyle w:val="6"/>
        <w:rPr>
          <w:color w:val="auto"/>
          <w:highlight w:val="none"/>
        </w:rPr>
      </w:pPr>
      <w:bookmarkStart w:id="78" w:name="_Toc28103251"/>
      <w:r>
        <w:rPr>
          <w:color w:val="auto"/>
          <w:highlight w:val="none"/>
        </w:rPr>
        <w:t>3.1.3 工艺操作和设备管理风险防范措施</w:t>
      </w:r>
      <w:bookmarkEnd w:id="78"/>
    </w:p>
    <w:p>
      <w:pPr>
        <w:widowControl/>
        <w:autoSpaceDE w:val="0"/>
        <w:autoSpaceDN w:val="0"/>
        <w:adjustRightInd w:val="0"/>
        <w:snapToGrid w:val="0"/>
        <w:spacing w:line="360" w:lineRule="auto"/>
        <w:ind w:firstLine="480" w:firstLineChars="200"/>
        <w:jc w:val="left"/>
        <w:rPr>
          <w:color w:val="auto"/>
          <w:highlight w:val="none"/>
        </w:rPr>
      </w:pPr>
      <w:r>
        <w:rPr>
          <w:color w:val="auto"/>
          <w:highlight w:val="none"/>
        </w:rPr>
        <w:t>（1）完善并严格执行工艺规程和安全操作规程，严禁违反工艺纪律、操作规程。</w:t>
      </w:r>
    </w:p>
    <w:p>
      <w:pPr>
        <w:adjustRightInd w:val="0"/>
        <w:snapToGrid w:val="0"/>
        <w:spacing w:line="360" w:lineRule="auto"/>
        <w:ind w:firstLine="480" w:firstLineChars="200"/>
        <w:rPr>
          <w:color w:val="auto"/>
          <w:highlight w:val="none"/>
        </w:rPr>
      </w:pPr>
      <w:r>
        <w:rPr>
          <w:color w:val="auto"/>
          <w:highlight w:val="none"/>
        </w:rPr>
        <w:t>（2）生产过程中应控制进料速度，严格按规程要求操作，防止物料泄漏。穿戴好相应的防护用品。</w:t>
      </w:r>
    </w:p>
    <w:p>
      <w:pPr>
        <w:widowControl/>
        <w:autoSpaceDE w:val="0"/>
        <w:autoSpaceDN w:val="0"/>
        <w:adjustRightInd w:val="0"/>
        <w:snapToGrid w:val="0"/>
        <w:spacing w:line="360" w:lineRule="auto"/>
        <w:ind w:firstLine="480" w:firstLineChars="200"/>
        <w:jc w:val="left"/>
        <w:rPr>
          <w:color w:val="auto"/>
          <w:highlight w:val="none"/>
        </w:rPr>
      </w:pPr>
      <w:r>
        <w:rPr>
          <w:color w:val="auto"/>
          <w:highlight w:val="none"/>
        </w:rPr>
        <w:t>（3）输送物料的设备、管线、阀门等其材质应与物料配装，密闭性能应保持完好，应定期检查检测以防止出现管道输送过程中的泄漏。</w:t>
      </w:r>
    </w:p>
    <w:p>
      <w:pPr>
        <w:adjustRightInd w:val="0"/>
        <w:snapToGrid w:val="0"/>
        <w:spacing w:line="360" w:lineRule="auto"/>
        <w:ind w:firstLine="480" w:firstLineChars="200"/>
        <w:rPr>
          <w:color w:val="auto"/>
          <w:highlight w:val="none"/>
        </w:rPr>
      </w:pPr>
      <w:r>
        <w:rPr>
          <w:color w:val="auto"/>
          <w:highlight w:val="none"/>
        </w:rPr>
        <w:t>（4）工艺装置中，泵等设备传动部位的安全防护装置和紧急停车安全装置应保持完好。</w:t>
      </w:r>
    </w:p>
    <w:p>
      <w:pPr>
        <w:adjustRightInd w:val="0"/>
        <w:snapToGrid w:val="0"/>
        <w:spacing w:line="360" w:lineRule="auto"/>
        <w:ind w:firstLine="480" w:firstLineChars="200"/>
        <w:rPr>
          <w:color w:val="auto"/>
          <w:highlight w:val="none"/>
        </w:rPr>
      </w:pPr>
      <w:r>
        <w:rPr>
          <w:color w:val="auto"/>
          <w:highlight w:val="none"/>
        </w:rPr>
        <w:t>（5）安排员工</w:t>
      </w:r>
      <w:r>
        <w:rPr>
          <w:rFonts w:hint="eastAsia"/>
          <w:color w:val="auto"/>
          <w:highlight w:val="none"/>
          <w:lang w:eastAsia="zh-CN"/>
        </w:rPr>
        <w:t>按计划</w:t>
      </w:r>
      <w:r>
        <w:rPr>
          <w:color w:val="auto"/>
          <w:highlight w:val="none"/>
        </w:rPr>
        <w:t>巡查，确保及时发现</w:t>
      </w:r>
      <w:r>
        <w:rPr>
          <w:rFonts w:hint="eastAsia"/>
          <w:color w:val="auto"/>
          <w:highlight w:val="none"/>
          <w:lang w:eastAsia="zh-CN"/>
        </w:rPr>
        <w:t>隐患</w:t>
      </w:r>
      <w:r>
        <w:rPr>
          <w:color w:val="auto"/>
          <w:highlight w:val="none"/>
        </w:rPr>
        <w:t>。</w:t>
      </w:r>
    </w:p>
    <w:p>
      <w:pPr>
        <w:pStyle w:val="6"/>
        <w:rPr>
          <w:color w:val="auto"/>
          <w:highlight w:val="none"/>
        </w:rPr>
      </w:pPr>
      <w:bookmarkStart w:id="79" w:name="_Toc28103252"/>
      <w:r>
        <w:rPr>
          <w:color w:val="auto"/>
          <w:highlight w:val="none"/>
        </w:rPr>
        <w:t>3.1.4 储存场所的风险防范措施</w:t>
      </w:r>
      <w:bookmarkEnd w:id="79"/>
    </w:p>
    <w:p>
      <w:pPr>
        <w:widowControl/>
        <w:snapToGrid w:val="0"/>
        <w:spacing w:line="360" w:lineRule="auto"/>
        <w:ind w:firstLine="600" w:firstLineChars="250"/>
        <w:jc w:val="left"/>
        <w:rPr>
          <w:color w:val="auto"/>
          <w:highlight w:val="none"/>
        </w:rPr>
      </w:pPr>
      <w:r>
        <w:rPr>
          <w:rFonts w:hint="eastAsia"/>
          <w:color w:val="auto"/>
          <w:highlight w:val="none"/>
          <w:lang w:val="en-US" w:eastAsia="zh-CN"/>
        </w:rPr>
        <w:t>公司</w:t>
      </w:r>
      <w:r>
        <w:rPr>
          <w:color w:val="auto"/>
          <w:highlight w:val="none"/>
        </w:rPr>
        <w:t>储存区物料主要为各类原料及其辅料，在储存过程中企业需严格遵从储存条件(保持通风、防潮)，并与其相应的禁忌物(易燃易爆、强氧化剂等)分开。</w:t>
      </w:r>
    </w:p>
    <w:p>
      <w:pPr>
        <w:widowControl/>
        <w:snapToGrid w:val="0"/>
        <w:spacing w:line="360" w:lineRule="auto"/>
        <w:ind w:firstLine="600" w:firstLineChars="250"/>
        <w:jc w:val="left"/>
        <w:rPr>
          <w:rFonts w:hint="default" w:eastAsia="宋体"/>
          <w:color w:val="auto"/>
          <w:highlight w:val="none"/>
          <w:lang w:val="en-US" w:eastAsia="zh-CN"/>
        </w:rPr>
      </w:pPr>
      <w:r>
        <w:rPr>
          <w:rFonts w:hint="eastAsia"/>
          <w:color w:val="auto"/>
          <w:szCs w:val="28"/>
          <w:highlight w:val="none"/>
          <w:lang w:val="en-US" w:eastAsia="zh-CN"/>
        </w:rPr>
        <w:t>酸性库</w:t>
      </w:r>
      <w:r>
        <w:rPr>
          <w:color w:val="auto"/>
          <w:szCs w:val="28"/>
          <w:highlight w:val="none"/>
        </w:rPr>
        <w:t>存放有</w:t>
      </w:r>
      <w:r>
        <w:rPr>
          <w:rFonts w:hint="eastAsia"/>
          <w:color w:val="auto"/>
          <w:szCs w:val="28"/>
          <w:highlight w:val="none"/>
          <w:lang w:val="en-US" w:eastAsia="zh-CN"/>
        </w:rPr>
        <w:t>镀铬起镀液、</w:t>
      </w:r>
      <w:r>
        <w:rPr>
          <w:rFonts w:hint="eastAsia"/>
          <w:color w:val="auto"/>
          <w:szCs w:val="28"/>
          <w:highlight w:val="none"/>
        </w:rPr>
        <w:t>硫酸、盐酸</w:t>
      </w:r>
      <w:r>
        <w:rPr>
          <w:rFonts w:hint="eastAsia"/>
          <w:color w:val="auto"/>
          <w:szCs w:val="28"/>
          <w:highlight w:val="none"/>
          <w:lang w:eastAsia="zh-CN"/>
        </w:rPr>
        <w:t>、</w:t>
      </w:r>
      <w:r>
        <w:rPr>
          <w:rFonts w:hint="eastAsia"/>
          <w:color w:val="auto"/>
          <w:szCs w:val="28"/>
          <w:highlight w:val="none"/>
          <w:lang w:val="en-US" w:eastAsia="zh-CN"/>
        </w:rPr>
        <w:t>脱脂剂（喷淋清洗剂）</w:t>
      </w:r>
      <w:r>
        <w:rPr>
          <w:color w:val="auto"/>
          <w:szCs w:val="28"/>
          <w:highlight w:val="none"/>
        </w:rPr>
        <w:t>；</w:t>
      </w:r>
      <w:r>
        <w:rPr>
          <w:rFonts w:hint="eastAsia"/>
          <w:color w:val="auto"/>
          <w:szCs w:val="28"/>
          <w:highlight w:val="none"/>
          <w:lang w:val="en-US" w:eastAsia="zh-CN"/>
        </w:rPr>
        <w:t>碱性库存放氢氧化钠，为</w:t>
      </w:r>
      <w:r>
        <w:rPr>
          <w:color w:val="auto"/>
          <w:highlight w:val="none"/>
        </w:rPr>
        <w:t>腐蚀性物质</w:t>
      </w:r>
      <w:r>
        <w:rPr>
          <w:color w:val="auto"/>
          <w:szCs w:val="28"/>
          <w:highlight w:val="none"/>
        </w:rPr>
        <w:t>。实验室内储存有少量硫酸、盐酸</w:t>
      </w:r>
      <w:r>
        <w:rPr>
          <w:color w:val="auto"/>
          <w:highlight w:val="none"/>
        </w:rPr>
        <w:t>，均为腐蚀性物质。</w:t>
      </w:r>
      <w:r>
        <w:rPr>
          <w:rFonts w:hint="eastAsia"/>
          <w:color w:val="auto"/>
          <w:highlight w:val="none"/>
          <w:lang w:val="en-US" w:eastAsia="zh-CN"/>
        </w:rPr>
        <w:t>危废仓库存放废弃劳保用品、废包装袋、废机油、废滤芯、废水处理RO膜、含铬废液、废水处理污泥及蒸发废盐等危险废物。原料仓库主要存放需要代加工的部件（主要是铁件）；成品库主要存放镀铬加工好的成品。</w:t>
      </w:r>
    </w:p>
    <w:p>
      <w:pPr>
        <w:snapToGrid w:val="0"/>
        <w:spacing w:line="360" w:lineRule="auto"/>
        <w:rPr>
          <w:color w:val="auto"/>
          <w:highlight w:val="none"/>
        </w:rPr>
      </w:pPr>
      <w:r>
        <w:rPr>
          <w:color w:val="auto"/>
          <w:highlight w:val="none"/>
        </w:rPr>
        <w:t xml:space="preserve">    （1）在储存过程中企业需严格遵从储存条件(保持通风、防潮)，并与其相应的禁忌物分开。各危险品储存场所应有明显的标志，标志应符合相关国家标准的规定。符合条件的散装危险货物必须张贴警示标志，标志也必须遵守一定的要求，如：标志必须按一定的尺寸要求；标志上必须提供正确的化学品名称、主要危害以及相应的泄漏应急措施等信息。严禁携带易燃、易爆物品进入危险化学品储存场所。</w:t>
      </w:r>
    </w:p>
    <w:p>
      <w:pPr>
        <w:adjustRightInd w:val="0"/>
        <w:snapToGrid w:val="0"/>
        <w:spacing w:line="360" w:lineRule="auto"/>
        <w:ind w:firstLine="480" w:firstLineChars="200"/>
        <w:rPr>
          <w:color w:val="auto"/>
          <w:highlight w:val="none"/>
        </w:rPr>
      </w:pPr>
      <w:r>
        <w:rPr>
          <w:color w:val="auto"/>
          <w:highlight w:val="none"/>
        </w:rPr>
        <w:t>（2）危险化学品储存场所工作人员应进行培训，经考核合格后持证上岗。对</w:t>
      </w:r>
      <w:r>
        <w:rPr>
          <w:rFonts w:hint="eastAsia"/>
          <w:color w:val="auto"/>
          <w:highlight w:val="none"/>
        </w:rPr>
        <w:t>原料仓</w:t>
      </w:r>
      <w:r>
        <w:rPr>
          <w:color w:val="auto"/>
          <w:highlight w:val="none"/>
        </w:rPr>
        <w:t>库的装卸人员进行必要的教育，使其按照有关规定进行操作。</w:t>
      </w:r>
      <w:r>
        <w:rPr>
          <w:rFonts w:hint="eastAsia"/>
          <w:color w:val="auto"/>
          <w:highlight w:val="none"/>
        </w:rPr>
        <w:t>原料仓</w:t>
      </w:r>
      <w:r>
        <w:rPr>
          <w:color w:val="auto"/>
          <w:highlight w:val="none"/>
        </w:rPr>
        <w:t>库的工作人员除了具有一般消防知识之外，还应进行在</w:t>
      </w:r>
      <w:r>
        <w:rPr>
          <w:rFonts w:hint="eastAsia"/>
          <w:color w:val="auto"/>
          <w:highlight w:val="none"/>
        </w:rPr>
        <w:t>原料仓</w:t>
      </w:r>
      <w:r>
        <w:rPr>
          <w:color w:val="auto"/>
          <w:highlight w:val="none"/>
        </w:rPr>
        <w:t>库工作的专门培训，熟悉储存的物料种类、特性、储存地点事故的处理顺序及方法。</w:t>
      </w:r>
    </w:p>
    <w:p>
      <w:pPr>
        <w:spacing w:line="360" w:lineRule="auto"/>
        <w:ind w:firstLine="480" w:firstLineChars="200"/>
        <w:rPr>
          <w:color w:val="auto"/>
          <w:highlight w:val="none"/>
        </w:rPr>
      </w:pPr>
      <w:r>
        <w:rPr>
          <w:color w:val="auto"/>
          <w:highlight w:val="none"/>
        </w:rPr>
        <w:t>（3）危险化学品储存场所只允许仓管人员能够出入，严禁其他人员在未经仓库管理员同意的情况下进入仓库内。</w:t>
      </w:r>
    </w:p>
    <w:p>
      <w:pPr>
        <w:spacing w:line="360" w:lineRule="auto"/>
        <w:ind w:firstLine="480" w:firstLineChars="200"/>
        <w:rPr>
          <w:color w:val="auto"/>
          <w:highlight w:val="none"/>
        </w:rPr>
      </w:pPr>
      <w:r>
        <w:rPr>
          <w:color w:val="auto"/>
          <w:highlight w:val="none"/>
        </w:rPr>
        <w:t>（4）化学品入库时，应严格检验其质量、数量、包装情况、有无泄漏、有无中文SDS等化学品出厂资料。入库后应采取适当的养护措施，在储存期内，定期检查，发现其品质变化，包装破损、泄漏等，应及时处理。库房温度、湿度应严格控制，经常检查，发现变化及时调整。</w:t>
      </w:r>
    </w:p>
    <w:p>
      <w:pPr>
        <w:spacing w:line="360" w:lineRule="auto"/>
        <w:ind w:firstLine="480" w:firstLineChars="200"/>
        <w:rPr>
          <w:color w:val="auto"/>
          <w:highlight w:val="none"/>
        </w:rPr>
      </w:pPr>
      <w:r>
        <w:rPr>
          <w:color w:val="auto"/>
          <w:highlight w:val="none"/>
        </w:rPr>
        <w:t>（5）装卸对人身有毒害及腐蚀性的物品时，操作人员应根据危险性，穿戴相应的防护用品。</w:t>
      </w:r>
    </w:p>
    <w:p>
      <w:pPr>
        <w:spacing w:line="360" w:lineRule="auto"/>
        <w:ind w:left="240" w:leftChars="100" w:firstLine="240" w:firstLineChars="100"/>
        <w:rPr>
          <w:color w:val="auto"/>
          <w:highlight w:val="none"/>
        </w:rPr>
      </w:pPr>
      <w:r>
        <w:rPr>
          <w:color w:val="auto"/>
          <w:highlight w:val="none"/>
        </w:rPr>
        <w:t>（6）危险化学品装卸前后，必须对车辆和仓库进行必要的通风、清扫干净，装卸作业使用的工具必须能防止产生火花，必须有各种防护装置。装卸、搬运化学危险品时应按有关规定进行，做到轻装、轻卸。严禁摔、碰、撞、击、拖拉、倾倒和滚动。</w:t>
      </w:r>
    </w:p>
    <w:p>
      <w:pPr>
        <w:spacing w:line="360" w:lineRule="auto"/>
        <w:ind w:firstLine="480" w:firstLineChars="200"/>
        <w:rPr>
          <w:color w:val="auto"/>
          <w:highlight w:val="none"/>
        </w:rPr>
      </w:pPr>
      <w:r>
        <w:rPr>
          <w:color w:val="auto"/>
          <w:highlight w:val="none"/>
        </w:rPr>
        <w:t>（7）废弃物处理。禁止在化学品库贮存区域内堆积可燃废弃物品。泄漏和渗漏化学品的包装容器应迅速移至安全区域。按化学品特征性，用化学的或物理的方法处理废弃物品，不得任意抛弃、污染环境。</w:t>
      </w:r>
    </w:p>
    <w:p>
      <w:pPr>
        <w:pStyle w:val="6"/>
        <w:rPr>
          <w:color w:val="auto"/>
          <w:highlight w:val="none"/>
        </w:rPr>
      </w:pPr>
      <w:bookmarkStart w:id="80" w:name="_Toc28103253"/>
      <w:r>
        <w:rPr>
          <w:color w:val="auto"/>
          <w:highlight w:val="none"/>
        </w:rPr>
        <w:t>3.1.5 加强对三废处理设施的管理措施</w:t>
      </w:r>
      <w:bookmarkEnd w:id="80"/>
    </w:p>
    <w:p>
      <w:pPr>
        <w:adjustRightInd w:val="0"/>
        <w:snapToGrid w:val="0"/>
        <w:spacing w:line="360" w:lineRule="auto"/>
        <w:ind w:firstLine="480" w:firstLineChars="200"/>
        <w:rPr>
          <w:color w:val="auto"/>
          <w:highlight w:val="none"/>
        </w:rPr>
      </w:pPr>
      <w:r>
        <w:rPr>
          <w:color w:val="auto"/>
          <w:highlight w:val="none"/>
        </w:rPr>
        <w:t>1、废水收集</w:t>
      </w:r>
    </w:p>
    <w:p>
      <w:pPr>
        <w:spacing w:line="360" w:lineRule="auto"/>
        <w:ind w:firstLine="480" w:firstLineChars="200"/>
        <w:rPr>
          <w:rFonts w:hint="eastAsia"/>
          <w:b w:val="0"/>
          <w:bCs w:val="0"/>
          <w:color w:val="auto"/>
          <w:sz w:val="24"/>
          <w:szCs w:val="24"/>
          <w:highlight w:val="none"/>
          <w:lang w:val="en-US" w:eastAsia="zh-CN"/>
        </w:rPr>
      </w:pPr>
      <w:r>
        <w:rPr>
          <w:color w:val="auto"/>
          <w:sz w:val="24"/>
          <w:szCs w:val="24"/>
          <w:highlight w:val="none"/>
        </w:rPr>
        <w:t>公司采用“雨污分流，</w:t>
      </w:r>
      <w:r>
        <w:rPr>
          <w:rFonts w:hint="eastAsia"/>
          <w:color w:val="auto"/>
          <w:sz w:val="24"/>
          <w:szCs w:val="24"/>
          <w:highlight w:val="none"/>
          <w:lang w:val="en-US" w:eastAsia="zh-CN"/>
        </w:rPr>
        <w:t>清</w:t>
      </w:r>
      <w:r>
        <w:rPr>
          <w:color w:val="auto"/>
          <w:sz w:val="24"/>
          <w:szCs w:val="24"/>
          <w:highlight w:val="none"/>
        </w:rPr>
        <w:t>污分流”排水体制。</w:t>
      </w:r>
      <w:r>
        <w:rPr>
          <w:rFonts w:hint="eastAsia"/>
          <w:b w:val="0"/>
          <w:bCs w:val="0"/>
          <w:color w:val="auto"/>
          <w:sz w:val="24"/>
          <w:szCs w:val="24"/>
          <w:highlight w:val="none"/>
          <w:lang w:val="en-US" w:eastAsia="zh-CN"/>
        </w:rPr>
        <w:t>公司废水主要为生产废水和生活污水。</w:t>
      </w:r>
    </w:p>
    <w:p>
      <w:pPr>
        <w:spacing w:line="360" w:lineRule="auto"/>
        <w:ind w:firstLine="480" w:firstLineChars="200"/>
        <w:rPr>
          <w:rFonts w:hint="eastAsia" w:ascii="宋体_x0002_." w:hAnsi="宋体_x0002_." w:eastAsia="宋体_x0002_."/>
          <w:color w:val="auto"/>
          <w:sz w:val="24"/>
          <w:szCs w:val="24"/>
          <w:highlight w:val="none"/>
        </w:rPr>
      </w:pPr>
      <w:r>
        <w:rPr>
          <w:rFonts w:hint="eastAsia" w:ascii="宋体_x0002_." w:hAnsi="宋体_x0002_." w:eastAsia="宋体_x0002_."/>
          <w:color w:val="auto"/>
          <w:sz w:val="24"/>
          <w:szCs w:val="24"/>
          <w:highlight w:val="none"/>
        </w:rPr>
        <w:t>生活</w:t>
      </w:r>
      <w:r>
        <w:rPr>
          <w:rFonts w:hint="eastAsia" w:ascii="宋体_x0002_." w:hAnsi="宋体_x0002_." w:eastAsia="宋体_x0002_."/>
          <w:color w:val="auto"/>
          <w:sz w:val="24"/>
          <w:szCs w:val="24"/>
          <w:highlight w:val="none"/>
          <w:lang w:val="en-US" w:eastAsia="zh-CN"/>
        </w:rPr>
        <w:t>污水</w:t>
      </w:r>
      <w:r>
        <w:rPr>
          <w:rFonts w:hint="eastAsia" w:ascii="宋体_x0002_." w:hAnsi="宋体_x0002_." w:eastAsia="宋体_x0002_."/>
          <w:color w:val="auto"/>
          <w:sz w:val="24"/>
          <w:szCs w:val="24"/>
          <w:highlight w:val="none"/>
        </w:rPr>
        <w:t>经化粪池处理后接管至</w:t>
      </w:r>
      <w:r>
        <w:rPr>
          <w:rFonts w:hint="eastAsia" w:ascii="宋体_x0002_." w:hAnsi="宋体_x0002_." w:eastAsia="宋体_x0002_."/>
          <w:color w:val="auto"/>
          <w:sz w:val="24"/>
          <w:szCs w:val="24"/>
          <w:highlight w:val="none"/>
          <w:lang w:val="en-US" w:eastAsia="zh-CN"/>
        </w:rPr>
        <w:t>无锡永达污水处理有限公司</w:t>
      </w:r>
      <w:r>
        <w:rPr>
          <w:rFonts w:hint="eastAsia" w:ascii="宋体_x0002_." w:hAnsi="宋体_x0002_." w:eastAsia="宋体_x0002_."/>
          <w:color w:val="auto"/>
          <w:sz w:val="24"/>
          <w:szCs w:val="24"/>
          <w:highlight w:val="none"/>
        </w:rPr>
        <w:t>集中处理。</w:t>
      </w:r>
    </w:p>
    <w:p>
      <w:pPr>
        <w:adjustRightInd w:val="0"/>
        <w:snapToGrid w:val="0"/>
        <w:spacing w:line="360" w:lineRule="auto"/>
        <w:ind w:firstLine="480" w:firstLineChars="200"/>
        <w:rPr>
          <w:rFonts w:hint="eastAsia" w:ascii="宋体_x0002_." w:hAnsi="宋体_x0002_." w:eastAsia="宋体_x0002_."/>
          <w:color w:val="auto"/>
          <w:sz w:val="24"/>
          <w:szCs w:val="24"/>
          <w:highlight w:val="none"/>
        </w:rPr>
      </w:pPr>
      <w:r>
        <w:rPr>
          <w:rFonts w:hint="eastAsia" w:ascii="宋体_x0002_." w:hAnsi="宋体_x0002_." w:eastAsia="宋体_x0002_."/>
          <w:color w:val="auto"/>
          <w:sz w:val="24"/>
          <w:szCs w:val="24"/>
          <w:highlight w:val="none"/>
        </w:rPr>
        <w:t>车间清洗废水经废水处理设备</w:t>
      </w:r>
      <w:r>
        <w:rPr>
          <w:rFonts w:hint="eastAsia" w:ascii="Times New Roman" w:hAnsi="Times New Roman" w:eastAsia="Times New Roman"/>
          <w:color w:val="auto"/>
          <w:sz w:val="24"/>
          <w:szCs w:val="24"/>
          <w:highlight w:val="none"/>
        </w:rPr>
        <w:t>2#</w:t>
      </w:r>
      <w:r>
        <w:rPr>
          <w:rFonts w:hint="eastAsia" w:ascii="宋体_x0002_." w:hAnsi="宋体_x0002_." w:eastAsia="宋体_x0002_."/>
          <w:color w:val="auto"/>
          <w:sz w:val="24"/>
          <w:szCs w:val="24"/>
          <w:highlight w:val="none"/>
        </w:rPr>
        <w:t>处理后达到《城市污水再生利用工业用水水质》（</w:t>
      </w:r>
      <w:r>
        <w:rPr>
          <w:rFonts w:hint="eastAsia" w:ascii="Times New Roman" w:hAnsi="Times New Roman" w:eastAsia="Times New Roman"/>
          <w:color w:val="auto"/>
          <w:sz w:val="24"/>
          <w:szCs w:val="24"/>
          <w:highlight w:val="none"/>
        </w:rPr>
        <w:t>GB/T19923-2005</w:t>
      </w:r>
      <w:r>
        <w:rPr>
          <w:rFonts w:hint="eastAsia" w:ascii="宋体_x0002_." w:hAnsi="宋体_x0002_." w:eastAsia="宋体_x0002_."/>
          <w:color w:val="auto"/>
          <w:sz w:val="24"/>
          <w:szCs w:val="24"/>
          <w:highlight w:val="none"/>
        </w:rPr>
        <w:t>）表</w:t>
      </w:r>
      <w:r>
        <w:rPr>
          <w:rFonts w:hint="eastAsia" w:ascii="Times New Roman" w:hAnsi="Times New Roman" w:eastAsia="Times New Roman"/>
          <w:color w:val="auto"/>
          <w:sz w:val="24"/>
          <w:szCs w:val="24"/>
          <w:highlight w:val="none"/>
        </w:rPr>
        <w:t>1</w:t>
      </w:r>
      <w:r>
        <w:rPr>
          <w:rFonts w:hint="eastAsia" w:ascii="宋体_x0002_." w:hAnsi="宋体_x0002_." w:eastAsia="宋体_x0002_."/>
          <w:color w:val="auto"/>
          <w:sz w:val="24"/>
          <w:szCs w:val="24"/>
          <w:highlight w:val="none"/>
        </w:rPr>
        <w:t>中洗涤用水标准后回用于镀件清洗，不外排；纯水制备废水直接回用于地面清洗和废气塔喷淋；地面冲洗水与废气喷淋废水共同经厂区废水处理设备</w:t>
      </w:r>
      <w:r>
        <w:rPr>
          <w:rFonts w:hint="eastAsia" w:ascii="Times New Roman" w:hAnsi="Times New Roman" w:eastAsia="Times New Roman"/>
          <w:color w:val="auto"/>
          <w:sz w:val="24"/>
          <w:szCs w:val="24"/>
          <w:highlight w:val="none"/>
        </w:rPr>
        <w:t>1#+</w:t>
      </w:r>
      <w:r>
        <w:rPr>
          <w:rFonts w:hint="eastAsia" w:ascii="宋体_x0002_." w:hAnsi="宋体_x0002_." w:eastAsia="宋体_x0002_."/>
          <w:color w:val="auto"/>
          <w:sz w:val="24"/>
          <w:szCs w:val="24"/>
          <w:highlight w:val="none"/>
        </w:rPr>
        <w:t>蒸发设备处理达到《城市污水再生利用工业用水水质》（</w:t>
      </w:r>
      <w:r>
        <w:rPr>
          <w:rFonts w:hint="eastAsia" w:ascii="Times New Roman" w:hAnsi="Times New Roman" w:eastAsia="Times New Roman"/>
          <w:color w:val="auto"/>
          <w:sz w:val="24"/>
          <w:szCs w:val="24"/>
          <w:highlight w:val="none"/>
        </w:rPr>
        <w:t>GB/T19923-2005</w:t>
      </w:r>
      <w:r>
        <w:rPr>
          <w:rFonts w:hint="eastAsia" w:ascii="宋体_x0002_." w:hAnsi="宋体_x0002_." w:eastAsia="宋体_x0002_."/>
          <w:color w:val="auto"/>
          <w:sz w:val="24"/>
          <w:szCs w:val="24"/>
          <w:highlight w:val="none"/>
        </w:rPr>
        <w:t>）表</w:t>
      </w:r>
      <w:r>
        <w:rPr>
          <w:rFonts w:hint="eastAsia" w:ascii="Times New Roman" w:hAnsi="Times New Roman" w:eastAsia="Times New Roman"/>
          <w:color w:val="auto"/>
          <w:sz w:val="24"/>
          <w:szCs w:val="24"/>
          <w:highlight w:val="none"/>
        </w:rPr>
        <w:t>1</w:t>
      </w:r>
      <w:r>
        <w:rPr>
          <w:rFonts w:hint="eastAsia" w:ascii="宋体_x0002_." w:hAnsi="宋体_x0002_." w:eastAsia="宋体_x0002_."/>
          <w:color w:val="auto"/>
          <w:sz w:val="24"/>
          <w:szCs w:val="24"/>
          <w:highlight w:val="none"/>
        </w:rPr>
        <w:t>中标准后回到纯水原水箱制备纯水，不外排；雨水经实验室检测符合《地表水环境质量标准》</w:t>
      </w:r>
      <w:r>
        <w:rPr>
          <w:rFonts w:hint="eastAsia" w:ascii="Times New Roman" w:hAnsi="Times New Roman" w:eastAsia="Times New Roman"/>
          <w:color w:val="auto"/>
          <w:sz w:val="24"/>
          <w:szCs w:val="24"/>
          <w:highlight w:val="none"/>
        </w:rPr>
        <w:t>(GB3838-2002)</w:t>
      </w:r>
      <w:r>
        <w:rPr>
          <w:rFonts w:hint="eastAsia" w:ascii="宋体_x0002_." w:hAnsi="宋体_x0002_." w:eastAsia="宋体_x0002_."/>
          <w:color w:val="auto"/>
          <w:sz w:val="24"/>
          <w:szCs w:val="24"/>
          <w:highlight w:val="none"/>
        </w:rPr>
        <w:t>中的</w:t>
      </w:r>
      <w:r>
        <w:rPr>
          <w:rFonts w:hint="eastAsia" w:ascii="Times New Roman" w:hAnsi="Times New Roman" w:eastAsia="Times New Roman"/>
          <w:color w:val="auto"/>
          <w:sz w:val="24"/>
          <w:szCs w:val="24"/>
          <w:highlight w:val="none"/>
        </w:rPr>
        <w:t>IV</w:t>
      </w:r>
      <w:r>
        <w:rPr>
          <w:rFonts w:hint="eastAsia" w:ascii="宋体_x0002_." w:hAnsi="宋体_x0002_." w:eastAsia="宋体_x0002_."/>
          <w:color w:val="auto"/>
          <w:sz w:val="24"/>
          <w:szCs w:val="24"/>
          <w:highlight w:val="none"/>
        </w:rPr>
        <w:t>类标准后直接接管雨水管网，不符合则经废水处理设备</w:t>
      </w:r>
      <w:r>
        <w:rPr>
          <w:rFonts w:hint="eastAsia" w:ascii="Times New Roman" w:hAnsi="Times New Roman" w:eastAsia="Times New Roman"/>
          <w:color w:val="auto"/>
          <w:sz w:val="24"/>
          <w:szCs w:val="24"/>
          <w:highlight w:val="none"/>
        </w:rPr>
        <w:t>1#+</w:t>
      </w:r>
      <w:r>
        <w:rPr>
          <w:rFonts w:hint="eastAsia" w:ascii="宋体_x0002_." w:hAnsi="宋体_x0002_." w:eastAsia="宋体_x0002_."/>
          <w:color w:val="auto"/>
          <w:sz w:val="24"/>
          <w:szCs w:val="24"/>
          <w:highlight w:val="none"/>
        </w:rPr>
        <w:t>蒸发设备处理后全部回用，不外排。</w:t>
      </w:r>
    </w:p>
    <w:p>
      <w:pPr>
        <w:adjustRightInd w:val="0"/>
        <w:snapToGrid w:val="0"/>
        <w:spacing w:line="360" w:lineRule="auto"/>
        <w:ind w:firstLine="480" w:firstLineChars="200"/>
        <w:rPr>
          <w:color w:val="auto"/>
          <w:highlight w:val="none"/>
        </w:rPr>
      </w:pPr>
      <w:r>
        <w:rPr>
          <w:rFonts w:hint="eastAsia" w:hAnsi="宋体"/>
          <w:color w:val="auto"/>
          <w:highlight w:val="none"/>
          <w:lang w:val="zh-CN"/>
        </w:rPr>
        <w:t>公司</w:t>
      </w:r>
      <w:r>
        <w:rPr>
          <w:color w:val="auto"/>
          <w:highlight w:val="none"/>
        </w:rPr>
        <w:t>必须加强对废水处理站的维护、检修、管理，认真遵守污水处理工艺、工作程序和操作规范要求。保证污水处理体系正常运转，努力达到最佳运转状态。</w:t>
      </w:r>
    </w:p>
    <w:p>
      <w:pPr>
        <w:adjustRightInd w:val="0"/>
        <w:snapToGrid w:val="0"/>
        <w:spacing w:line="360" w:lineRule="auto"/>
        <w:ind w:firstLine="480" w:firstLineChars="200"/>
        <w:rPr>
          <w:color w:val="auto"/>
          <w:highlight w:val="none"/>
        </w:rPr>
      </w:pPr>
      <w:r>
        <w:rPr>
          <w:color w:val="auto"/>
          <w:highlight w:val="none"/>
        </w:rPr>
        <w:t>2、废气处理设施</w:t>
      </w:r>
    </w:p>
    <w:p>
      <w:pPr>
        <w:adjustRightInd w:val="0"/>
        <w:snapToGrid w:val="0"/>
        <w:spacing w:line="360" w:lineRule="auto"/>
        <w:ind w:firstLine="480" w:firstLineChars="200"/>
        <w:rPr>
          <w:color w:val="auto"/>
          <w:highlight w:val="none"/>
        </w:rPr>
      </w:pPr>
      <w:r>
        <w:rPr>
          <w:color w:val="auto"/>
          <w:highlight w:val="none"/>
        </w:rPr>
        <w:t>（1）完善车间废气的引风收集装置和相关管路；</w:t>
      </w:r>
    </w:p>
    <w:p>
      <w:pPr>
        <w:adjustRightInd w:val="0"/>
        <w:snapToGrid w:val="0"/>
        <w:spacing w:line="360" w:lineRule="auto"/>
        <w:ind w:firstLine="480" w:firstLineChars="200"/>
        <w:rPr>
          <w:color w:val="auto"/>
          <w:highlight w:val="none"/>
        </w:rPr>
      </w:pPr>
      <w:r>
        <w:rPr>
          <w:color w:val="auto"/>
          <w:highlight w:val="none"/>
        </w:rPr>
        <w:t>（2）加强对废气处理装置的维护、检修，</w:t>
      </w:r>
      <w:r>
        <w:rPr>
          <w:rFonts w:hint="eastAsia"/>
          <w:color w:val="auto"/>
          <w:highlight w:val="none"/>
        </w:rPr>
        <w:t>定期进行巡查</w:t>
      </w:r>
      <w:r>
        <w:rPr>
          <w:color w:val="auto"/>
          <w:highlight w:val="none"/>
        </w:rPr>
        <w:t>，发现异常及时报告、修复；</w:t>
      </w:r>
    </w:p>
    <w:p>
      <w:pPr>
        <w:adjustRightInd w:val="0"/>
        <w:snapToGrid w:val="0"/>
        <w:spacing w:line="360" w:lineRule="auto"/>
        <w:ind w:firstLine="480" w:firstLineChars="200"/>
        <w:rPr>
          <w:color w:val="auto"/>
          <w:highlight w:val="none"/>
        </w:rPr>
      </w:pPr>
      <w:r>
        <w:rPr>
          <w:color w:val="auto"/>
          <w:highlight w:val="none"/>
        </w:rPr>
        <w:t>（3）废气处理装置应及时维护保养，避免废气直接排放；</w:t>
      </w:r>
    </w:p>
    <w:p>
      <w:pPr>
        <w:adjustRightInd w:val="0"/>
        <w:snapToGrid w:val="0"/>
        <w:spacing w:line="360" w:lineRule="auto"/>
        <w:ind w:firstLine="480" w:firstLineChars="200"/>
        <w:rPr>
          <w:color w:val="auto"/>
          <w:highlight w:val="none"/>
        </w:rPr>
      </w:pPr>
      <w:r>
        <w:rPr>
          <w:color w:val="auto"/>
          <w:highlight w:val="none"/>
        </w:rPr>
        <w:t>（4）车间加强通风换气，降低车间内无组织排放浓度。</w:t>
      </w:r>
    </w:p>
    <w:p>
      <w:pPr>
        <w:adjustRightInd w:val="0"/>
        <w:snapToGrid w:val="0"/>
        <w:spacing w:line="360" w:lineRule="auto"/>
        <w:ind w:firstLine="480" w:firstLineChars="200"/>
        <w:rPr>
          <w:color w:val="auto"/>
          <w:highlight w:val="none"/>
        </w:rPr>
      </w:pPr>
      <w:r>
        <w:rPr>
          <w:color w:val="auto"/>
          <w:highlight w:val="none"/>
        </w:rPr>
        <w:t>3、完善一般固废储存、转运</w:t>
      </w:r>
    </w:p>
    <w:p>
      <w:pPr>
        <w:adjustRightInd w:val="0"/>
        <w:snapToGrid w:val="0"/>
        <w:spacing w:line="360" w:lineRule="auto"/>
        <w:ind w:firstLine="480" w:firstLineChars="200"/>
        <w:rPr>
          <w:color w:val="auto"/>
          <w:highlight w:val="none"/>
        </w:rPr>
      </w:pPr>
      <w:r>
        <w:rPr>
          <w:color w:val="auto"/>
          <w:highlight w:val="none"/>
        </w:rPr>
        <w:t>（1）专人负责一般工业固体废物的分类、收集和申报登记、存放和处置监管、监察指导和对外申报登记工作，符合环境保护规定要求的处置和综合利用。</w:t>
      </w:r>
    </w:p>
    <w:p>
      <w:pPr>
        <w:adjustRightInd w:val="0"/>
        <w:snapToGrid w:val="0"/>
        <w:spacing w:line="360" w:lineRule="auto"/>
        <w:ind w:firstLine="480" w:firstLineChars="200"/>
        <w:rPr>
          <w:color w:val="auto"/>
          <w:highlight w:val="none"/>
        </w:rPr>
      </w:pPr>
      <w:r>
        <w:rPr>
          <w:color w:val="auto"/>
          <w:highlight w:val="none"/>
        </w:rPr>
        <w:t>（2）一般工业固废产生后，按不同类别和相应要求及时放置到临时存放场所并设置环境保护图形标志。</w:t>
      </w:r>
    </w:p>
    <w:p>
      <w:pPr>
        <w:adjustRightInd w:val="0"/>
        <w:snapToGrid w:val="0"/>
        <w:spacing w:line="360" w:lineRule="auto"/>
        <w:ind w:firstLine="480" w:firstLineChars="200"/>
        <w:rPr>
          <w:color w:val="auto"/>
          <w:highlight w:val="none"/>
        </w:rPr>
      </w:pPr>
      <w:r>
        <w:rPr>
          <w:color w:val="auto"/>
          <w:highlight w:val="none"/>
        </w:rPr>
        <w:t>（3）为防止一般工业固体废物流失，需要设置专门存放场所，按《一般工业固体废物贮存和填埋污染控制标准》（GB18599-2020）建设，应具备防雨淋、防泄漏、防扬散、防流失等设施或措施。存放场地应建立检查维护制度，定期检查维护防控措施，发现异常及时处理，以保证正常运行。</w:t>
      </w:r>
    </w:p>
    <w:p>
      <w:pPr>
        <w:adjustRightInd w:val="0"/>
        <w:snapToGrid w:val="0"/>
        <w:spacing w:line="360" w:lineRule="auto"/>
        <w:ind w:firstLine="480" w:firstLineChars="200"/>
        <w:rPr>
          <w:color w:val="auto"/>
          <w:highlight w:val="none"/>
        </w:rPr>
      </w:pPr>
      <w:r>
        <w:rPr>
          <w:color w:val="auto"/>
          <w:highlight w:val="none"/>
        </w:rPr>
        <w:t>（4）一般工业固体废物贮存场，禁止将危险废物和生活垃圾混入。</w:t>
      </w:r>
    </w:p>
    <w:p>
      <w:pPr>
        <w:adjustRightInd w:val="0"/>
        <w:snapToGrid w:val="0"/>
        <w:spacing w:line="360" w:lineRule="auto"/>
        <w:ind w:firstLine="480" w:firstLineChars="200"/>
        <w:rPr>
          <w:color w:val="auto"/>
          <w:highlight w:val="none"/>
        </w:rPr>
      </w:pPr>
      <w:r>
        <w:rPr>
          <w:color w:val="auto"/>
          <w:highlight w:val="none"/>
        </w:rPr>
        <w:t>（5）一般工业固体废物应与被委托方签订委托回收协议，明确双方职责和在运输、利用及处理过程中的要求和注意事项。</w:t>
      </w:r>
    </w:p>
    <w:p>
      <w:pPr>
        <w:adjustRightInd w:val="0"/>
        <w:snapToGrid w:val="0"/>
        <w:spacing w:line="360" w:lineRule="auto"/>
        <w:ind w:firstLine="480" w:firstLineChars="200"/>
        <w:rPr>
          <w:color w:val="auto"/>
          <w:highlight w:val="none"/>
        </w:rPr>
      </w:pPr>
      <w:r>
        <w:rPr>
          <w:rFonts w:hint="eastAsia"/>
          <w:color w:val="auto"/>
          <w:highlight w:val="none"/>
        </w:rPr>
        <w:t>4</w:t>
      </w:r>
      <w:r>
        <w:rPr>
          <w:color w:val="auto"/>
          <w:highlight w:val="none"/>
        </w:rPr>
        <w:t>、完善危废储存、转运</w:t>
      </w:r>
    </w:p>
    <w:p>
      <w:pPr>
        <w:adjustRightInd w:val="0"/>
        <w:snapToGrid w:val="0"/>
        <w:spacing w:line="360" w:lineRule="auto"/>
        <w:ind w:firstLine="480" w:firstLineChars="200"/>
        <w:rPr>
          <w:color w:val="auto"/>
          <w:highlight w:val="none"/>
        </w:rPr>
      </w:pPr>
      <w:r>
        <w:rPr>
          <w:color w:val="auto"/>
          <w:highlight w:val="none"/>
        </w:rPr>
        <w:t>对厂区产生的危险废物进行统一收集</w:t>
      </w:r>
      <w:r>
        <w:rPr>
          <w:rFonts w:hint="eastAsia"/>
          <w:color w:val="auto"/>
          <w:highlight w:val="none"/>
        </w:rPr>
        <w:t>、</w:t>
      </w:r>
      <w:r>
        <w:rPr>
          <w:color w:val="auto"/>
          <w:highlight w:val="none"/>
        </w:rPr>
        <w:t>统一贮存</w:t>
      </w:r>
      <w:r>
        <w:rPr>
          <w:rFonts w:hint="eastAsia"/>
          <w:color w:val="auto"/>
          <w:highlight w:val="none"/>
        </w:rPr>
        <w:t>、</w:t>
      </w:r>
      <w:r>
        <w:rPr>
          <w:color w:val="auto"/>
          <w:highlight w:val="none"/>
        </w:rPr>
        <w:t>统一处置。危险废物仓库，废物暂存过程中都必须储存于容器中，容器加盖密闭。危险废物处理处置注意事项具体如下：</w:t>
      </w:r>
    </w:p>
    <w:p>
      <w:pPr>
        <w:adjustRightInd w:val="0"/>
        <w:snapToGrid w:val="0"/>
        <w:spacing w:line="360" w:lineRule="auto"/>
        <w:ind w:firstLine="480" w:firstLineChars="200"/>
        <w:rPr>
          <w:color w:val="auto"/>
          <w:highlight w:val="none"/>
        </w:rPr>
      </w:pPr>
      <w:r>
        <w:rPr>
          <w:color w:val="auto"/>
          <w:highlight w:val="none"/>
        </w:rPr>
        <w:t>（1）及时联系危废处理单位回收，做好相关记录。危险废物贮存设施应满足《危险废物贮存污染控制标准》的要求。</w:t>
      </w:r>
    </w:p>
    <w:p>
      <w:pPr>
        <w:adjustRightInd w:val="0"/>
        <w:snapToGrid w:val="0"/>
        <w:spacing w:line="360" w:lineRule="auto"/>
        <w:ind w:firstLine="480" w:firstLineChars="200"/>
        <w:rPr>
          <w:color w:val="auto"/>
          <w:highlight w:val="none"/>
        </w:rPr>
      </w:pPr>
      <w:r>
        <w:rPr>
          <w:color w:val="auto"/>
          <w:highlight w:val="none"/>
        </w:rPr>
        <w:t>（2）危险废物的转移和运输应按《江苏省危险废物转移管理办法》的要求及时做好网上报告工作。</w:t>
      </w:r>
    </w:p>
    <w:p>
      <w:pPr>
        <w:spacing w:line="360" w:lineRule="auto"/>
        <w:ind w:firstLine="480" w:firstLineChars="200"/>
        <w:rPr>
          <w:color w:val="auto"/>
          <w:highlight w:val="none"/>
        </w:rPr>
      </w:pPr>
      <w:r>
        <w:rPr>
          <w:color w:val="auto"/>
          <w:highlight w:val="none"/>
        </w:rPr>
        <w:t>（3）危废运输需使用专用包装，防止在运输过程中的流失，造成二次污染；运输车辆需加装减震、固定设施，防止在运输过程中震落；加强员工管理，严格操作，安全上岗。</w:t>
      </w:r>
    </w:p>
    <w:p>
      <w:pPr>
        <w:pStyle w:val="2"/>
        <w:spacing w:line="360" w:lineRule="auto"/>
        <w:ind w:firstLine="480" w:firstLineChars="200"/>
        <w:rPr>
          <w:rFonts w:ascii="Times New Roman" w:hAnsi="Times New Roman"/>
          <w:color w:val="auto"/>
          <w:sz w:val="24"/>
          <w:szCs w:val="22"/>
          <w:highlight w:val="none"/>
        </w:rPr>
      </w:pPr>
      <w:r>
        <w:rPr>
          <w:rFonts w:ascii="Times New Roman" w:hAnsi="Times New Roman"/>
          <w:color w:val="auto"/>
          <w:sz w:val="24"/>
          <w:szCs w:val="22"/>
          <w:highlight w:val="none"/>
        </w:rPr>
        <w:t>（4）严格执行《省生态环境厅关于印发江苏省危险废物贮存规范管理专项整治行动方案的通知》（苏环办[2019]149号）要求。</w:t>
      </w:r>
    </w:p>
    <w:p>
      <w:pPr>
        <w:pStyle w:val="3"/>
        <w:numPr>
          <w:ilvl w:val="0"/>
          <w:numId w:val="0"/>
        </w:numPr>
        <w:spacing w:line="360" w:lineRule="auto"/>
        <w:ind w:firstLine="480" w:firstLineChars="200"/>
        <w:rPr>
          <w:color w:val="auto"/>
          <w:szCs w:val="22"/>
          <w:highlight w:val="none"/>
        </w:rPr>
      </w:pPr>
      <w:r>
        <w:rPr>
          <w:color w:val="auto"/>
          <w:szCs w:val="22"/>
          <w:highlight w:val="none"/>
        </w:rPr>
        <w:t>（5）按照《环境保护图形标志固体废物贮存（处置）场》（GB15562.2-1995）和危险废物识别标志设置规范设置标志，配备通讯设备、照明设施和消防设施。</w:t>
      </w:r>
    </w:p>
    <w:p>
      <w:pPr>
        <w:pStyle w:val="3"/>
        <w:numPr>
          <w:ilvl w:val="0"/>
          <w:numId w:val="0"/>
        </w:numPr>
        <w:spacing w:line="360" w:lineRule="auto"/>
        <w:ind w:firstLine="480" w:firstLineChars="200"/>
        <w:rPr>
          <w:color w:val="auto"/>
          <w:szCs w:val="22"/>
          <w:highlight w:val="none"/>
        </w:rPr>
      </w:pPr>
      <w:r>
        <w:rPr>
          <w:color w:val="auto"/>
          <w:szCs w:val="22"/>
          <w:highlight w:val="none"/>
        </w:rPr>
        <w:t>（6）在出入口、设施内部、危险废物运输车辆通道等关键位置按照危险废物贮存设施视频布设要求设置视频监控。</w:t>
      </w:r>
    </w:p>
    <w:p>
      <w:pPr>
        <w:pStyle w:val="3"/>
        <w:numPr>
          <w:ilvl w:val="0"/>
          <w:numId w:val="0"/>
        </w:numPr>
        <w:spacing w:line="360" w:lineRule="auto"/>
        <w:ind w:firstLine="480" w:firstLineChars="200"/>
        <w:rPr>
          <w:color w:val="auto"/>
          <w:szCs w:val="22"/>
          <w:highlight w:val="none"/>
        </w:rPr>
      </w:pPr>
      <w:r>
        <w:rPr>
          <w:color w:val="auto"/>
          <w:szCs w:val="22"/>
          <w:highlight w:val="none"/>
        </w:rPr>
        <w:t>（7）企业根据危险废物的种类和特性进行分区、分类贮存，设置防雨、防火、防雷、防渗漏装置及泄</w:t>
      </w:r>
      <w:r>
        <w:rPr>
          <w:rFonts w:hint="eastAsia"/>
          <w:color w:val="auto"/>
          <w:szCs w:val="22"/>
          <w:highlight w:val="none"/>
        </w:rPr>
        <w:t>漏</w:t>
      </w:r>
      <w:r>
        <w:rPr>
          <w:color w:val="auto"/>
          <w:szCs w:val="22"/>
          <w:highlight w:val="none"/>
        </w:rPr>
        <w:t>液体收集装置。</w:t>
      </w:r>
    </w:p>
    <w:p>
      <w:pPr>
        <w:pStyle w:val="3"/>
        <w:numPr>
          <w:ilvl w:val="0"/>
          <w:numId w:val="0"/>
        </w:numPr>
        <w:spacing w:line="360" w:lineRule="auto"/>
        <w:ind w:firstLine="480" w:firstLineChars="200"/>
        <w:rPr>
          <w:color w:val="auto"/>
          <w:szCs w:val="22"/>
          <w:highlight w:val="none"/>
        </w:rPr>
      </w:pPr>
      <w:r>
        <w:rPr>
          <w:color w:val="auto"/>
          <w:szCs w:val="22"/>
          <w:highlight w:val="none"/>
        </w:rPr>
        <w:t>（</w:t>
      </w:r>
      <w:r>
        <w:rPr>
          <w:rFonts w:hint="eastAsia"/>
          <w:color w:val="auto"/>
          <w:szCs w:val="22"/>
          <w:highlight w:val="none"/>
          <w:lang w:val="en-US" w:eastAsia="zh-CN"/>
        </w:rPr>
        <w:t>8</w:t>
      </w:r>
      <w:r>
        <w:rPr>
          <w:color w:val="auto"/>
          <w:szCs w:val="22"/>
          <w:highlight w:val="none"/>
        </w:rPr>
        <w:t>）危险废物产生、经营企业在省内转移时要选择有资质并能利用“电子运单管理系统”进行信息比对的危险货物道路运输企业承运危险废物。</w:t>
      </w:r>
    </w:p>
    <w:p>
      <w:pPr>
        <w:pStyle w:val="6"/>
        <w:rPr>
          <w:color w:val="auto"/>
          <w:highlight w:val="none"/>
        </w:rPr>
      </w:pPr>
      <w:bookmarkStart w:id="81" w:name="_Toc28103254"/>
      <w:r>
        <w:rPr>
          <w:color w:val="auto"/>
          <w:highlight w:val="none"/>
        </w:rPr>
        <w:t>3.1.6 加强运输过程的管理</w:t>
      </w:r>
      <w:bookmarkEnd w:id="81"/>
    </w:p>
    <w:p>
      <w:pPr>
        <w:autoSpaceDE w:val="0"/>
        <w:autoSpaceDN w:val="0"/>
        <w:adjustRightInd w:val="0"/>
        <w:snapToGrid w:val="0"/>
        <w:spacing w:line="360" w:lineRule="auto"/>
        <w:ind w:firstLine="480" w:firstLineChars="200"/>
        <w:rPr>
          <w:color w:val="auto"/>
          <w:highlight w:val="none"/>
        </w:rPr>
      </w:pPr>
      <w:r>
        <w:rPr>
          <w:color w:val="auto"/>
          <w:highlight w:val="none"/>
        </w:rPr>
        <w:t>本单位运输过程全部委托第三方有资质单位，经协议商定运输过程所产生的风险防控均由第三方运输单位实施。</w:t>
      </w:r>
    </w:p>
    <w:p>
      <w:pPr>
        <w:pStyle w:val="6"/>
        <w:rPr>
          <w:color w:val="auto"/>
          <w:highlight w:val="none"/>
        </w:rPr>
      </w:pPr>
      <w:bookmarkStart w:id="82" w:name="_Toc28103255"/>
      <w:r>
        <w:rPr>
          <w:color w:val="auto"/>
          <w:highlight w:val="none"/>
        </w:rPr>
        <w:t>3.1.7 密切关注当地气象变化</w:t>
      </w:r>
      <w:bookmarkEnd w:id="82"/>
    </w:p>
    <w:p>
      <w:pPr>
        <w:autoSpaceDE w:val="0"/>
        <w:autoSpaceDN w:val="0"/>
        <w:adjustRightInd w:val="0"/>
        <w:spacing w:line="360" w:lineRule="auto"/>
        <w:ind w:firstLine="480" w:firstLineChars="200"/>
        <w:rPr>
          <w:color w:val="auto"/>
          <w:highlight w:val="none"/>
        </w:rPr>
      </w:pPr>
      <w:r>
        <w:rPr>
          <w:color w:val="auto"/>
          <w:highlight w:val="none"/>
        </w:rPr>
        <w:t>1、对于恶劣气象条件下引起的风险事故也需进行防范。企业负责人及应急指挥部需积极关注气象预报情况，联系气象部门进行灾害咨询工作。在事故发生前，做好人员与物资的及时转移，以免恶劣自然条件下发生危险品散落、废气事故排放等事故。</w:t>
      </w:r>
    </w:p>
    <w:p>
      <w:pPr>
        <w:autoSpaceDE w:val="0"/>
        <w:autoSpaceDN w:val="0"/>
        <w:adjustRightInd w:val="0"/>
        <w:spacing w:line="360" w:lineRule="auto"/>
        <w:ind w:firstLine="480" w:firstLineChars="200"/>
        <w:rPr>
          <w:color w:val="auto"/>
          <w:highlight w:val="none"/>
        </w:rPr>
      </w:pPr>
      <w:r>
        <w:rPr>
          <w:color w:val="auto"/>
          <w:highlight w:val="none"/>
        </w:rPr>
        <w:t>2、雷击可能会引起火灾和爆炸事故，公司聘请了专业部门进行了防雷设计，并制定了逐年检测的制度，建有完善的台账。严格执行各项制度，对相关责任人进行定期培训、考核，对相关设备、设施设置台账，及时维护、保养，保证各项设计指标得以落实。</w:t>
      </w:r>
    </w:p>
    <w:p>
      <w:pPr>
        <w:pStyle w:val="5"/>
        <w:rPr>
          <w:color w:val="auto"/>
          <w:highlight w:val="none"/>
        </w:rPr>
      </w:pPr>
      <w:bookmarkStart w:id="83" w:name="_Toc273391331"/>
      <w:bookmarkStart w:id="84" w:name="_Toc32275"/>
      <w:bookmarkStart w:id="85" w:name="_Toc28103256"/>
      <w:bookmarkStart w:id="86" w:name="_Toc273391655"/>
      <w:r>
        <w:rPr>
          <w:color w:val="auto"/>
          <w:highlight w:val="none"/>
        </w:rPr>
        <w:t>3.2 预警</w:t>
      </w:r>
      <w:bookmarkEnd w:id="83"/>
      <w:bookmarkEnd w:id="84"/>
      <w:bookmarkEnd w:id="85"/>
      <w:bookmarkEnd w:id="86"/>
    </w:p>
    <w:p>
      <w:pPr>
        <w:pStyle w:val="6"/>
        <w:rPr>
          <w:rFonts w:hint="eastAsia" w:eastAsia="宋体"/>
          <w:color w:val="auto"/>
          <w:highlight w:val="none"/>
          <w:lang w:eastAsia="zh-CN"/>
        </w:rPr>
      </w:pPr>
      <w:r>
        <w:rPr>
          <w:color w:val="auto"/>
          <w:highlight w:val="none"/>
        </w:rPr>
        <w:t>3.2.1 预警</w:t>
      </w:r>
      <w:r>
        <w:rPr>
          <w:rFonts w:hint="eastAsia"/>
          <w:color w:val="auto"/>
          <w:highlight w:val="none"/>
          <w:lang w:val="en-US" w:eastAsia="zh-CN"/>
        </w:rPr>
        <w:t>方案</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（1）预警级别</w:t>
      </w:r>
    </w:p>
    <w:p>
      <w:pPr>
        <w:autoSpaceDE w:val="0"/>
        <w:autoSpaceDN w:val="0"/>
        <w:adjustRightInd w:val="0"/>
        <w:spacing w:line="360" w:lineRule="auto"/>
        <w:ind w:firstLine="480" w:firstLineChars="200"/>
        <w:rPr>
          <w:color w:val="auto"/>
          <w:highlight w:val="none"/>
        </w:rPr>
      </w:pPr>
      <w:r>
        <w:rPr>
          <w:color w:val="auto"/>
          <w:highlight w:val="none"/>
        </w:rPr>
        <w:t>由总指挥根据突发事件严重性、紧急程度和可能波及的范围及对公众安全威胁的程度，及时发布预警警报。环境污染事件分为厂外级环境污染事件（Ⅰ级）、厂区级环境污染事件（Ⅱ级）和车间级环境污染事件（Ⅲ级）。预警级别相应地由高到低依次用橙色、黄色和蓝色预警，根据事态的发展和采取措施的效果，预警可以升级、降级或解除。</w:t>
      </w:r>
    </w:p>
    <w:p>
      <w:pPr>
        <w:autoSpaceDE w:val="0"/>
        <w:autoSpaceDN w:val="0"/>
        <w:adjustRightInd w:val="0"/>
        <w:spacing w:line="360" w:lineRule="auto"/>
        <w:ind w:firstLine="480" w:firstLineChars="200"/>
        <w:rPr>
          <w:color w:val="auto"/>
          <w:highlight w:val="none"/>
        </w:rPr>
      </w:pPr>
      <w:r>
        <w:rPr>
          <w:color w:val="auto"/>
          <w:highlight w:val="none"/>
        </w:rPr>
        <w:t>预警方式可通过监控摄像头、管理人员或现场其他工作人员的报警、警示等。</w:t>
      </w:r>
    </w:p>
    <w:p>
      <w:pPr>
        <w:autoSpaceDE w:val="0"/>
        <w:autoSpaceDN w:val="0"/>
        <w:adjustRightInd w:val="0"/>
        <w:spacing w:line="360" w:lineRule="auto"/>
        <w:ind w:firstLine="480" w:firstLineChars="200"/>
        <w:rPr>
          <w:color w:val="auto"/>
          <w:highlight w:val="none"/>
        </w:rPr>
      </w:pPr>
      <w:r>
        <w:rPr>
          <w:color w:val="auto"/>
          <w:highlight w:val="none"/>
        </w:rPr>
        <w:t>①Ⅲ级</w:t>
      </w:r>
    </w:p>
    <w:p>
      <w:pPr>
        <w:autoSpaceDE w:val="0"/>
        <w:autoSpaceDN w:val="0"/>
        <w:adjustRightInd w:val="0"/>
        <w:spacing w:line="360" w:lineRule="auto"/>
        <w:ind w:firstLine="480" w:firstLineChars="200"/>
        <w:rPr>
          <w:color w:val="auto"/>
          <w:highlight w:val="none"/>
        </w:rPr>
      </w:pPr>
      <w:r>
        <w:rPr>
          <w:color w:val="auto"/>
          <w:highlight w:val="none"/>
        </w:rPr>
        <w:t>突发环境事件引发的环境影响局限于车间局部区域，不会涉及整个厂区；对厂内员工的安全和健康不会造成影响的。车间人员紧急启动应急程序，其他人员紧急撤离到指定安全区域待命，并同时向公司应急指挥部报告，要求和指导启动应急程序。由应急指挥部指挥，</w:t>
      </w:r>
      <w:r>
        <w:rPr>
          <w:rFonts w:hint="eastAsia"/>
          <w:color w:val="auto"/>
          <w:highlight w:val="none"/>
          <w:lang w:eastAsia="zh-CN"/>
        </w:rPr>
        <w:t>部门经理</w:t>
      </w:r>
      <w:r>
        <w:rPr>
          <w:color w:val="auto"/>
          <w:highlight w:val="none"/>
        </w:rPr>
        <w:t>具体负责，组织疏散、撤离和防救工作。</w:t>
      </w:r>
    </w:p>
    <w:p>
      <w:pPr>
        <w:autoSpaceDE w:val="0"/>
        <w:autoSpaceDN w:val="0"/>
        <w:adjustRightInd w:val="0"/>
        <w:spacing w:line="360" w:lineRule="auto"/>
        <w:ind w:firstLine="480" w:firstLineChars="200"/>
        <w:rPr>
          <w:color w:val="auto"/>
          <w:highlight w:val="none"/>
        </w:rPr>
      </w:pPr>
      <w:r>
        <w:rPr>
          <w:color w:val="auto"/>
          <w:highlight w:val="none"/>
        </w:rPr>
        <w:t>②Ⅱ级</w:t>
      </w:r>
    </w:p>
    <w:p>
      <w:pPr>
        <w:autoSpaceDE w:val="0"/>
        <w:autoSpaceDN w:val="0"/>
        <w:adjustRightInd w:val="0"/>
        <w:spacing w:line="360" w:lineRule="auto"/>
        <w:ind w:firstLine="480" w:firstLineChars="200"/>
        <w:rPr>
          <w:color w:val="auto"/>
          <w:highlight w:val="none"/>
        </w:rPr>
      </w:pPr>
      <w:r>
        <w:rPr>
          <w:color w:val="auto"/>
          <w:highlight w:val="none"/>
        </w:rPr>
        <w:t>突发环境事件引发的环境影响局限于车间局部区域，不会涉及整个厂区；对厂内员工的安全和健康不会造成影响的。厂区人员紧急启动应急程序，并同时向无锡市</w:t>
      </w:r>
      <w:r>
        <w:rPr>
          <w:rFonts w:hint="eastAsia"/>
          <w:color w:val="auto"/>
          <w:highlight w:val="none"/>
        </w:rPr>
        <w:t>惠山</w:t>
      </w:r>
      <w:r>
        <w:rPr>
          <w:color w:val="auto"/>
          <w:highlight w:val="none"/>
        </w:rPr>
        <w:t>区突发环境事件应急领导组报告，要求和指导厂区启动应急程序。</w:t>
      </w:r>
    </w:p>
    <w:p>
      <w:pPr>
        <w:autoSpaceDE w:val="0"/>
        <w:autoSpaceDN w:val="0"/>
        <w:adjustRightInd w:val="0"/>
        <w:spacing w:line="360" w:lineRule="auto"/>
        <w:ind w:firstLine="480" w:firstLineChars="200"/>
        <w:rPr>
          <w:color w:val="auto"/>
          <w:highlight w:val="none"/>
        </w:rPr>
      </w:pPr>
      <w:r>
        <w:rPr>
          <w:color w:val="auto"/>
          <w:highlight w:val="none"/>
        </w:rPr>
        <w:t>由公司应急指挥部全面指挥，及时通知厂外邻近的企业、社区等有关单位及部门，并派出专人深入现场指挥，组织疏散、撤离和防救工作。若发生了人员伤亡事故后，指挥中心应该立即与上级主管部门和地方政府联络，请求批示和援助。</w:t>
      </w:r>
    </w:p>
    <w:p>
      <w:pPr>
        <w:autoSpaceDE w:val="0"/>
        <w:autoSpaceDN w:val="0"/>
        <w:adjustRightInd w:val="0"/>
        <w:spacing w:line="360" w:lineRule="auto"/>
        <w:ind w:firstLine="480" w:firstLineChars="200"/>
        <w:rPr>
          <w:color w:val="auto"/>
          <w:highlight w:val="none"/>
        </w:rPr>
      </w:pPr>
      <w:r>
        <w:rPr>
          <w:color w:val="auto"/>
          <w:highlight w:val="none"/>
        </w:rPr>
        <w:t>③Ⅰ级</w:t>
      </w:r>
    </w:p>
    <w:p>
      <w:pPr>
        <w:autoSpaceDE w:val="0"/>
        <w:autoSpaceDN w:val="0"/>
        <w:adjustRightInd w:val="0"/>
        <w:spacing w:line="360" w:lineRule="auto"/>
        <w:ind w:firstLine="480" w:firstLineChars="200"/>
        <w:rPr>
          <w:color w:val="auto"/>
          <w:highlight w:val="none"/>
        </w:rPr>
      </w:pPr>
      <w:r>
        <w:rPr>
          <w:color w:val="auto"/>
          <w:highlight w:val="none"/>
        </w:rPr>
        <w:t>突发环境事件造成的环境污染影响到厂区以外，可能引起群体性影响的，或对员工安全和健康造成重大影响的。及时发布预警信息，可向</w:t>
      </w:r>
      <w:r>
        <w:rPr>
          <w:rFonts w:hint="eastAsia"/>
          <w:color w:val="auto"/>
          <w:highlight w:val="none"/>
        </w:rPr>
        <w:t>无锡金属表面处理科技工业园</w:t>
      </w:r>
      <w:r>
        <w:rPr>
          <w:rFonts w:hint="eastAsia"/>
          <w:color w:val="auto"/>
          <w:highlight w:val="none"/>
          <w:lang w:val="en-US" w:eastAsia="zh-CN"/>
        </w:rPr>
        <w:t>区</w:t>
      </w:r>
      <w:r>
        <w:rPr>
          <w:color w:val="auto"/>
          <w:highlight w:val="none"/>
        </w:rPr>
        <w:t>突发环境事件应急领导组请求援助</w:t>
      </w:r>
      <w:r>
        <w:rPr>
          <w:rFonts w:hint="eastAsia"/>
          <w:color w:val="auto"/>
          <w:highlight w:val="none"/>
        </w:rPr>
        <w:t>并移交指挥权</w:t>
      </w:r>
      <w:r>
        <w:rPr>
          <w:color w:val="auto"/>
          <w:highlight w:val="none"/>
        </w:rPr>
        <w:t>，由其统一对外发布险情。及时组织群众转移、并妥善安置，公安部门要做好现场治安维护工作。</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（2）预警条件</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下列情况发生时应发出风险预警：</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1）当气象部门发布红、橙台风、飓风、特大暴雨、暴雪等气象预警时；</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2）生产作业过程发生异常或事故，并可能造成环境事件时；</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3）厂区废气处理系统、污水处理设施、排水系统、事故池等均为主要防护设施，一旦出现上述任何一个设施不能正常发挥作用时，应及时发出风险预警；</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4）用于污染物监控的监控设备如在线监测仪发生超标或故障；</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5）上级应机构或周边单位发出事故预警。</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6）政府部门或总部监督性检查、媒体或社会环保组织曝光环境违法、群众及周边社区就环境污染投诉、发生环境事件政府部门介入、媒体关注。</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（3）预警信息发布程序</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1）收到上级应急机构或周边单位发出的预警信息后，接受人立即报告应急指挥中心，应急指挥中心总指挥或副总指挥立即分析研判可能对本公司造成的影响，确定预警等级，发布预警信息。</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2）收到气象部门预警信息后，环保部门立即报告应急指挥中心，应急指挥副总指挥立即按照气象部门预警级别，发布预警信息。</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3）公司内部发生事故或异常情况，当班班长立即报告运行部，运行部报告环保部门，环保部门立即报告应急指挥中心，应急指挥中心总指挥或副总指挥立即分析研判可能对本公司造成的影响，确定预警等级，发布预警信息。</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（4）预警内容及方式</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预警内容包括：预警信息来源、可能造成事件类型、影响范围及时间、应对方法、需要参与的部门或人员等。预警根据情况可通过文件、电话、现场告知等方式进行。</w:t>
      </w:r>
    </w:p>
    <w:p>
      <w:pPr>
        <w:pStyle w:val="6"/>
        <w:rPr>
          <w:color w:val="auto"/>
          <w:highlight w:val="none"/>
        </w:rPr>
      </w:pPr>
      <w:bookmarkStart w:id="87" w:name="_Toc28103259"/>
      <w:bookmarkStart w:id="88" w:name="_Toc273391332"/>
      <w:bookmarkStart w:id="89" w:name="_Toc273391656"/>
      <w:r>
        <w:rPr>
          <w:color w:val="auto"/>
          <w:highlight w:val="none"/>
        </w:rPr>
        <w:t>3.2.</w:t>
      </w:r>
      <w:r>
        <w:rPr>
          <w:rFonts w:hint="eastAsia"/>
          <w:color w:val="auto"/>
          <w:highlight w:val="none"/>
          <w:lang w:val="en-US" w:eastAsia="zh-CN"/>
        </w:rPr>
        <w:t>2</w:t>
      </w:r>
      <w:r>
        <w:rPr>
          <w:color w:val="auto"/>
          <w:highlight w:val="none"/>
        </w:rPr>
        <w:t xml:space="preserve"> </w:t>
      </w:r>
      <w:bookmarkEnd w:id="87"/>
      <w:bookmarkEnd w:id="88"/>
      <w:bookmarkEnd w:id="89"/>
      <w:r>
        <w:rPr>
          <w:color w:val="auto"/>
          <w:highlight w:val="none"/>
        </w:rPr>
        <w:t>预警信息的获得途径</w:t>
      </w:r>
    </w:p>
    <w:p>
      <w:pPr>
        <w:autoSpaceDE w:val="0"/>
        <w:autoSpaceDN w:val="0"/>
        <w:adjustRightInd w:val="0"/>
        <w:spacing w:line="360" w:lineRule="auto"/>
        <w:ind w:firstLine="480" w:firstLineChars="200"/>
        <w:rPr>
          <w:rFonts w:hint="default" w:eastAsia="宋体"/>
          <w:color w:val="auto"/>
          <w:highlight w:val="none"/>
          <w:lang w:val="en-US" w:eastAsia="zh-CN"/>
        </w:rPr>
      </w:pPr>
      <w:bookmarkStart w:id="90" w:name="_Toc28103260"/>
      <w:r>
        <w:rPr>
          <w:color w:val="auto"/>
          <w:highlight w:val="none"/>
        </w:rPr>
        <w:t>（1）</w:t>
      </w:r>
      <w:r>
        <w:rPr>
          <w:rFonts w:hint="eastAsia"/>
          <w:color w:val="auto"/>
          <w:highlight w:val="none"/>
          <w:lang w:val="en-US" w:eastAsia="zh-CN"/>
        </w:rPr>
        <w:t>监控报警</w:t>
      </w:r>
    </w:p>
    <w:p>
      <w:pPr>
        <w:snapToGrid w:val="0"/>
        <w:spacing w:line="360" w:lineRule="auto"/>
        <w:ind w:firstLine="480" w:firstLineChars="200"/>
        <w:rPr>
          <w:rFonts w:hint="eastAsia"/>
          <w:color w:val="auto"/>
          <w:highlight w:val="none"/>
        </w:rPr>
      </w:pPr>
      <w:r>
        <w:rPr>
          <w:rFonts w:hint="eastAsia"/>
          <w:color w:val="auto"/>
          <w:highlight w:val="none"/>
        </w:rPr>
        <w:t>公司各风险单元如</w:t>
      </w:r>
      <w:r>
        <w:rPr>
          <w:rFonts w:hint="eastAsia"/>
          <w:color w:val="auto"/>
          <w:highlight w:val="none"/>
          <w:lang w:val="en-US" w:eastAsia="zh-CN"/>
        </w:rPr>
        <w:t>镀铬生产线</w:t>
      </w:r>
      <w:r>
        <w:rPr>
          <w:rFonts w:hint="eastAsia"/>
          <w:color w:val="auto"/>
          <w:highlight w:val="none"/>
        </w:rPr>
        <w:t>、</w:t>
      </w:r>
      <w:r>
        <w:rPr>
          <w:rFonts w:hint="eastAsia"/>
          <w:color w:val="auto"/>
          <w:highlight w:val="none"/>
          <w:lang w:val="en-US" w:eastAsia="zh-CN"/>
        </w:rPr>
        <w:t>清洗线、</w:t>
      </w:r>
      <w:r>
        <w:rPr>
          <w:rFonts w:hint="eastAsia"/>
          <w:color w:val="auto"/>
          <w:highlight w:val="none"/>
        </w:rPr>
        <w:t>实验室、</w:t>
      </w:r>
      <w:r>
        <w:rPr>
          <w:rFonts w:hint="eastAsia"/>
          <w:color w:val="auto"/>
          <w:highlight w:val="none"/>
          <w:lang w:val="en-US" w:eastAsia="zh-CN"/>
        </w:rPr>
        <w:t>酸性库、碱性库、</w:t>
      </w:r>
      <w:r>
        <w:rPr>
          <w:rFonts w:hint="eastAsia"/>
          <w:color w:val="auto"/>
          <w:highlight w:val="none"/>
        </w:rPr>
        <w:t>污水处理</w:t>
      </w:r>
      <w:r>
        <w:rPr>
          <w:rFonts w:hint="eastAsia"/>
          <w:color w:val="auto"/>
          <w:highlight w:val="none"/>
          <w:lang w:val="en-US" w:eastAsia="zh-CN"/>
        </w:rPr>
        <w:t>设施以及</w:t>
      </w:r>
      <w:r>
        <w:rPr>
          <w:rFonts w:hint="eastAsia"/>
          <w:color w:val="auto"/>
          <w:highlight w:val="none"/>
        </w:rPr>
        <w:t>危废仓库等均设有视频监控，监控画面位于门卫，门卫设有人24小时值班，一旦发生异常，</w:t>
      </w:r>
      <w:r>
        <w:rPr>
          <w:rFonts w:hint="eastAsia"/>
          <w:color w:val="auto"/>
          <w:highlight w:val="none"/>
          <w:lang w:val="en-US" w:eastAsia="zh-CN"/>
        </w:rPr>
        <w:t>值班人员</w:t>
      </w:r>
      <w:r>
        <w:rPr>
          <w:rFonts w:hint="eastAsia"/>
          <w:color w:val="auto"/>
          <w:highlight w:val="none"/>
        </w:rPr>
        <w:t>可第一时间</w:t>
      </w:r>
      <w:r>
        <w:rPr>
          <w:rFonts w:hint="eastAsia"/>
          <w:color w:val="auto"/>
          <w:highlight w:val="none"/>
          <w:lang w:val="en-US" w:eastAsia="zh-CN"/>
        </w:rPr>
        <w:t>发布警报，</w:t>
      </w:r>
      <w:r>
        <w:rPr>
          <w:rFonts w:hint="eastAsia"/>
          <w:color w:val="auto"/>
          <w:highlight w:val="none"/>
        </w:rPr>
        <w:t>赶赴现场并采取控制措施。</w:t>
      </w:r>
    </w:p>
    <w:p>
      <w:pPr>
        <w:autoSpaceDE w:val="0"/>
        <w:autoSpaceDN w:val="0"/>
        <w:adjustRightInd w:val="0"/>
        <w:spacing w:line="360" w:lineRule="auto"/>
        <w:ind w:firstLine="480" w:firstLineChars="200"/>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24小时有效的报警装置</w:t>
      </w:r>
      <w:bookmarkEnd w:id="90"/>
    </w:p>
    <w:p>
      <w:pPr>
        <w:autoSpaceDE w:val="0"/>
        <w:autoSpaceDN w:val="0"/>
        <w:spacing w:line="360" w:lineRule="auto"/>
        <w:ind w:firstLine="480" w:firstLineChars="200"/>
        <w:rPr>
          <w:color w:val="auto"/>
          <w:highlight w:val="none"/>
        </w:rPr>
      </w:pPr>
      <w:r>
        <w:rPr>
          <w:rFonts w:hint="eastAsia"/>
          <w:color w:val="auto"/>
          <w:highlight w:val="none"/>
          <w:lang w:val="zh-CN"/>
        </w:rPr>
        <w:t>厂区内设置了消防联动报警系统，主机位于</w:t>
      </w:r>
      <w:r>
        <w:rPr>
          <w:rFonts w:hint="eastAsia"/>
          <w:color w:val="auto"/>
          <w:highlight w:val="none"/>
          <w:lang w:val="en-US" w:eastAsia="zh-CN"/>
        </w:rPr>
        <w:t>门卫</w:t>
      </w:r>
      <w:r>
        <w:rPr>
          <w:rFonts w:hint="eastAsia"/>
          <w:color w:val="auto"/>
          <w:highlight w:val="none"/>
          <w:lang w:val="zh-CN"/>
        </w:rPr>
        <w:t>室，</w:t>
      </w:r>
      <w:r>
        <w:rPr>
          <w:rFonts w:hint="eastAsia"/>
          <w:color w:val="auto"/>
          <w:highlight w:val="none"/>
          <w:lang w:val="en-US" w:eastAsia="zh-CN"/>
        </w:rPr>
        <w:t>办公及生产车间设置了10</w:t>
      </w:r>
      <w:r>
        <w:rPr>
          <w:rFonts w:hint="eastAsia"/>
          <w:color w:val="auto"/>
          <w:highlight w:val="none"/>
          <w:lang w:val="zh-CN"/>
        </w:rPr>
        <w:t>个手动报警装置</w:t>
      </w:r>
      <w:r>
        <w:rPr>
          <w:color w:val="auto"/>
          <w:highlight w:val="none"/>
          <w:lang w:val="zh-CN"/>
        </w:rPr>
        <w:t>。</w:t>
      </w:r>
    </w:p>
    <w:p>
      <w:pPr>
        <w:autoSpaceDE w:val="0"/>
        <w:autoSpaceDN w:val="0"/>
        <w:adjustRightInd w:val="0"/>
        <w:spacing w:line="360" w:lineRule="auto"/>
        <w:ind w:firstLine="480" w:firstLineChars="200"/>
        <w:rPr>
          <w:color w:val="auto"/>
          <w:highlight w:val="none"/>
        </w:rPr>
      </w:pPr>
      <w:r>
        <w:rPr>
          <w:color w:val="auto"/>
          <w:highlight w:val="none"/>
        </w:rPr>
        <w:t>现场报警装置应确保及时发现事故，做到及时报警，以明确事故发生的地理位置，初步评估事故的性质和规模，帮助应急救援指挥部直接了解事故现场应急行动状况、事故发展态势，为指挥部准确指挥和确定下一步应急行动方案提供依据。</w:t>
      </w:r>
      <w:r>
        <w:rPr>
          <w:rFonts w:hint="eastAsia"/>
          <w:color w:val="auto"/>
          <w:highlight w:val="none"/>
        </w:rPr>
        <w:t>我公司24小时应急值守电话为：</w:t>
      </w:r>
      <w:r>
        <w:rPr>
          <w:rFonts w:hint="eastAsia"/>
          <w:bCs/>
          <w:color w:val="auto"/>
          <w:highlight w:val="none"/>
        </w:rPr>
        <w:t>0510-83569238-8256</w:t>
      </w:r>
      <w:r>
        <w:rPr>
          <w:color w:val="auto"/>
          <w:highlight w:val="none"/>
        </w:rPr>
        <w:t>。</w:t>
      </w:r>
    </w:p>
    <w:p>
      <w:pPr>
        <w:spacing w:line="360" w:lineRule="auto"/>
        <w:ind w:firstLine="480" w:firstLineChars="200"/>
        <w:rPr>
          <w:color w:val="auto"/>
          <w:highlight w:val="none"/>
        </w:rPr>
      </w:pPr>
      <w:r>
        <w:rPr>
          <w:color w:val="auto"/>
          <w:highlight w:val="none"/>
        </w:rPr>
        <w:t>事故报警方式采用内部电话和外部电话（包括电话、手机等通讯工具）线路进行报警，由应急救援指挥部根据事态情况通过厂区广播向厂区内部发布事故消息，与外部主要通过电话联系。</w:t>
      </w:r>
    </w:p>
    <w:p>
      <w:pPr>
        <w:autoSpaceDE w:val="0"/>
        <w:autoSpaceDN w:val="0"/>
        <w:adjustRightInd w:val="0"/>
        <w:spacing w:line="360" w:lineRule="auto"/>
        <w:ind w:firstLine="480" w:firstLineChars="200"/>
        <w:rPr>
          <w:color w:val="auto"/>
          <w:highlight w:val="none"/>
        </w:rPr>
      </w:pPr>
      <w:bookmarkStart w:id="91" w:name="_Toc28103261"/>
      <w:r>
        <w:rPr>
          <w:color w:val="auto"/>
          <w:highlight w:val="none"/>
        </w:rPr>
        <w:t>（</w:t>
      </w:r>
      <w:r>
        <w:rPr>
          <w:rFonts w:hint="eastAsia"/>
          <w:color w:val="auto"/>
          <w:highlight w:val="none"/>
          <w:lang w:val="en-US" w:eastAsia="zh-CN"/>
        </w:rPr>
        <w:t>3</w:t>
      </w:r>
      <w:r>
        <w:rPr>
          <w:color w:val="auto"/>
          <w:highlight w:val="none"/>
        </w:rPr>
        <w:t>）24小时有效的内部、外部通讯联络手段</w:t>
      </w:r>
      <w:bookmarkEnd w:id="91"/>
    </w:p>
    <w:p>
      <w:pPr>
        <w:autoSpaceDE w:val="0"/>
        <w:autoSpaceDN w:val="0"/>
        <w:adjustRightInd w:val="0"/>
        <w:spacing w:line="360" w:lineRule="auto"/>
        <w:ind w:firstLine="480" w:firstLineChars="200"/>
        <w:rPr>
          <w:color w:val="auto"/>
          <w:highlight w:val="none"/>
        </w:rPr>
      </w:pPr>
      <w:r>
        <w:rPr>
          <w:color w:val="auto"/>
          <w:highlight w:val="none"/>
        </w:rPr>
        <w:t>事故报警通讯设备采用部门内部电话和外线电话（包括电话、手机等通讯工具）线路向公司应急救援指挥部进行报警，报警电话需分布在公司各部门及各岗位，以便随时可与应急救援指挥部取得联系，方便应急救援指挥部命令的及时下达。</w:t>
      </w:r>
    </w:p>
    <w:p>
      <w:pPr>
        <w:autoSpaceDE w:val="0"/>
        <w:autoSpaceDN w:val="0"/>
        <w:adjustRightInd w:val="0"/>
        <w:spacing w:line="360" w:lineRule="auto"/>
        <w:ind w:firstLine="480" w:firstLineChars="200"/>
        <w:rPr>
          <w:color w:val="auto"/>
          <w:highlight w:val="none"/>
        </w:rPr>
      </w:pPr>
      <w:r>
        <w:rPr>
          <w:color w:val="auto"/>
          <w:highlight w:val="none"/>
        </w:rPr>
        <w:t>应急救援机构成员之间采用手机、座机等通讯工具线路进行联系。应急救援机构成员的电话必须24小时开机。特殊情况下，电话号码发生变更，必须在变更之日起48小时内向应急救援指挥部报告。应急救援指挥部必须在24小时内向各成员和部门发布变更通知。</w:t>
      </w:r>
    </w:p>
    <w:p>
      <w:pPr>
        <w:autoSpaceDE w:val="0"/>
        <w:autoSpaceDN w:val="0"/>
        <w:adjustRightInd w:val="0"/>
        <w:spacing w:line="360" w:lineRule="auto"/>
        <w:ind w:firstLine="480" w:firstLineChars="200"/>
        <w:rPr>
          <w:color w:val="auto"/>
          <w:highlight w:val="none"/>
        </w:rPr>
      </w:pPr>
      <w:r>
        <w:rPr>
          <w:color w:val="auto"/>
          <w:highlight w:val="none"/>
        </w:rPr>
        <w:t>应急救援组员联系电话见表2.2-1，外部救援联系电话见下表。</w:t>
      </w:r>
    </w:p>
    <w:p>
      <w:pPr>
        <w:pStyle w:val="2"/>
        <w:rPr>
          <w:color w:val="auto"/>
          <w:highlight w:val="none"/>
        </w:rPr>
      </w:pPr>
    </w:p>
    <w:p>
      <w:pPr>
        <w:adjustRightInd w:val="0"/>
        <w:snapToGrid w:val="0"/>
        <w:jc w:val="center"/>
        <w:rPr>
          <w:b/>
          <w:bCs/>
          <w:color w:val="auto"/>
          <w:highlight w:val="none"/>
        </w:rPr>
      </w:pPr>
      <w:r>
        <w:rPr>
          <w:b/>
          <w:bCs/>
          <w:color w:val="auto"/>
          <w:highlight w:val="none"/>
        </w:rPr>
        <w:t>表3.2-1  现有外部应急救援队伍</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605"/>
        <w:gridCol w:w="4940"/>
        <w:gridCol w:w="35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bCs w:val="0"/>
                <w:color w:val="auto"/>
                <w:sz w:val="21"/>
                <w:szCs w:val="21"/>
                <w:highlight w:val="none"/>
                <w:lang w:eastAsia="zh-CN"/>
              </w:rPr>
            </w:pPr>
            <w:bookmarkStart w:id="92" w:name="_Toc28103262"/>
            <w:r>
              <w:rPr>
                <w:rFonts w:hint="eastAsia" w:ascii="宋体" w:hAnsi="宋体" w:eastAsia="宋体" w:cs="宋体"/>
                <w:b/>
                <w:bCs w:val="0"/>
                <w:color w:val="auto"/>
                <w:sz w:val="21"/>
                <w:szCs w:val="21"/>
                <w:highlight w:val="none"/>
                <w:lang w:val="en-US" w:eastAsia="zh-CN"/>
              </w:rPr>
              <w:t>序号</w:t>
            </w:r>
          </w:p>
        </w:tc>
        <w:tc>
          <w:tcPr>
            <w:tcW w:w="2719" w:type="pct"/>
            <w:noWrap w:val="0"/>
            <w:vAlign w:val="center"/>
          </w:tcPr>
          <w:p>
            <w:pPr>
              <w:pStyle w:val="47"/>
              <w:jc w:val="center"/>
              <w:rPr>
                <w:rFonts w:hint="eastAsia" w:ascii="宋体" w:hAnsi="宋体" w:eastAsia="宋体" w:cs="宋体"/>
                <w:b/>
                <w:bCs w:val="0"/>
                <w:snapToGrid w:val="0"/>
                <w:color w:val="auto"/>
                <w:kern w:val="0"/>
                <w:sz w:val="21"/>
                <w:szCs w:val="21"/>
                <w:highlight w:val="none"/>
                <w:lang w:val="en-US" w:eastAsia="zh-CN"/>
              </w:rPr>
            </w:pPr>
            <w:r>
              <w:rPr>
                <w:rFonts w:hint="eastAsia" w:ascii="宋体" w:hAnsi="宋体" w:eastAsia="宋体" w:cs="宋体"/>
                <w:b/>
                <w:bCs w:val="0"/>
                <w:snapToGrid w:val="0"/>
                <w:color w:val="auto"/>
                <w:kern w:val="0"/>
                <w:sz w:val="21"/>
                <w:szCs w:val="21"/>
                <w:highlight w:val="none"/>
                <w:lang w:val="en-US" w:eastAsia="zh-CN"/>
              </w:rPr>
              <w:t>联系单位</w:t>
            </w:r>
          </w:p>
        </w:tc>
        <w:tc>
          <w:tcPr>
            <w:tcW w:w="1947" w:type="pct"/>
            <w:noWrap w:val="0"/>
            <w:vAlign w:val="center"/>
          </w:tcPr>
          <w:p>
            <w:pPr>
              <w:pStyle w:val="47"/>
              <w:jc w:val="center"/>
              <w:rPr>
                <w:rFonts w:hint="eastAsia" w:ascii="宋体" w:hAnsi="宋体" w:eastAsia="宋体" w:cs="宋体"/>
                <w:b/>
                <w:bCs w:val="0"/>
                <w:snapToGrid w:val="0"/>
                <w:color w:val="auto"/>
                <w:kern w:val="0"/>
                <w:sz w:val="21"/>
                <w:szCs w:val="21"/>
                <w:highlight w:val="none"/>
                <w:lang w:val="en-US" w:eastAsia="zh-CN"/>
              </w:rPr>
            </w:pPr>
            <w:r>
              <w:rPr>
                <w:rFonts w:hint="eastAsia" w:ascii="宋体" w:hAnsi="宋体" w:eastAsia="宋体" w:cs="宋体"/>
                <w:b/>
                <w:bCs w:val="0"/>
                <w:snapToGrid w:val="0"/>
                <w:color w:val="auto"/>
                <w:kern w:val="0"/>
                <w:sz w:val="21"/>
                <w:szCs w:val="21"/>
                <w:highlight w:val="none"/>
                <w:lang w:val="en-US" w:eastAsia="zh-CN"/>
              </w:rPr>
              <w:t>联系电话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snapToGrid w:val="0"/>
                <w:color w:val="auto"/>
                <w:kern w:val="0"/>
                <w:sz w:val="21"/>
                <w:szCs w:val="21"/>
                <w:highlight w:val="none"/>
                <w:lang w:val="en-US" w:eastAsia="zh-CN"/>
              </w:rPr>
              <w:t>无锡鼎亚电子材料有限公司（相互救援单位联系人）</w:t>
            </w:r>
          </w:p>
        </w:tc>
        <w:tc>
          <w:tcPr>
            <w:tcW w:w="1947"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snapToGrid w:val="0"/>
                <w:color w:val="auto"/>
                <w:kern w:val="0"/>
                <w:sz w:val="21"/>
                <w:szCs w:val="21"/>
                <w:highlight w:val="none"/>
                <w:lang w:val="en-US" w:eastAsia="zh-CN"/>
              </w:rPr>
              <w:t>13921158502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2</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snapToGrid w:val="0"/>
                <w:color w:val="auto"/>
                <w:kern w:val="0"/>
                <w:sz w:val="21"/>
                <w:szCs w:val="21"/>
                <w:highlight w:val="none"/>
                <w:lang w:val="en-US" w:eastAsia="zh-CN"/>
              </w:rPr>
              <w:t>无锡金属表面处理科技工业园区24小时应急值守电话</w:t>
            </w:r>
          </w:p>
        </w:tc>
        <w:tc>
          <w:tcPr>
            <w:tcW w:w="1947"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snapToGrid w:val="0"/>
                <w:color w:val="auto"/>
                <w:kern w:val="0"/>
                <w:sz w:val="21"/>
                <w:szCs w:val="21"/>
                <w:highlight w:val="none"/>
                <w:lang w:val="en-US" w:eastAsia="zh-CN"/>
              </w:rPr>
              <w:t>0510-83550355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3</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无锡市生态环境安全应急中心</w:t>
            </w:r>
          </w:p>
        </w:tc>
        <w:tc>
          <w:tcPr>
            <w:tcW w:w="1947" w:type="pct"/>
            <w:noWrap w:val="0"/>
            <w:vAlign w:val="center"/>
          </w:tcPr>
          <w:p>
            <w:pPr>
              <w:adjustRightInd w:val="0"/>
              <w:snapToGri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81835151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4</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无锡市应急管理局</w:t>
            </w:r>
          </w:p>
        </w:tc>
        <w:tc>
          <w:tcPr>
            <w:tcW w:w="1947" w:type="pct"/>
            <w:noWrap w:val="0"/>
            <w:vAlign w:val="center"/>
          </w:tcPr>
          <w:p>
            <w:pPr>
              <w:adjustRightInd w:val="0"/>
              <w:snapToGri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82751110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5</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无锡市生态环境局</w:t>
            </w:r>
          </w:p>
        </w:tc>
        <w:tc>
          <w:tcPr>
            <w:tcW w:w="1947" w:type="pct"/>
            <w:noWrap w:val="0"/>
            <w:vAlign w:val="center"/>
          </w:tcPr>
          <w:p>
            <w:pPr>
              <w:adjustRightInd w:val="0"/>
              <w:snapToGri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6</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无锡市公安局惠山分局</w:t>
            </w:r>
          </w:p>
        </w:tc>
        <w:tc>
          <w:tcPr>
            <w:tcW w:w="1947" w:type="pct"/>
            <w:noWrap w:val="0"/>
            <w:vAlign w:val="center"/>
          </w:tcPr>
          <w:p>
            <w:pPr>
              <w:pStyle w:val="4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83566110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7</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无锡市惠山生态环境局</w:t>
            </w:r>
          </w:p>
        </w:tc>
        <w:tc>
          <w:tcPr>
            <w:tcW w:w="1947" w:type="pct"/>
            <w:noWrap w:val="0"/>
            <w:vAlign w:val="center"/>
          </w:tcPr>
          <w:p>
            <w:pPr>
              <w:pStyle w:val="4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82112345、13961832399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8</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无锡市惠山区应急管理局应急指挥中心</w:t>
            </w:r>
          </w:p>
        </w:tc>
        <w:tc>
          <w:tcPr>
            <w:tcW w:w="1947" w:type="pct"/>
            <w:noWrap w:val="0"/>
            <w:vAlign w:val="center"/>
          </w:tcPr>
          <w:p>
            <w:pPr>
              <w:pStyle w:val="4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83595510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9</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洛社镇生态环境办公室</w:t>
            </w:r>
          </w:p>
        </w:tc>
        <w:tc>
          <w:tcPr>
            <w:tcW w:w="1947" w:type="pct"/>
            <w:noWrap w:val="0"/>
            <w:vAlign w:val="center"/>
          </w:tcPr>
          <w:p>
            <w:pPr>
              <w:pStyle w:val="4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83833981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sz w:val="21"/>
                <w:szCs w:val="21"/>
                <w:highlight w:val="none"/>
                <w:lang w:val="en-US" w:eastAsia="zh-CN"/>
              </w:rPr>
              <w:t>10</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无锡市惠山区交通运输局</w:t>
            </w:r>
          </w:p>
        </w:tc>
        <w:tc>
          <w:tcPr>
            <w:tcW w:w="1947" w:type="pct"/>
            <w:noWrap w:val="0"/>
            <w:vAlign w:val="center"/>
          </w:tcPr>
          <w:p>
            <w:pPr>
              <w:pStyle w:val="4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83503303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11</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惠山区环境监测站</w:t>
            </w:r>
          </w:p>
        </w:tc>
        <w:tc>
          <w:tcPr>
            <w:tcW w:w="1947" w:type="pct"/>
            <w:noWrap w:val="0"/>
            <w:vAlign w:val="center"/>
          </w:tcPr>
          <w:p>
            <w:pPr>
              <w:pStyle w:val="4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83591739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12</w:t>
            </w:r>
          </w:p>
        </w:tc>
        <w:tc>
          <w:tcPr>
            <w:tcW w:w="2719" w:type="pct"/>
            <w:noWrap w:val="0"/>
            <w:vAlign w:val="center"/>
          </w:tcPr>
          <w:p>
            <w:pPr>
              <w:pStyle w:val="47"/>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无锡市惠山区消防救援大队</w:t>
            </w:r>
          </w:p>
        </w:tc>
        <w:tc>
          <w:tcPr>
            <w:tcW w:w="1947" w:type="pct"/>
            <w:noWrap w:val="0"/>
            <w:vAlign w:val="center"/>
          </w:tcPr>
          <w:p>
            <w:pPr>
              <w:pStyle w:val="47"/>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83560119/119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13</w:t>
            </w:r>
          </w:p>
        </w:tc>
        <w:tc>
          <w:tcPr>
            <w:tcW w:w="2719" w:type="pct"/>
            <w:noWrap w:val="0"/>
            <w:vAlign w:val="center"/>
          </w:tcPr>
          <w:p>
            <w:pPr>
              <w:adjustRightInd w:val="0"/>
              <w:snapToGrid w:val="0"/>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急救中心</w:t>
            </w:r>
          </w:p>
        </w:tc>
        <w:tc>
          <w:tcPr>
            <w:tcW w:w="1947" w:type="pct"/>
            <w:noWrap w:val="0"/>
            <w:vAlign w:val="center"/>
          </w:tcPr>
          <w:p>
            <w:pPr>
              <w:adjustRightInd w:val="0"/>
              <w:snapToGri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
              <w:numPr>
                <w:ilvl w:val="0"/>
                <w:numId w:val="0"/>
              </w:numPr>
              <w:tabs>
                <w:tab w:val="left" w:pos="432"/>
              </w:tabs>
              <w:bidi w:val="0"/>
              <w:ind w:left="0" w:leftChars="0" w:firstLine="0" w:firstLineChars="0"/>
              <w:jc w:val="center"/>
              <w:rPr>
                <w:rFonts w:hint="eastAsia" w:ascii="宋体" w:hAnsi="宋体" w:eastAsia="宋体" w:cs="宋体"/>
                <w:b w:val="0"/>
                <w:bCs/>
                <w:color w:val="auto"/>
                <w:kern w:val="2"/>
                <w:sz w:val="21"/>
                <w:szCs w:val="21"/>
                <w:highlight w:val="none"/>
                <w:lang w:val="en-US" w:eastAsia="zh-CN" w:bidi="ar-SA"/>
              </w:rPr>
            </w:pPr>
            <w:bookmarkStart w:id="93" w:name="_Toc4157"/>
            <w:r>
              <w:rPr>
                <w:rFonts w:hint="eastAsia" w:ascii="宋体" w:hAnsi="宋体" w:eastAsia="宋体" w:cs="宋体"/>
                <w:b w:val="0"/>
                <w:bCs/>
                <w:color w:val="auto"/>
                <w:kern w:val="2"/>
                <w:sz w:val="21"/>
                <w:szCs w:val="21"/>
                <w:highlight w:val="none"/>
                <w:lang w:val="en-US" w:eastAsia="zh-CN" w:bidi="ar-SA"/>
              </w:rPr>
              <w:t>14</w:t>
            </w:r>
            <w:bookmarkEnd w:id="93"/>
          </w:p>
        </w:tc>
        <w:tc>
          <w:tcPr>
            <w:tcW w:w="2719" w:type="pct"/>
            <w:noWrap w:val="0"/>
            <w:vAlign w:val="center"/>
          </w:tcPr>
          <w:p>
            <w:pPr>
              <w:adjustRightInd w:val="0"/>
              <w:snapToGrid w:val="0"/>
              <w:jc w:val="center"/>
              <w:rPr>
                <w:rFonts w:hint="eastAsia" w:ascii="宋体" w:hAnsi="宋体" w:eastAsia="宋体" w:cs="宋体"/>
                <w:b w:val="0"/>
                <w:bCs/>
                <w:snapToGrid w:val="0"/>
                <w:color w:val="auto"/>
                <w:kern w:val="0"/>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无锡市惠山区人民医院</w:t>
            </w:r>
          </w:p>
        </w:tc>
        <w:tc>
          <w:tcPr>
            <w:tcW w:w="1947" w:type="pct"/>
            <w:noWrap w:val="0"/>
            <w:vAlign w:val="center"/>
          </w:tcPr>
          <w:p>
            <w:pPr>
              <w:adjustRightInd w:val="0"/>
              <w:snapToGrid w:val="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2"/>
                <w:sz w:val="21"/>
                <w:szCs w:val="21"/>
                <w:highlight w:val="none"/>
                <w:lang w:val="en-US" w:eastAsia="zh-CN" w:bidi="ar-SA"/>
              </w:rPr>
              <w:t>83318119、83310273（非上班时间）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
              <w:numPr>
                <w:ilvl w:val="0"/>
                <w:numId w:val="0"/>
              </w:numPr>
              <w:tabs>
                <w:tab w:val="left" w:pos="432"/>
              </w:tabs>
              <w:bidi w:val="0"/>
              <w:jc w:val="center"/>
              <w:rPr>
                <w:rFonts w:hint="eastAsia" w:ascii="宋体" w:hAnsi="宋体" w:eastAsia="宋体" w:cs="宋体"/>
                <w:b w:val="0"/>
                <w:bCs/>
                <w:color w:val="auto"/>
                <w:kern w:val="2"/>
                <w:sz w:val="21"/>
                <w:szCs w:val="21"/>
                <w:highlight w:val="none"/>
                <w:lang w:val="en-US" w:eastAsia="zh-CN" w:bidi="ar-SA"/>
              </w:rPr>
            </w:pPr>
            <w:bookmarkStart w:id="94" w:name="_Toc25920"/>
            <w:r>
              <w:rPr>
                <w:rFonts w:hint="eastAsia" w:ascii="宋体" w:hAnsi="宋体" w:eastAsia="宋体" w:cs="宋体"/>
                <w:b w:val="0"/>
                <w:bCs/>
                <w:color w:val="auto"/>
                <w:kern w:val="2"/>
                <w:sz w:val="21"/>
                <w:szCs w:val="21"/>
                <w:highlight w:val="none"/>
                <w:lang w:val="en-US" w:eastAsia="zh-CN" w:bidi="ar-SA"/>
              </w:rPr>
              <w:t>15</w:t>
            </w:r>
            <w:bookmarkEnd w:id="94"/>
          </w:p>
        </w:tc>
        <w:tc>
          <w:tcPr>
            <w:tcW w:w="2719" w:type="pct"/>
            <w:noWrap w:val="0"/>
            <w:vAlign w:val="center"/>
          </w:tcPr>
          <w:p>
            <w:pPr>
              <w:adjustRightInd w:val="0"/>
              <w:snapToGrid w:val="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无锡市疾控中心</w:t>
            </w:r>
          </w:p>
        </w:tc>
        <w:tc>
          <w:tcPr>
            <w:tcW w:w="1947" w:type="pct"/>
            <w:noWrap w:val="0"/>
            <w:vAlign w:val="center"/>
          </w:tcPr>
          <w:p>
            <w:pPr>
              <w:adjustRightInd w:val="0"/>
              <w:snapToGrid w:val="0"/>
              <w:jc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82723439</w:t>
            </w:r>
          </w:p>
        </w:tc>
      </w:tr>
    </w:tbl>
    <w:p>
      <w:pPr>
        <w:autoSpaceDE w:val="0"/>
        <w:autoSpaceDN w:val="0"/>
        <w:adjustRightInd w:val="0"/>
        <w:spacing w:before="120" w:beforeLines="50" w:line="360" w:lineRule="auto"/>
        <w:ind w:firstLine="480" w:firstLineChars="200"/>
        <w:rPr>
          <w:color w:val="auto"/>
          <w:highlight w:val="none"/>
        </w:rPr>
      </w:pPr>
      <w:r>
        <w:rPr>
          <w:color w:val="auto"/>
          <w:highlight w:val="none"/>
        </w:rPr>
        <w:t>（3）运输过程通讯联络方式</w:t>
      </w:r>
      <w:bookmarkEnd w:id="92"/>
    </w:p>
    <w:p>
      <w:pPr>
        <w:autoSpaceDE w:val="0"/>
        <w:autoSpaceDN w:val="0"/>
        <w:adjustRightInd w:val="0"/>
        <w:spacing w:line="360" w:lineRule="auto"/>
        <w:ind w:firstLine="480" w:firstLineChars="200"/>
        <w:rPr>
          <w:color w:val="auto"/>
          <w:highlight w:val="none"/>
        </w:rPr>
      </w:pPr>
      <w:r>
        <w:rPr>
          <w:color w:val="auto"/>
          <w:highlight w:val="none"/>
        </w:rPr>
        <w:t>运输过程中若出现事故，运输司机应通过手机等通讯工具和应急救援指挥部取得联系，及时汇报事故发生时间、地点、类型和排放污染物的种类等情况。</w:t>
      </w:r>
    </w:p>
    <w:p>
      <w:pPr>
        <w:pStyle w:val="6"/>
        <w:rPr>
          <w:color w:val="auto"/>
          <w:highlight w:val="none"/>
        </w:rPr>
      </w:pPr>
      <w:r>
        <w:rPr>
          <w:color w:val="auto"/>
          <w:highlight w:val="none"/>
        </w:rPr>
        <w:t>3.2.</w:t>
      </w:r>
      <w:r>
        <w:rPr>
          <w:rFonts w:hint="eastAsia"/>
          <w:color w:val="auto"/>
          <w:highlight w:val="none"/>
        </w:rPr>
        <w:t>3</w:t>
      </w:r>
      <w:r>
        <w:rPr>
          <w:color w:val="auto"/>
          <w:highlight w:val="none"/>
        </w:rPr>
        <w:t>分析研判的方式方法</w:t>
      </w:r>
    </w:p>
    <w:p>
      <w:pPr>
        <w:autoSpaceDE w:val="0"/>
        <w:autoSpaceDN w:val="0"/>
        <w:snapToGrid w:val="0"/>
        <w:spacing w:line="360" w:lineRule="auto"/>
        <w:ind w:firstLine="480" w:firstLineChars="200"/>
        <w:rPr>
          <w:color w:val="auto"/>
          <w:highlight w:val="none"/>
        </w:rPr>
      </w:pPr>
      <w:r>
        <w:rPr>
          <w:rFonts w:hint="eastAsia"/>
          <w:color w:val="auto"/>
          <w:highlight w:val="none"/>
        </w:rPr>
        <w:t>在接到警报时，先对报警信息进行初步的研判，若确定为假警时，针对假警的内容进行相应的信息处置；若确定报警信息如实，则上报应急指挥部，应急指挥部组织有关部门和专业处置小组，根据预报信息分析对该时间的危害程度、紧急程度和发展态势进行会商初判，并安排人员进行先期处置，采取相应的防范措施，避免事态进一步恶化。</w:t>
      </w:r>
    </w:p>
    <w:p>
      <w:pPr>
        <w:pStyle w:val="6"/>
        <w:rPr>
          <w:color w:val="auto"/>
          <w:highlight w:val="none"/>
        </w:rPr>
      </w:pPr>
      <w:bookmarkStart w:id="95" w:name="_Toc28103257"/>
      <w:r>
        <w:rPr>
          <w:color w:val="auto"/>
          <w:highlight w:val="none"/>
        </w:rPr>
        <w:t>3.2.</w:t>
      </w:r>
      <w:r>
        <w:rPr>
          <w:rFonts w:hint="eastAsia"/>
          <w:color w:val="auto"/>
          <w:highlight w:val="none"/>
          <w:lang w:val="en-US" w:eastAsia="zh-CN"/>
        </w:rPr>
        <w:t>4</w:t>
      </w:r>
      <w:r>
        <w:rPr>
          <w:color w:val="auto"/>
          <w:highlight w:val="none"/>
        </w:rPr>
        <w:t xml:space="preserve"> 预警发布与解除</w:t>
      </w:r>
      <w:bookmarkEnd w:id="95"/>
    </w:p>
    <w:p>
      <w:pPr>
        <w:autoSpaceDE w:val="0"/>
        <w:autoSpaceDN w:val="0"/>
        <w:adjustRightInd w:val="0"/>
        <w:spacing w:line="360" w:lineRule="auto"/>
        <w:outlineLvl w:val="3"/>
        <w:rPr>
          <w:b/>
          <w:bCs/>
          <w:color w:val="auto"/>
          <w:highlight w:val="none"/>
        </w:rPr>
      </w:pPr>
      <w:r>
        <w:rPr>
          <w:b/>
          <w:bCs/>
          <w:color w:val="auto"/>
          <w:highlight w:val="none"/>
        </w:rPr>
        <w:t>3.2.</w:t>
      </w:r>
      <w:r>
        <w:rPr>
          <w:rFonts w:hint="eastAsia"/>
          <w:b/>
          <w:bCs/>
          <w:color w:val="auto"/>
          <w:highlight w:val="none"/>
          <w:lang w:val="en-US" w:eastAsia="zh-CN"/>
        </w:rPr>
        <w:t>4.1</w:t>
      </w:r>
      <w:r>
        <w:rPr>
          <w:b/>
          <w:bCs/>
          <w:color w:val="auto"/>
          <w:highlight w:val="none"/>
        </w:rPr>
        <w:t xml:space="preserve"> 预警发布</w:t>
      </w:r>
    </w:p>
    <w:p>
      <w:pPr>
        <w:autoSpaceDE w:val="0"/>
        <w:autoSpaceDN w:val="0"/>
        <w:adjustRightInd w:val="0"/>
        <w:spacing w:line="360" w:lineRule="auto"/>
        <w:ind w:firstLine="480" w:firstLineChars="200"/>
        <w:rPr>
          <w:color w:val="auto"/>
          <w:highlight w:val="none"/>
        </w:rPr>
      </w:pPr>
      <w:r>
        <w:rPr>
          <w:color w:val="auto"/>
          <w:highlight w:val="none"/>
        </w:rPr>
        <w:t>预警方式可通过管理人员或现场其他工作人员的报警、警示等。</w:t>
      </w:r>
    </w:p>
    <w:p>
      <w:pPr>
        <w:autoSpaceDE w:val="0"/>
        <w:autoSpaceDN w:val="0"/>
        <w:adjustRightInd w:val="0"/>
        <w:spacing w:line="360" w:lineRule="auto"/>
        <w:ind w:firstLine="480" w:firstLineChars="200"/>
        <w:rPr>
          <w:color w:val="auto"/>
          <w:highlight w:val="none"/>
        </w:rPr>
      </w:pPr>
      <w:r>
        <w:rPr>
          <w:color w:val="auto"/>
          <w:highlight w:val="none"/>
        </w:rPr>
        <w:t>进入预警状态后，企业应采取以下预警措施：</w:t>
      </w:r>
    </w:p>
    <w:p>
      <w:pPr>
        <w:autoSpaceDE w:val="0"/>
        <w:autoSpaceDN w:val="0"/>
        <w:adjustRightInd w:val="0"/>
        <w:spacing w:line="360" w:lineRule="auto"/>
        <w:ind w:firstLine="480" w:firstLineChars="200"/>
        <w:rPr>
          <w:color w:val="auto"/>
          <w:highlight w:val="none"/>
        </w:rPr>
      </w:pPr>
      <w:r>
        <w:rPr>
          <w:color w:val="auto"/>
          <w:highlight w:val="none"/>
        </w:rPr>
        <w:t>（1）立即启动应急预案。</w:t>
      </w:r>
    </w:p>
    <w:p>
      <w:pPr>
        <w:autoSpaceDE w:val="0"/>
        <w:autoSpaceDN w:val="0"/>
        <w:adjustRightInd w:val="0"/>
        <w:spacing w:line="360" w:lineRule="auto"/>
        <w:ind w:firstLine="480" w:firstLineChars="200"/>
        <w:rPr>
          <w:color w:val="auto"/>
          <w:highlight w:val="none"/>
        </w:rPr>
      </w:pPr>
      <w:r>
        <w:rPr>
          <w:color w:val="auto"/>
          <w:highlight w:val="none"/>
        </w:rPr>
        <w:t>（2）</w:t>
      </w:r>
      <w:r>
        <w:rPr>
          <w:rFonts w:hint="eastAsia"/>
          <w:color w:val="auto"/>
          <w:highlight w:val="none"/>
        </w:rPr>
        <w:t>通知本预案涉及的相关人员进入待命状态做好应急准备。</w:t>
      </w:r>
      <w:r>
        <w:rPr>
          <w:color w:val="auto"/>
          <w:highlight w:val="none"/>
        </w:rPr>
        <w:t>按照环境污染事故发布预警的等级，向所属部门以及附近居民发布预警等级。Ⅰ级预警：现场人员报告部门负责人，部门负责人核实情况后立即报告公司，公司应急指挥中心依据现场情况决定是否通知相关机构协助应急救援。若可能发生的环境污染事件严重，应当及时向县、市政府部门报告，由县、市领导决定后发布预警等级。Ⅱ级预警：现场人员向</w:t>
      </w:r>
      <w:r>
        <w:rPr>
          <w:rFonts w:hint="eastAsia"/>
          <w:color w:val="auto"/>
          <w:highlight w:val="none"/>
        </w:rPr>
        <w:t>车间负责人</w:t>
      </w:r>
      <w:r>
        <w:rPr>
          <w:color w:val="auto"/>
          <w:highlight w:val="none"/>
        </w:rPr>
        <w:t>报告，由</w:t>
      </w:r>
      <w:r>
        <w:rPr>
          <w:rFonts w:hint="eastAsia"/>
          <w:color w:val="auto"/>
          <w:highlight w:val="none"/>
        </w:rPr>
        <w:t>车间负责人</w:t>
      </w:r>
      <w:r>
        <w:rPr>
          <w:color w:val="auto"/>
          <w:highlight w:val="none"/>
        </w:rPr>
        <w:t>负责上报事故情况，公司应急指挥中心宣布启动预案。Ⅲ级预警：现场人员立即报告</w:t>
      </w:r>
      <w:r>
        <w:rPr>
          <w:rFonts w:hint="eastAsia"/>
          <w:color w:val="auto"/>
          <w:highlight w:val="none"/>
        </w:rPr>
        <w:t>车间负责人</w:t>
      </w:r>
      <w:r>
        <w:rPr>
          <w:color w:val="auto"/>
          <w:highlight w:val="none"/>
        </w:rPr>
        <w:t>，</w:t>
      </w:r>
      <w:r>
        <w:rPr>
          <w:rFonts w:hint="eastAsia"/>
          <w:color w:val="auto"/>
          <w:highlight w:val="none"/>
        </w:rPr>
        <w:t>车间负责人</w:t>
      </w:r>
      <w:r>
        <w:rPr>
          <w:color w:val="auto"/>
          <w:highlight w:val="none"/>
        </w:rPr>
        <w:t>视现场情况组织现场处置，协调相关部门进行现场处置，落实巡查、监控措施；如隐患未消除，应通知相关应急部门、人员作好应急准备。遇非工作日时，通知值班人员，并及时报告应急指挥中心总指挥和有关人员。在厂内发布预警公告。</w:t>
      </w:r>
    </w:p>
    <w:p>
      <w:pPr>
        <w:autoSpaceDE w:val="0"/>
        <w:autoSpaceDN w:val="0"/>
        <w:adjustRightInd w:val="0"/>
        <w:spacing w:line="360" w:lineRule="auto"/>
        <w:ind w:firstLine="480" w:firstLineChars="200"/>
        <w:rPr>
          <w:color w:val="auto"/>
          <w:highlight w:val="none"/>
        </w:rPr>
      </w:pPr>
      <w:r>
        <w:rPr>
          <w:rFonts w:hint="eastAsia"/>
          <w:color w:val="auto"/>
          <w:highlight w:val="none"/>
        </w:rPr>
        <w:t>预警责任人：总指挥或</w:t>
      </w:r>
      <w:r>
        <w:rPr>
          <w:rFonts w:hint="eastAsia"/>
          <w:color w:val="auto"/>
          <w:highlight w:val="none"/>
          <w:lang w:val="en-US" w:eastAsia="zh-CN"/>
        </w:rPr>
        <w:t>副</w:t>
      </w:r>
      <w:r>
        <w:rPr>
          <w:rFonts w:hint="eastAsia"/>
          <w:color w:val="auto"/>
          <w:highlight w:val="none"/>
        </w:rPr>
        <w:t>总指挥</w:t>
      </w:r>
    </w:p>
    <w:p>
      <w:pPr>
        <w:autoSpaceDE w:val="0"/>
        <w:autoSpaceDN w:val="0"/>
        <w:adjustRightInd w:val="0"/>
        <w:spacing w:line="360" w:lineRule="auto"/>
        <w:ind w:firstLine="480" w:firstLineChars="200"/>
        <w:rPr>
          <w:color w:val="auto"/>
          <w:highlight w:val="none"/>
        </w:rPr>
      </w:pPr>
      <w:r>
        <w:rPr>
          <w:color w:val="auto"/>
          <w:highlight w:val="none"/>
        </w:rPr>
        <w:t>（3）</w:t>
      </w:r>
      <w:r>
        <w:rPr>
          <w:rFonts w:hint="eastAsia"/>
          <w:color w:val="auto"/>
          <w:highlight w:val="none"/>
        </w:rPr>
        <w:t>对可能造成或已造成污染的源头加强监控或进入控制</w:t>
      </w:r>
      <w:r>
        <w:rPr>
          <w:color w:val="auto"/>
          <w:highlight w:val="none"/>
        </w:rPr>
        <w:t>。</w:t>
      </w:r>
    </w:p>
    <w:p>
      <w:pPr>
        <w:autoSpaceDE w:val="0"/>
        <w:autoSpaceDN w:val="0"/>
        <w:adjustRightInd w:val="0"/>
        <w:spacing w:line="360" w:lineRule="auto"/>
        <w:ind w:firstLine="480" w:firstLineChars="200"/>
        <w:rPr>
          <w:color w:val="auto"/>
          <w:highlight w:val="none"/>
        </w:rPr>
      </w:pPr>
      <w:r>
        <w:rPr>
          <w:color w:val="auto"/>
          <w:highlight w:val="none"/>
        </w:rPr>
        <w:t>（4）</w:t>
      </w:r>
      <w:r>
        <w:rPr>
          <w:rFonts w:hint="eastAsia"/>
          <w:color w:val="auto"/>
          <w:highlight w:val="none"/>
        </w:rPr>
        <w:t>明确在应急人员未抵达事故现场时，事故现场负责人需根据不同的事故情景，组织对事态进行先期控制，核实可能造成污染的风险物质、种类和数量，避免事态进一步加剧</w:t>
      </w:r>
      <w:r>
        <w:rPr>
          <w:color w:val="auto"/>
          <w:highlight w:val="none"/>
        </w:rPr>
        <w:t>。</w:t>
      </w:r>
    </w:p>
    <w:p>
      <w:pPr>
        <w:autoSpaceDE w:val="0"/>
        <w:autoSpaceDN w:val="0"/>
        <w:adjustRightInd w:val="0"/>
        <w:spacing w:line="360" w:lineRule="auto"/>
        <w:ind w:firstLine="480" w:firstLineChars="200"/>
        <w:rPr>
          <w:color w:val="auto"/>
          <w:highlight w:val="none"/>
        </w:rPr>
      </w:pPr>
      <w:r>
        <w:rPr>
          <w:color w:val="auto"/>
          <w:highlight w:val="none"/>
        </w:rPr>
        <w:t>（5）针对突发事故可能造成的危害，封闭、隔离或者限制使用事发场所，中止可能导致危害扩大的行为和活动。</w:t>
      </w:r>
    </w:p>
    <w:p>
      <w:pPr>
        <w:autoSpaceDE w:val="0"/>
        <w:autoSpaceDN w:val="0"/>
        <w:adjustRightInd w:val="0"/>
        <w:spacing w:line="360" w:lineRule="auto"/>
        <w:ind w:firstLine="480" w:firstLineChars="200"/>
        <w:rPr>
          <w:color w:val="auto"/>
          <w:highlight w:val="none"/>
        </w:rPr>
      </w:pPr>
      <w:r>
        <w:rPr>
          <w:color w:val="auto"/>
          <w:highlight w:val="none"/>
        </w:rPr>
        <w:t>（6）调集厂内应急所需的物资和设备，确保应急保障工作。</w:t>
      </w:r>
    </w:p>
    <w:p>
      <w:pPr>
        <w:autoSpaceDE w:val="0"/>
        <w:autoSpaceDN w:val="0"/>
        <w:adjustRightInd w:val="0"/>
        <w:spacing w:line="360" w:lineRule="auto"/>
        <w:ind w:firstLine="480" w:firstLineChars="200"/>
        <w:rPr>
          <w:color w:val="auto"/>
          <w:highlight w:val="none"/>
        </w:rPr>
      </w:pPr>
      <w:r>
        <w:rPr>
          <w:rFonts w:hint="eastAsia"/>
          <w:color w:val="auto"/>
          <w:highlight w:val="none"/>
        </w:rPr>
        <w:t>（7）做好事故信息上报和通报或相关准备工作。</w:t>
      </w:r>
    </w:p>
    <w:p>
      <w:pPr>
        <w:autoSpaceDE w:val="0"/>
        <w:autoSpaceDN w:val="0"/>
        <w:adjustRightInd w:val="0"/>
        <w:spacing w:line="360" w:lineRule="auto"/>
        <w:ind w:firstLine="480" w:firstLineChars="200"/>
        <w:rPr>
          <w:color w:val="auto"/>
          <w:highlight w:val="none"/>
        </w:rPr>
      </w:pPr>
      <w:r>
        <w:rPr>
          <w:rFonts w:hint="eastAsia"/>
          <w:color w:val="auto"/>
          <w:highlight w:val="none"/>
        </w:rPr>
        <w:t>（8）做好协助政府疏散周边敏感受体准备工作。</w:t>
      </w:r>
    </w:p>
    <w:p>
      <w:pPr>
        <w:autoSpaceDE w:val="0"/>
        <w:autoSpaceDN w:val="0"/>
        <w:adjustRightInd w:val="0"/>
        <w:spacing w:line="360" w:lineRule="auto"/>
        <w:ind w:firstLine="480" w:firstLineChars="200"/>
        <w:rPr>
          <w:color w:val="auto"/>
          <w:highlight w:val="none"/>
        </w:rPr>
      </w:pPr>
      <w:r>
        <w:rPr>
          <w:rFonts w:hint="eastAsia"/>
          <w:color w:val="auto"/>
          <w:highlight w:val="none"/>
        </w:rPr>
        <w:t>（9）做好开展应急监测的准备。</w:t>
      </w:r>
    </w:p>
    <w:p>
      <w:pPr>
        <w:autoSpaceDE w:val="0"/>
        <w:autoSpaceDN w:val="0"/>
        <w:adjustRightInd w:val="0"/>
        <w:spacing w:line="360" w:lineRule="auto"/>
        <w:outlineLvl w:val="3"/>
        <w:rPr>
          <w:b/>
          <w:bCs/>
          <w:color w:val="auto"/>
          <w:highlight w:val="none"/>
        </w:rPr>
      </w:pPr>
      <w:bookmarkStart w:id="96" w:name="_Toc430938367"/>
      <w:bookmarkStart w:id="97" w:name="_Toc514743345"/>
      <w:bookmarkStart w:id="98" w:name="_Toc515440040"/>
      <w:r>
        <w:rPr>
          <w:rFonts w:hint="eastAsia"/>
          <w:b/>
          <w:bCs/>
          <w:color w:val="auto"/>
          <w:highlight w:val="none"/>
          <w:lang w:val="en-US" w:eastAsia="zh-CN"/>
        </w:rPr>
        <w:t>3.4.4.2</w:t>
      </w:r>
      <w:r>
        <w:rPr>
          <w:rFonts w:hint="eastAsia"/>
          <w:b/>
          <w:bCs/>
          <w:color w:val="auto"/>
          <w:highlight w:val="none"/>
        </w:rPr>
        <w:t>预警解除</w:t>
      </w:r>
      <w:bookmarkEnd w:id="96"/>
      <w:bookmarkEnd w:id="97"/>
      <w:bookmarkEnd w:id="98"/>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应急指挥中心办公室收集核实符合预警解除条件后，报告应急指挥中心宣布预警解除。</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（1）政府部门或总部通知、通报的重大政治活动、重大社会活动已结束，政府部门或总部监督性检查已结束。</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（2）气象台发布的恶劣气象条件预警信息，恶劣气象条件下政府部门环境质量管控已解除。</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（3）媒体、社会环保组织、群众及周边社区就环境污染投诉、曝光政府部门介入的环境事件已妥善处置。</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（4）生产区域供电已恢复正常，生产装置开停工检修、主要环保处理设施检修已完成、重要环境应急保障设施已恢复正常运转或备用。</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（5）生产波动、安全生产事故（隐患）已消除。</w:t>
      </w:r>
    </w:p>
    <w:p>
      <w:pPr>
        <w:autoSpaceDE w:val="0"/>
        <w:autoSpaceDN w:val="0"/>
        <w:adjustRightInd w:val="0"/>
        <w:spacing w:line="360" w:lineRule="auto"/>
        <w:ind w:firstLine="480" w:firstLineChars="200"/>
        <w:rPr>
          <w:rFonts w:hint="eastAsia"/>
          <w:color w:val="auto"/>
          <w:highlight w:val="none"/>
        </w:rPr>
      </w:pPr>
      <w:r>
        <w:rPr>
          <w:rFonts w:hint="eastAsia"/>
          <w:color w:val="auto"/>
          <w:highlight w:val="none"/>
        </w:rPr>
        <w:t>（6）外排废水、厂界区大气环境监测数据已达标。</w:t>
      </w:r>
    </w:p>
    <w:p>
      <w:pPr>
        <w:pStyle w:val="3"/>
        <w:numPr>
          <w:ilvl w:val="0"/>
          <w:numId w:val="0"/>
        </w:numPr>
        <w:rPr>
          <w:color w:val="auto"/>
          <w:highlight w:val="none"/>
        </w:rPr>
        <w:sectPr>
          <w:pgSz w:w="11907" w:h="16840"/>
          <w:pgMar w:top="1402" w:right="1440" w:bottom="1797" w:left="1440" w:header="851" w:footer="992" w:gutter="0"/>
          <w:pgBorders>
            <w:top w:val="none" w:sz="0" w:space="0"/>
            <w:left w:val="none" w:sz="0" w:space="0"/>
            <w:bottom w:val="none" w:sz="0" w:space="0"/>
            <w:right w:val="none" w:sz="0" w:space="0"/>
          </w:pgBorders>
          <w:pgNumType w:fmt="decimal"/>
          <w:cols w:space="720" w:num="1"/>
        </w:sectPr>
      </w:pPr>
    </w:p>
    <w:p>
      <w:pPr>
        <w:pStyle w:val="4"/>
        <w:rPr>
          <w:color w:val="auto"/>
          <w:highlight w:val="none"/>
        </w:rPr>
      </w:pPr>
      <w:bookmarkStart w:id="99" w:name="_Toc273391657"/>
      <w:bookmarkStart w:id="100" w:name="_Toc5288"/>
      <w:bookmarkStart w:id="101" w:name="_Toc273391333"/>
      <w:bookmarkStart w:id="102" w:name="_Toc28103263"/>
      <w:r>
        <w:rPr>
          <w:color w:val="auto"/>
          <w:highlight w:val="none"/>
        </w:rPr>
        <w:t>4 信息报告</w:t>
      </w:r>
      <w:bookmarkEnd w:id="99"/>
      <w:bookmarkEnd w:id="100"/>
      <w:bookmarkEnd w:id="101"/>
      <w:bookmarkEnd w:id="102"/>
    </w:p>
    <w:p>
      <w:pPr>
        <w:spacing w:line="360" w:lineRule="auto"/>
        <w:ind w:firstLine="480" w:firstLineChars="200"/>
        <w:rPr>
          <w:color w:val="auto"/>
          <w:highlight w:val="none"/>
        </w:rPr>
      </w:pPr>
      <w:bookmarkStart w:id="103" w:name="_Toc273391658"/>
      <w:bookmarkStart w:id="104" w:name="_Toc273391334"/>
      <w:r>
        <w:rPr>
          <w:color w:val="auto"/>
          <w:highlight w:val="none"/>
        </w:rPr>
        <w:t>依据《企事业单位和工业园区突发环境事件应急预案编制导则》（DB32/T 3795-2020）的有关规定，本公司信息报告的具体内容如下。</w:t>
      </w:r>
    </w:p>
    <w:p>
      <w:pPr>
        <w:pStyle w:val="5"/>
        <w:rPr>
          <w:color w:val="auto"/>
          <w:highlight w:val="none"/>
        </w:rPr>
      </w:pPr>
      <w:bookmarkStart w:id="105" w:name="_Toc18506"/>
      <w:bookmarkStart w:id="106" w:name="_Toc28103264"/>
      <w:r>
        <w:rPr>
          <w:color w:val="auto"/>
          <w:highlight w:val="none"/>
        </w:rPr>
        <w:t xml:space="preserve">4.1 </w:t>
      </w:r>
      <w:bookmarkEnd w:id="103"/>
      <w:bookmarkEnd w:id="104"/>
      <w:r>
        <w:rPr>
          <w:color w:val="auto"/>
          <w:highlight w:val="none"/>
        </w:rPr>
        <w:t>信息报告程序</w:t>
      </w:r>
      <w:bookmarkEnd w:id="105"/>
    </w:p>
    <w:p>
      <w:pPr>
        <w:pStyle w:val="6"/>
        <w:rPr>
          <w:color w:val="auto"/>
          <w:highlight w:val="none"/>
        </w:rPr>
      </w:pPr>
      <w:r>
        <w:rPr>
          <w:color w:val="auto"/>
          <w:highlight w:val="none"/>
        </w:rPr>
        <w:t>4.1.1 内部报告</w:t>
      </w:r>
      <w:bookmarkEnd w:id="106"/>
    </w:p>
    <w:p>
      <w:pPr>
        <w:spacing w:line="360" w:lineRule="auto"/>
        <w:ind w:firstLine="480" w:firstLineChars="200"/>
        <w:rPr>
          <w:color w:val="auto"/>
          <w:highlight w:val="none"/>
        </w:rPr>
      </w:pPr>
      <w:r>
        <w:rPr>
          <w:color w:val="auto"/>
          <w:highlight w:val="none"/>
        </w:rPr>
        <w:t>（1）事件信息接收、报告和通报程序</w:t>
      </w:r>
    </w:p>
    <w:p>
      <w:pPr>
        <w:spacing w:line="360" w:lineRule="auto"/>
        <w:ind w:firstLine="480" w:firstLineChars="200"/>
        <w:rPr>
          <w:color w:val="auto"/>
          <w:highlight w:val="none"/>
        </w:rPr>
      </w:pPr>
      <w:r>
        <w:rPr>
          <w:color w:val="auto"/>
          <w:highlight w:val="none"/>
        </w:rPr>
        <w:t>①厂内报警程序</w:t>
      </w:r>
    </w:p>
    <w:p>
      <w:pPr>
        <w:spacing w:line="360" w:lineRule="auto"/>
        <w:ind w:firstLine="480" w:firstLineChars="200"/>
        <w:rPr>
          <w:color w:val="auto"/>
          <w:highlight w:val="none"/>
        </w:rPr>
      </w:pPr>
      <w:r>
        <w:rPr>
          <w:color w:val="auto"/>
          <w:highlight w:val="none"/>
        </w:rPr>
        <w:t>在生产过程中，如岗位操作人员或巡检时发现突发环境事件，应立即采取相应措施处理。若只是小范围泄漏等事故，立即用手机上报车间负责人；若火灾等大型事故，立即用手机上报应急值班室，值班室接到报警立即向应急救援指挥部总指挥报告事件内容并做好详细记录后，并通知各应急指挥小组与相关部门。</w:t>
      </w:r>
    </w:p>
    <w:p>
      <w:pPr>
        <w:spacing w:line="360" w:lineRule="auto"/>
        <w:ind w:firstLine="480" w:firstLineChars="200"/>
        <w:rPr>
          <w:color w:val="auto"/>
          <w:highlight w:val="none"/>
        </w:rPr>
      </w:pPr>
      <w:r>
        <w:rPr>
          <w:color w:val="auto"/>
          <w:highlight w:val="none"/>
        </w:rPr>
        <w:t>事故单元→车间负责人→部门负责人→应急救援指挥部（值班长）→应急救援小组。</w:t>
      </w:r>
    </w:p>
    <w:p>
      <w:pPr>
        <w:spacing w:line="360" w:lineRule="auto"/>
        <w:ind w:firstLine="480" w:firstLineChars="200"/>
        <w:rPr>
          <w:color w:val="auto"/>
          <w:highlight w:val="none"/>
        </w:rPr>
      </w:pPr>
      <w:r>
        <w:rPr>
          <w:smallCaps/>
          <w:color w:val="auto"/>
          <w:kern w:val="0"/>
          <w:highlight w:val="none"/>
        </w:rPr>
        <w:t>②</w:t>
      </w:r>
      <w:r>
        <w:rPr>
          <w:color w:val="auto"/>
          <w:highlight w:val="none"/>
        </w:rPr>
        <w:t>报告内容如下：</w:t>
      </w:r>
    </w:p>
    <w:p>
      <w:pPr>
        <w:spacing w:line="360" w:lineRule="auto"/>
        <w:ind w:firstLine="480" w:firstLineChars="200"/>
        <w:rPr>
          <w:color w:val="auto"/>
          <w:highlight w:val="none"/>
        </w:rPr>
      </w:pPr>
      <w:r>
        <w:rPr>
          <w:color w:val="auto"/>
          <w:highlight w:val="none"/>
        </w:rPr>
        <w:t>事故发生的时间和地点；</w:t>
      </w:r>
    </w:p>
    <w:p>
      <w:pPr>
        <w:spacing w:line="360" w:lineRule="auto"/>
        <w:ind w:firstLine="480" w:firstLineChars="200"/>
        <w:rPr>
          <w:color w:val="auto"/>
          <w:highlight w:val="none"/>
        </w:rPr>
      </w:pPr>
      <w:r>
        <w:rPr>
          <w:color w:val="auto"/>
          <w:highlight w:val="none"/>
        </w:rPr>
        <w:t>事故类型：火灾、泄漏（暂时状态、连续状态）；</w:t>
      </w:r>
    </w:p>
    <w:p>
      <w:pPr>
        <w:spacing w:line="360" w:lineRule="auto"/>
        <w:ind w:firstLine="480" w:firstLineChars="200"/>
        <w:rPr>
          <w:color w:val="auto"/>
          <w:highlight w:val="none"/>
        </w:rPr>
      </w:pPr>
      <w:r>
        <w:rPr>
          <w:color w:val="auto"/>
          <w:highlight w:val="none"/>
        </w:rPr>
        <w:t>估计造成事故的泄漏量；</w:t>
      </w:r>
    </w:p>
    <w:p>
      <w:pPr>
        <w:spacing w:line="360" w:lineRule="auto"/>
        <w:ind w:firstLine="480" w:firstLineChars="200"/>
        <w:rPr>
          <w:color w:val="auto"/>
          <w:highlight w:val="none"/>
        </w:rPr>
      </w:pPr>
      <w:r>
        <w:rPr>
          <w:color w:val="auto"/>
          <w:highlight w:val="none"/>
        </w:rPr>
        <w:t>事故可能持续的时间；</w:t>
      </w:r>
    </w:p>
    <w:p>
      <w:pPr>
        <w:spacing w:line="360" w:lineRule="auto"/>
        <w:ind w:firstLine="480" w:firstLineChars="200"/>
        <w:rPr>
          <w:color w:val="auto"/>
          <w:highlight w:val="none"/>
        </w:rPr>
      </w:pPr>
      <w:r>
        <w:rPr>
          <w:color w:val="auto"/>
          <w:highlight w:val="none"/>
        </w:rPr>
        <w:t>健康危害与必要的医疗措施；</w:t>
      </w:r>
    </w:p>
    <w:p>
      <w:pPr>
        <w:spacing w:line="360" w:lineRule="auto"/>
        <w:ind w:firstLine="480" w:firstLineChars="200"/>
        <w:rPr>
          <w:color w:val="auto"/>
          <w:highlight w:val="none"/>
        </w:rPr>
      </w:pPr>
      <w:r>
        <w:rPr>
          <w:color w:val="auto"/>
          <w:highlight w:val="none"/>
        </w:rPr>
        <w:t>联系人姓名和电话。</w:t>
      </w:r>
    </w:p>
    <w:p>
      <w:pPr>
        <w:spacing w:line="360" w:lineRule="auto"/>
        <w:ind w:firstLine="480" w:firstLineChars="200"/>
        <w:rPr>
          <w:color w:val="auto"/>
          <w:highlight w:val="none"/>
        </w:rPr>
      </w:pPr>
      <w:r>
        <w:rPr>
          <w:color w:val="auto"/>
          <w:highlight w:val="none"/>
        </w:rPr>
        <w:t>（2）事故单元向相关负责人报警模式：</w:t>
      </w:r>
      <w:r>
        <w:rPr>
          <w:rFonts w:hint="eastAsia"/>
          <w:color w:val="auto"/>
          <w:highlight w:val="none"/>
        </w:rPr>
        <w:t>“</w:t>
      </w:r>
      <w:r>
        <w:rPr>
          <w:color w:val="auto"/>
          <w:highlight w:val="none"/>
        </w:rPr>
        <w:t>我是××车间×××（姓名），××车间发生火灾（××泄漏）事故，请求救援</w:t>
      </w:r>
      <w:r>
        <w:rPr>
          <w:rFonts w:hint="eastAsia"/>
          <w:color w:val="auto"/>
          <w:highlight w:val="none"/>
        </w:rPr>
        <w:t>”</w:t>
      </w:r>
      <w:r>
        <w:rPr>
          <w:color w:val="auto"/>
          <w:highlight w:val="none"/>
        </w:rPr>
        <w:t>。</w:t>
      </w:r>
    </w:p>
    <w:p>
      <w:pPr>
        <w:spacing w:line="360" w:lineRule="auto"/>
        <w:ind w:firstLine="480" w:firstLineChars="200"/>
        <w:rPr>
          <w:color w:val="auto"/>
          <w:highlight w:val="none"/>
        </w:rPr>
      </w:pPr>
      <w:r>
        <w:rPr>
          <w:color w:val="auto"/>
          <w:highlight w:val="none"/>
        </w:rPr>
        <w:t>（3）厂内发布警报以</w:t>
      </w:r>
      <w:r>
        <w:rPr>
          <w:rFonts w:hint="eastAsia"/>
          <w:color w:val="auto"/>
          <w:highlight w:val="none"/>
        </w:rPr>
        <w:t>广播+手机</w:t>
      </w:r>
      <w:r>
        <w:rPr>
          <w:color w:val="auto"/>
          <w:highlight w:val="none"/>
        </w:rPr>
        <w:t>为主，警报模式：</w:t>
      </w:r>
    </w:p>
    <w:p>
      <w:pPr>
        <w:spacing w:line="360" w:lineRule="auto"/>
        <w:ind w:firstLine="480" w:firstLineChars="200"/>
        <w:rPr>
          <w:color w:val="auto"/>
          <w:highlight w:val="none"/>
        </w:rPr>
      </w:pPr>
      <w:r>
        <w:rPr>
          <w:color w:val="auto"/>
          <w:highlight w:val="none"/>
        </w:rPr>
        <w:t>根据事故发生类型，采取以</w:t>
      </w:r>
      <w:r>
        <w:rPr>
          <w:rFonts w:hint="eastAsia"/>
          <w:color w:val="auto"/>
          <w:highlight w:val="none"/>
        </w:rPr>
        <w:t>广播</w:t>
      </w:r>
      <w:r>
        <w:rPr>
          <w:color w:val="auto"/>
          <w:highlight w:val="none"/>
        </w:rPr>
        <w:t>进行紧急通知：</w:t>
      </w:r>
      <w:r>
        <w:rPr>
          <w:rFonts w:hint="eastAsia"/>
          <w:color w:val="auto"/>
          <w:highlight w:val="none"/>
        </w:rPr>
        <w:t>“</w:t>
      </w:r>
      <w:r>
        <w:rPr>
          <w:color w:val="auto"/>
          <w:highlight w:val="none"/>
        </w:rPr>
        <w:t>××车间发生火灾（××泄漏）事故，请应急救援人员立即到现场</w:t>
      </w:r>
      <w:r>
        <w:rPr>
          <w:rFonts w:hint="eastAsia"/>
          <w:color w:val="auto"/>
          <w:highlight w:val="none"/>
        </w:rPr>
        <w:t>”，</w:t>
      </w:r>
      <w:r>
        <w:rPr>
          <w:color w:val="auto"/>
          <w:highlight w:val="none"/>
        </w:rPr>
        <w:t>同时用厂内电话（手机）报告至应急救援指挥部成员，报警时声音要清晰。</w:t>
      </w:r>
    </w:p>
    <w:p>
      <w:pPr>
        <w:spacing w:line="360" w:lineRule="auto"/>
        <w:ind w:firstLine="480" w:firstLineChars="200"/>
        <w:rPr>
          <w:color w:val="auto"/>
          <w:highlight w:val="none"/>
        </w:rPr>
      </w:pPr>
      <w:r>
        <w:rPr>
          <w:color w:val="auto"/>
          <w:highlight w:val="none"/>
        </w:rPr>
        <w:t>（4）如需撤离全厂人员时，须及时发布警报，警报模式：手机</w:t>
      </w:r>
      <w:r>
        <w:rPr>
          <w:rFonts w:hint="eastAsia"/>
          <w:color w:val="auto"/>
          <w:highlight w:val="none"/>
        </w:rPr>
        <w:t>“</w:t>
      </w:r>
      <w:r>
        <w:rPr>
          <w:color w:val="auto"/>
          <w:highlight w:val="none"/>
        </w:rPr>
        <w:t>紧急通知：××车间发生火灾（××泄漏）事故，全厂人员立即撤离到××（地点）</w:t>
      </w:r>
      <w:r>
        <w:rPr>
          <w:rFonts w:hint="eastAsia"/>
          <w:color w:val="auto"/>
          <w:highlight w:val="none"/>
        </w:rPr>
        <w:t>”</w:t>
      </w:r>
      <w:r>
        <w:rPr>
          <w:color w:val="auto"/>
          <w:highlight w:val="none"/>
        </w:rPr>
        <w:t>。连播三遍，1分钟后再播一次（三遍）。</w:t>
      </w:r>
    </w:p>
    <w:p>
      <w:pPr>
        <w:autoSpaceDE w:val="0"/>
        <w:autoSpaceDN w:val="0"/>
        <w:spacing w:line="360" w:lineRule="auto"/>
        <w:ind w:firstLine="480" w:firstLineChars="200"/>
        <w:rPr>
          <w:color w:val="auto"/>
          <w:highlight w:val="none"/>
        </w:rPr>
      </w:pPr>
      <w:r>
        <w:rPr>
          <w:color w:val="auto"/>
          <w:highlight w:val="none"/>
        </w:rPr>
        <w:t>（5）报告方式</w:t>
      </w:r>
    </w:p>
    <w:p>
      <w:pPr>
        <w:autoSpaceDE w:val="0"/>
        <w:autoSpaceDN w:val="0"/>
        <w:spacing w:line="360" w:lineRule="auto"/>
        <w:ind w:firstLine="480" w:firstLineChars="200"/>
        <w:rPr>
          <w:color w:val="auto"/>
          <w:highlight w:val="none"/>
        </w:rPr>
      </w:pPr>
      <w:r>
        <w:rPr>
          <w:color w:val="auto"/>
          <w:highlight w:val="none"/>
        </w:rPr>
        <w:t>口头汇报方式：发生事故后，在初步了解事故情况后，事故应急领导小组和应急工作组应当立即通过电话向应急救援指挥部进行口头汇报。</w:t>
      </w:r>
      <w:r>
        <w:rPr>
          <w:color w:val="auto"/>
          <w:kern w:val="24"/>
          <w:highlight w:val="none"/>
        </w:rPr>
        <w:t>现场突发环境事件知情人不可以未经领导指示，直接将事故信息上报政府部门。如发生事故，需根据发生事故时的风向，通过电话的方式，告知下风向的敏感目标人员进行防护、甚至是撤离；如发生废水事故排放，则立刻电话通知污水处理厂。</w:t>
      </w:r>
    </w:p>
    <w:p>
      <w:pPr>
        <w:autoSpaceDE w:val="0"/>
        <w:autoSpaceDN w:val="0"/>
        <w:spacing w:line="360" w:lineRule="auto"/>
        <w:ind w:firstLine="480" w:firstLineChars="200"/>
        <w:rPr>
          <w:color w:val="auto"/>
          <w:highlight w:val="none"/>
        </w:rPr>
      </w:pPr>
      <w:r>
        <w:rPr>
          <w:color w:val="auto"/>
          <w:highlight w:val="none"/>
        </w:rPr>
        <w:t>书面汇报方式：在初步了解事故情况后，应当在1个小时内，逐级以书面材料上报事故有关情况。我公司24小时应急值守电话为：</w:t>
      </w:r>
      <w:r>
        <w:rPr>
          <w:rFonts w:hint="eastAsia"/>
          <w:b/>
          <w:bCs/>
          <w:color w:val="auto"/>
          <w:highlight w:val="none"/>
        </w:rPr>
        <w:t>0510-83569238-8256</w:t>
      </w:r>
      <w:r>
        <w:rPr>
          <w:rFonts w:hint="eastAsia"/>
          <w:b/>
          <w:color w:val="auto"/>
          <w:highlight w:val="none"/>
        </w:rPr>
        <w:t>。</w:t>
      </w:r>
    </w:p>
    <w:p>
      <w:pPr>
        <w:pStyle w:val="6"/>
        <w:rPr>
          <w:color w:val="auto"/>
          <w:highlight w:val="none"/>
        </w:rPr>
      </w:pPr>
      <w:bookmarkStart w:id="107" w:name="_Toc273391335"/>
      <w:bookmarkStart w:id="108" w:name="_Toc273391659"/>
      <w:bookmarkStart w:id="109" w:name="_Toc28103265"/>
      <w:r>
        <w:rPr>
          <w:color w:val="auto"/>
          <w:highlight w:val="none"/>
        </w:rPr>
        <w:t>4.1.2 信息</w:t>
      </w:r>
      <w:bookmarkEnd w:id="107"/>
      <w:bookmarkEnd w:id="108"/>
      <w:r>
        <w:rPr>
          <w:color w:val="auto"/>
          <w:highlight w:val="none"/>
        </w:rPr>
        <w:t>上报</w:t>
      </w:r>
      <w:bookmarkEnd w:id="109"/>
    </w:p>
    <w:p>
      <w:pPr>
        <w:autoSpaceDE w:val="0"/>
        <w:autoSpaceDN w:val="0"/>
        <w:adjustRightInd w:val="0"/>
        <w:spacing w:line="360" w:lineRule="auto"/>
        <w:ind w:firstLine="480" w:firstLineChars="200"/>
        <w:rPr>
          <w:b/>
          <w:color w:val="auto"/>
          <w:highlight w:val="none"/>
        </w:rPr>
      </w:pPr>
      <w:r>
        <w:rPr>
          <w:color w:val="auto"/>
          <w:highlight w:val="none"/>
        </w:rPr>
        <w:t>信息上报应包括的内容有：事故发生的时间、地点、单位、类型和排放污染物的种类数量、直接的经济损失、已采取的应急措施，已污染的范围，潜在的危害程度，转化方式及趋势；事故的简要经过、伤亡人数、损失初步估计；事故发生的原因初步判断、事故发生后采取的措施及事故控制情况以及事故报告单位或事故报告人。</w:t>
      </w:r>
      <w:r>
        <w:rPr>
          <w:rFonts w:hint="eastAsia"/>
          <w:color w:val="auto"/>
          <w:highlight w:val="none"/>
        </w:rPr>
        <w:t>信息上报分为初报、续报、处理结果报告。信息上报的内容、责任人、时限具体见下表</w:t>
      </w:r>
      <w:r>
        <w:rPr>
          <w:color w:val="auto"/>
          <w:highlight w:val="none"/>
        </w:rPr>
        <w:t>。</w:t>
      </w:r>
    </w:p>
    <w:p>
      <w:pPr>
        <w:autoSpaceDE w:val="0"/>
        <w:autoSpaceDN w:val="0"/>
        <w:adjustRightInd w:val="0"/>
        <w:jc w:val="center"/>
        <w:rPr>
          <w:b/>
          <w:color w:val="auto"/>
          <w:highlight w:val="none"/>
        </w:rPr>
      </w:pPr>
      <w:r>
        <w:rPr>
          <w:b/>
          <w:color w:val="auto"/>
          <w:highlight w:val="none"/>
        </w:rPr>
        <w:t>表</w:t>
      </w:r>
      <w:r>
        <w:rPr>
          <w:rFonts w:hint="eastAsia"/>
          <w:b/>
          <w:color w:val="auto"/>
          <w:highlight w:val="none"/>
        </w:rPr>
        <w:t>4.1</w:t>
      </w:r>
      <w:r>
        <w:rPr>
          <w:b/>
          <w:color w:val="auto"/>
          <w:highlight w:val="none"/>
        </w:rPr>
        <w:t xml:space="preserve">-1  </w:t>
      </w:r>
      <w:r>
        <w:rPr>
          <w:rFonts w:hint="eastAsia"/>
          <w:b/>
          <w:color w:val="auto"/>
          <w:highlight w:val="none"/>
        </w:rPr>
        <w:t>信息上报内容、责任人、时限</w:t>
      </w:r>
    </w:p>
    <w:tbl>
      <w:tblPr>
        <w:tblStyle w:val="20"/>
        <w:tblW w:w="490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1841"/>
        <w:gridCol w:w="2031"/>
        <w:gridCol w:w="1886"/>
        <w:gridCol w:w="239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6" w:type="pct"/>
            <w:vAlign w:val="center"/>
          </w:tcPr>
          <w:p>
            <w:pPr>
              <w:autoSpaceDE w:val="0"/>
              <w:autoSpaceDN w:val="0"/>
              <w:adjustRightInd w:val="0"/>
              <w:snapToGrid w:val="0"/>
              <w:jc w:val="center"/>
              <w:rPr>
                <w:b/>
                <w:bCs/>
                <w:color w:val="auto"/>
                <w:sz w:val="21"/>
                <w:szCs w:val="21"/>
                <w:highlight w:val="none"/>
              </w:rPr>
            </w:pPr>
            <w:r>
              <w:rPr>
                <w:rFonts w:hint="eastAsia"/>
                <w:b/>
                <w:bCs/>
                <w:color w:val="auto"/>
                <w:sz w:val="21"/>
                <w:szCs w:val="21"/>
                <w:highlight w:val="none"/>
              </w:rPr>
              <w:t>序号</w:t>
            </w:r>
          </w:p>
        </w:tc>
        <w:tc>
          <w:tcPr>
            <w:tcW w:w="1015" w:type="pct"/>
            <w:vAlign w:val="center"/>
          </w:tcPr>
          <w:p>
            <w:pPr>
              <w:autoSpaceDE w:val="0"/>
              <w:autoSpaceDN w:val="0"/>
              <w:adjustRightInd w:val="0"/>
              <w:snapToGrid w:val="0"/>
              <w:jc w:val="center"/>
              <w:rPr>
                <w:b/>
                <w:bCs/>
                <w:color w:val="auto"/>
                <w:sz w:val="21"/>
                <w:szCs w:val="21"/>
                <w:highlight w:val="none"/>
              </w:rPr>
            </w:pPr>
            <w:r>
              <w:rPr>
                <w:rFonts w:hint="eastAsia"/>
                <w:b/>
                <w:bCs/>
                <w:color w:val="auto"/>
                <w:sz w:val="21"/>
                <w:szCs w:val="21"/>
                <w:highlight w:val="none"/>
              </w:rPr>
              <w:t>内容</w:t>
            </w:r>
          </w:p>
        </w:tc>
        <w:tc>
          <w:tcPr>
            <w:tcW w:w="1120" w:type="pct"/>
            <w:vAlign w:val="center"/>
          </w:tcPr>
          <w:p>
            <w:pPr>
              <w:autoSpaceDE w:val="0"/>
              <w:autoSpaceDN w:val="0"/>
              <w:adjustRightInd w:val="0"/>
              <w:snapToGrid w:val="0"/>
              <w:jc w:val="center"/>
              <w:rPr>
                <w:b/>
                <w:bCs/>
                <w:color w:val="auto"/>
                <w:sz w:val="21"/>
                <w:szCs w:val="21"/>
                <w:highlight w:val="none"/>
              </w:rPr>
            </w:pPr>
            <w:r>
              <w:rPr>
                <w:rFonts w:hint="eastAsia"/>
                <w:b/>
                <w:bCs/>
                <w:color w:val="auto"/>
                <w:sz w:val="21"/>
                <w:szCs w:val="21"/>
                <w:highlight w:val="none"/>
              </w:rPr>
              <w:t>方式</w:t>
            </w:r>
          </w:p>
        </w:tc>
        <w:tc>
          <w:tcPr>
            <w:tcW w:w="1040" w:type="pct"/>
            <w:vAlign w:val="center"/>
          </w:tcPr>
          <w:p>
            <w:pPr>
              <w:autoSpaceDE w:val="0"/>
              <w:autoSpaceDN w:val="0"/>
              <w:adjustRightInd w:val="0"/>
              <w:snapToGrid w:val="0"/>
              <w:jc w:val="center"/>
              <w:rPr>
                <w:b/>
                <w:bCs/>
                <w:color w:val="auto"/>
                <w:sz w:val="21"/>
                <w:szCs w:val="21"/>
                <w:highlight w:val="none"/>
              </w:rPr>
            </w:pPr>
            <w:r>
              <w:rPr>
                <w:rFonts w:hint="eastAsia"/>
                <w:b/>
                <w:bCs/>
                <w:color w:val="auto"/>
                <w:sz w:val="21"/>
                <w:szCs w:val="21"/>
                <w:highlight w:val="none"/>
              </w:rPr>
              <w:t>上报责任人</w:t>
            </w:r>
          </w:p>
        </w:tc>
        <w:tc>
          <w:tcPr>
            <w:tcW w:w="1319" w:type="pct"/>
            <w:vAlign w:val="center"/>
          </w:tcPr>
          <w:p>
            <w:pPr>
              <w:autoSpaceDE w:val="0"/>
              <w:autoSpaceDN w:val="0"/>
              <w:adjustRightInd w:val="0"/>
              <w:snapToGrid w:val="0"/>
              <w:jc w:val="center"/>
              <w:rPr>
                <w:b/>
                <w:bCs/>
                <w:color w:val="auto"/>
                <w:sz w:val="21"/>
                <w:szCs w:val="21"/>
                <w:highlight w:val="none"/>
              </w:rPr>
            </w:pPr>
            <w:r>
              <w:rPr>
                <w:rFonts w:hint="eastAsia"/>
                <w:b/>
                <w:bCs/>
                <w:color w:val="auto"/>
                <w:sz w:val="21"/>
                <w:szCs w:val="21"/>
                <w:highlight w:val="none"/>
              </w:rPr>
              <w:t>时限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6" w:type="pct"/>
            <w:vAlign w:val="center"/>
          </w:tcPr>
          <w:p>
            <w:pPr>
              <w:autoSpaceDE w:val="0"/>
              <w:autoSpaceDN w:val="0"/>
              <w:adjustRightInd w:val="0"/>
              <w:snapToGrid w:val="0"/>
              <w:jc w:val="center"/>
              <w:rPr>
                <w:bCs/>
                <w:color w:val="auto"/>
                <w:sz w:val="21"/>
                <w:szCs w:val="21"/>
                <w:highlight w:val="none"/>
              </w:rPr>
            </w:pPr>
            <w:r>
              <w:rPr>
                <w:rFonts w:hint="eastAsia"/>
                <w:bCs/>
                <w:color w:val="auto"/>
                <w:sz w:val="21"/>
                <w:szCs w:val="21"/>
                <w:highlight w:val="none"/>
              </w:rPr>
              <w:t>1</w:t>
            </w:r>
          </w:p>
        </w:tc>
        <w:tc>
          <w:tcPr>
            <w:tcW w:w="1015" w:type="pct"/>
            <w:vAlign w:val="center"/>
          </w:tcPr>
          <w:p>
            <w:pPr>
              <w:autoSpaceDE w:val="0"/>
              <w:autoSpaceDN w:val="0"/>
              <w:adjustRightInd w:val="0"/>
              <w:snapToGrid w:val="0"/>
              <w:jc w:val="center"/>
              <w:rPr>
                <w:bCs/>
                <w:color w:val="auto"/>
                <w:sz w:val="21"/>
                <w:szCs w:val="21"/>
                <w:highlight w:val="none"/>
              </w:rPr>
            </w:pPr>
            <w:r>
              <w:rPr>
                <w:rFonts w:hint="eastAsia"/>
                <w:bCs/>
                <w:color w:val="auto"/>
                <w:sz w:val="21"/>
                <w:szCs w:val="21"/>
                <w:highlight w:val="none"/>
              </w:rPr>
              <w:t>初报</w:t>
            </w:r>
          </w:p>
        </w:tc>
        <w:tc>
          <w:tcPr>
            <w:tcW w:w="1120" w:type="pct"/>
            <w:vAlign w:val="center"/>
          </w:tcPr>
          <w:p>
            <w:pPr>
              <w:autoSpaceDE w:val="0"/>
              <w:autoSpaceDN w:val="0"/>
              <w:adjustRightInd w:val="0"/>
              <w:snapToGrid w:val="0"/>
              <w:jc w:val="center"/>
              <w:rPr>
                <w:bCs/>
                <w:color w:val="auto"/>
                <w:sz w:val="21"/>
                <w:szCs w:val="21"/>
                <w:highlight w:val="none"/>
              </w:rPr>
            </w:pPr>
            <w:r>
              <w:rPr>
                <w:rFonts w:hint="eastAsia"/>
                <w:bCs/>
                <w:color w:val="auto"/>
                <w:sz w:val="21"/>
                <w:szCs w:val="21"/>
                <w:highlight w:val="none"/>
              </w:rPr>
              <w:t>电话</w:t>
            </w:r>
          </w:p>
        </w:tc>
        <w:tc>
          <w:tcPr>
            <w:tcW w:w="1040" w:type="pct"/>
            <w:vAlign w:val="center"/>
          </w:tcPr>
          <w:p>
            <w:pPr>
              <w:autoSpaceDE w:val="0"/>
              <w:autoSpaceDN w:val="0"/>
              <w:adjustRightInd w:val="0"/>
              <w:snapToGrid w:val="0"/>
              <w:jc w:val="center"/>
              <w:rPr>
                <w:bCs/>
                <w:color w:val="auto"/>
                <w:sz w:val="21"/>
                <w:szCs w:val="21"/>
                <w:highlight w:val="none"/>
              </w:rPr>
            </w:pPr>
            <w:r>
              <w:rPr>
                <w:rFonts w:hint="eastAsia"/>
                <w:bCs/>
                <w:color w:val="auto"/>
                <w:sz w:val="21"/>
                <w:szCs w:val="21"/>
                <w:highlight w:val="none"/>
              </w:rPr>
              <w:t>指挥部总指挥</w:t>
            </w:r>
          </w:p>
        </w:tc>
        <w:tc>
          <w:tcPr>
            <w:tcW w:w="1319" w:type="pct"/>
            <w:vAlign w:val="center"/>
          </w:tcPr>
          <w:p>
            <w:pPr>
              <w:autoSpaceDE w:val="0"/>
              <w:autoSpaceDN w:val="0"/>
              <w:adjustRightInd w:val="0"/>
              <w:snapToGrid w:val="0"/>
              <w:jc w:val="center"/>
              <w:rPr>
                <w:bCs/>
                <w:color w:val="auto"/>
                <w:sz w:val="21"/>
                <w:szCs w:val="21"/>
                <w:highlight w:val="none"/>
              </w:rPr>
            </w:pPr>
            <w:r>
              <w:rPr>
                <w:rFonts w:hint="eastAsia"/>
                <w:bCs/>
                <w:color w:val="auto"/>
                <w:sz w:val="21"/>
                <w:szCs w:val="21"/>
                <w:highlight w:val="none"/>
              </w:rPr>
              <w:t>立即</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6" w:type="pct"/>
            <w:vAlign w:val="center"/>
          </w:tcPr>
          <w:p>
            <w:pPr>
              <w:adjustRightInd w:val="0"/>
              <w:snapToGrid w:val="0"/>
              <w:jc w:val="center"/>
              <w:rPr>
                <w:bCs/>
                <w:color w:val="auto"/>
                <w:sz w:val="21"/>
                <w:szCs w:val="21"/>
                <w:highlight w:val="none"/>
              </w:rPr>
            </w:pPr>
            <w:r>
              <w:rPr>
                <w:rFonts w:hint="eastAsia"/>
                <w:bCs/>
                <w:color w:val="auto"/>
                <w:sz w:val="21"/>
                <w:szCs w:val="21"/>
                <w:highlight w:val="none"/>
              </w:rPr>
              <w:t>2</w:t>
            </w:r>
          </w:p>
        </w:tc>
        <w:tc>
          <w:tcPr>
            <w:tcW w:w="1015" w:type="pct"/>
            <w:vAlign w:val="center"/>
          </w:tcPr>
          <w:p>
            <w:pPr>
              <w:adjustRightInd w:val="0"/>
              <w:snapToGrid w:val="0"/>
              <w:jc w:val="center"/>
              <w:rPr>
                <w:bCs/>
                <w:color w:val="auto"/>
                <w:sz w:val="21"/>
                <w:szCs w:val="21"/>
                <w:highlight w:val="none"/>
              </w:rPr>
            </w:pPr>
            <w:r>
              <w:rPr>
                <w:rFonts w:hint="eastAsia"/>
                <w:bCs/>
                <w:color w:val="auto"/>
                <w:sz w:val="21"/>
                <w:szCs w:val="21"/>
                <w:highlight w:val="none"/>
              </w:rPr>
              <w:t>续报</w:t>
            </w:r>
          </w:p>
        </w:tc>
        <w:tc>
          <w:tcPr>
            <w:tcW w:w="1120" w:type="pct"/>
            <w:vAlign w:val="center"/>
          </w:tcPr>
          <w:p>
            <w:pPr>
              <w:adjustRightInd w:val="0"/>
              <w:snapToGrid w:val="0"/>
              <w:jc w:val="center"/>
              <w:rPr>
                <w:bCs/>
                <w:color w:val="auto"/>
                <w:sz w:val="21"/>
                <w:szCs w:val="21"/>
                <w:highlight w:val="none"/>
              </w:rPr>
            </w:pPr>
            <w:r>
              <w:rPr>
                <w:rFonts w:hint="eastAsia"/>
                <w:bCs/>
                <w:color w:val="auto"/>
                <w:sz w:val="21"/>
                <w:szCs w:val="21"/>
                <w:highlight w:val="none"/>
              </w:rPr>
              <w:t>电话、网络、邮寄、书面报告</w:t>
            </w:r>
          </w:p>
        </w:tc>
        <w:tc>
          <w:tcPr>
            <w:tcW w:w="1040" w:type="pct"/>
            <w:vAlign w:val="center"/>
          </w:tcPr>
          <w:p>
            <w:pPr>
              <w:adjustRightInd w:val="0"/>
              <w:snapToGrid w:val="0"/>
              <w:jc w:val="center"/>
              <w:rPr>
                <w:bCs/>
                <w:color w:val="auto"/>
                <w:sz w:val="21"/>
                <w:szCs w:val="21"/>
                <w:highlight w:val="none"/>
              </w:rPr>
            </w:pPr>
            <w:r>
              <w:rPr>
                <w:rFonts w:hint="eastAsia"/>
                <w:bCs/>
                <w:color w:val="auto"/>
                <w:sz w:val="21"/>
                <w:szCs w:val="21"/>
                <w:highlight w:val="none"/>
              </w:rPr>
              <w:t>指挥部总指挥</w:t>
            </w:r>
          </w:p>
        </w:tc>
        <w:tc>
          <w:tcPr>
            <w:tcW w:w="1319" w:type="pct"/>
            <w:vAlign w:val="center"/>
          </w:tcPr>
          <w:p>
            <w:pPr>
              <w:adjustRightInd w:val="0"/>
              <w:snapToGrid w:val="0"/>
              <w:jc w:val="center"/>
              <w:rPr>
                <w:bCs/>
                <w:color w:val="auto"/>
                <w:sz w:val="21"/>
                <w:szCs w:val="21"/>
                <w:highlight w:val="none"/>
              </w:rPr>
            </w:pPr>
            <w:r>
              <w:rPr>
                <w:rFonts w:hint="eastAsia"/>
                <w:bCs/>
                <w:color w:val="auto"/>
                <w:sz w:val="21"/>
                <w:szCs w:val="21"/>
                <w:highlight w:val="none"/>
              </w:rPr>
              <w:t>2个小时内不定期连续上报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506" w:type="pct"/>
            <w:vAlign w:val="center"/>
          </w:tcPr>
          <w:p>
            <w:pPr>
              <w:adjustRightInd w:val="0"/>
              <w:snapToGrid w:val="0"/>
              <w:jc w:val="center"/>
              <w:rPr>
                <w:bCs/>
                <w:color w:val="auto"/>
                <w:sz w:val="21"/>
                <w:szCs w:val="21"/>
                <w:highlight w:val="none"/>
              </w:rPr>
            </w:pPr>
            <w:r>
              <w:rPr>
                <w:rFonts w:hint="eastAsia"/>
                <w:bCs/>
                <w:color w:val="auto"/>
                <w:sz w:val="21"/>
                <w:szCs w:val="21"/>
                <w:highlight w:val="none"/>
              </w:rPr>
              <w:t>3</w:t>
            </w:r>
          </w:p>
        </w:tc>
        <w:tc>
          <w:tcPr>
            <w:tcW w:w="1015" w:type="pct"/>
            <w:vAlign w:val="center"/>
          </w:tcPr>
          <w:p>
            <w:pPr>
              <w:adjustRightInd w:val="0"/>
              <w:snapToGrid w:val="0"/>
              <w:jc w:val="center"/>
              <w:rPr>
                <w:bCs/>
                <w:color w:val="auto"/>
                <w:sz w:val="21"/>
                <w:szCs w:val="21"/>
                <w:highlight w:val="none"/>
              </w:rPr>
            </w:pPr>
            <w:r>
              <w:rPr>
                <w:rFonts w:hint="eastAsia"/>
                <w:bCs/>
                <w:color w:val="auto"/>
                <w:sz w:val="21"/>
                <w:szCs w:val="21"/>
                <w:highlight w:val="none"/>
              </w:rPr>
              <w:t>处理结果报告</w:t>
            </w:r>
          </w:p>
        </w:tc>
        <w:tc>
          <w:tcPr>
            <w:tcW w:w="1120" w:type="pct"/>
            <w:vAlign w:val="center"/>
          </w:tcPr>
          <w:p>
            <w:pPr>
              <w:adjustRightInd w:val="0"/>
              <w:snapToGrid w:val="0"/>
              <w:jc w:val="center"/>
              <w:rPr>
                <w:bCs/>
                <w:color w:val="auto"/>
                <w:sz w:val="21"/>
                <w:szCs w:val="21"/>
                <w:highlight w:val="none"/>
              </w:rPr>
            </w:pPr>
            <w:r>
              <w:rPr>
                <w:rFonts w:hint="eastAsia"/>
                <w:bCs/>
                <w:color w:val="auto"/>
                <w:sz w:val="21"/>
                <w:szCs w:val="21"/>
                <w:highlight w:val="none"/>
              </w:rPr>
              <w:t>网络、邮寄、书面报告</w:t>
            </w:r>
          </w:p>
        </w:tc>
        <w:tc>
          <w:tcPr>
            <w:tcW w:w="1040" w:type="pct"/>
            <w:vAlign w:val="center"/>
          </w:tcPr>
          <w:p>
            <w:pPr>
              <w:adjustRightInd w:val="0"/>
              <w:snapToGrid w:val="0"/>
              <w:jc w:val="center"/>
              <w:rPr>
                <w:bCs/>
                <w:color w:val="auto"/>
                <w:sz w:val="21"/>
                <w:szCs w:val="21"/>
                <w:highlight w:val="none"/>
              </w:rPr>
            </w:pPr>
            <w:r>
              <w:rPr>
                <w:rFonts w:hint="eastAsia"/>
                <w:bCs/>
                <w:color w:val="auto"/>
                <w:sz w:val="21"/>
                <w:szCs w:val="21"/>
                <w:highlight w:val="none"/>
              </w:rPr>
              <w:t>指挥部总指挥</w:t>
            </w:r>
          </w:p>
        </w:tc>
        <w:tc>
          <w:tcPr>
            <w:tcW w:w="1319" w:type="pct"/>
            <w:vAlign w:val="center"/>
          </w:tcPr>
          <w:p>
            <w:pPr>
              <w:adjustRightInd w:val="0"/>
              <w:snapToGrid w:val="0"/>
              <w:jc w:val="center"/>
              <w:rPr>
                <w:bCs/>
                <w:color w:val="auto"/>
                <w:sz w:val="21"/>
                <w:szCs w:val="21"/>
                <w:highlight w:val="none"/>
              </w:rPr>
            </w:pPr>
            <w:r>
              <w:rPr>
                <w:rFonts w:hint="eastAsia"/>
                <w:bCs/>
                <w:color w:val="auto"/>
                <w:sz w:val="21"/>
                <w:szCs w:val="21"/>
                <w:highlight w:val="none"/>
              </w:rPr>
              <w:t>事故应急处理完成后10个工作日</w:t>
            </w:r>
          </w:p>
        </w:tc>
      </w:tr>
    </w:tbl>
    <w:p>
      <w:pPr>
        <w:autoSpaceDE w:val="0"/>
        <w:autoSpaceDN w:val="0"/>
        <w:adjustRightInd w:val="0"/>
        <w:spacing w:line="360" w:lineRule="auto"/>
        <w:ind w:firstLine="480" w:firstLineChars="200"/>
        <w:rPr>
          <w:b/>
          <w:color w:val="auto"/>
          <w:highlight w:val="none"/>
        </w:rPr>
      </w:pPr>
      <w:r>
        <w:rPr>
          <w:color w:val="auto"/>
          <w:highlight w:val="none"/>
        </w:rPr>
        <w:t>公司突发环境事件发生后被报告人及相关部门、单位的联系方式见表4.1-</w:t>
      </w:r>
      <w:r>
        <w:rPr>
          <w:rFonts w:hint="eastAsia"/>
          <w:color w:val="auto"/>
          <w:highlight w:val="none"/>
          <w:lang w:val="en-US" w:eastAsia="zh-CN"/>
        </w:rPr>
        <w:t>2</w:t>
      </w:r>
      <w:r>
        <w:rPr>
          <w:color w:val="auto"/>
          <w:highlight w:val="none"/>
        </w:rPr>
        <w:t>。</w:t>
      </w:r>
    </w:p>
    <w:p>
      <w:pPr>
        <w:adjustRightInd w:val="0"/>
        <w:snapToGrid w:val="0"/>
        <w:jc w:val="center"/>
        <w:rPr>
          <w:b/>
          <w:bCs/>
          <w:color w:val="auto"/>
          <w:highlight w:val="none"/>
        </w:rPr>
      </w:pPr>
      <w:r>
        <w:rPr>
          <w:b/>
          <w:bCs/>
          <w:color w:val="auto"/>
          <w:highlight w:val="none"/>
        </w:rPr>
        <w:t>表</w:t>
      </w:r>
      <w:r>
        <w:rPr>
          <w:rFonts w:hint="eastAsia"/>
          <w:b/>
          <w:bCs/>
          <w:color w:val="auto"/>
          <w:highlight w:val="none"/>
        </w:rPr>
        <w:t>4.1-</w:t>
      </w:r>
      <w:r>
        <w:rPr>
          <w:rFonts w:hint="eastAsia"/>
          <w:b/>
          <w:bCs/>
          <w:color w:val="auto"/>
          <w:highlight w:val="none"/>
          <w:lang w:val="en-US" w:eastAsia="zh-CN"/>
        </w:rPr>
        <w:t>2</w:t>
      </w:r>
      <w:r>
        <w:rPr>
          <w:b/>
          <w:bCs/>
          <w:color w:val="auto"/>
          <w:highlight w:val="none"/>
        </w:rPr>
        <w:t xml:space="preserve">  </w:t>
      </w:r>
      <w:r>
        <w:rPr>
          <w:b/>
          <w:color w:val="auto"/>
          <w:highlight w:val="none"/>
        </w:rPr>
        <w:t>被报告人及相关部门、单位的联系方式</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605"/>
        <w:gridCol w:w="4940"/>
        <w:gridCol w:w="353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bCs w:val="0"/>
                <w:color w:val="auto"/>
                <w:sz w:val="21"/>
                <w:szCs w:val="21"/>
                <w:highlight w:val="none"/>
                <w:lang w:eastAsia="zh-CN"/>
              </w:rPr>
            </w:pPr>
            <w:r>
              <w:rPr>
                <w:rFonts w:hint="default" w:ascii="Times New Roman" w:hAnsi="Times New Roman" w:eastAsia="宋体" w:cs="Times New Roman"/>
                <w:b/>
                <w:bCs w:val="0"/>
                <w:color w:val="auto"/>
                <w:sz w:val="21"/>
                <w:szCs w:val="21"/>
                <w:highlight w:val="none"/>
                <w:lang w:val="en-US" w:eastAsia="zh-CN"/>
              </w:rPr>
              <w:t>序号</w:t>
            </w:r>
          </w:p>
        </w:tc>
        <w:tc>
          <w:tcPr>
            <w:tcW w:w="2719" w:type="pct"/>
            <w:noWrap w:val="0"/>
            <w:vAlign w:val="center"/>
          </w:tcPr>
          <w:p>
            <w:pPr>
              <w:pStyle w:val="47"/>
              <w:jc w:val="center"/>
              <w:rPr>
                <w:rFonts w:hint="default" w:ascii="Times New Roman" w:hAnsi="Times New Roman" w:eastAsia="宋体" w:cs="Times New Roman"/>
                <w:b/>
                <w:bCs w:val="0"/>
                <w:snapToGrid w:val="0"/>
                <w:color w:val="auto"/>
                <w:kern w:val="0"/>
                <w:sz w:val="21"/>
                <w:szCs w:val="21"/>
                <w:highlight w:val="none"/>
                <w:lang w:val="en-US" w:eastAsia="zh-CN"/>
              </w:rPr>
            </w:pPr>
            <w:r>
              <w:rPr>
                <w:rFonts w:hint="default" w:ascii="Times New Roman" w:hAnsi="Times New Roman" w:eastAsia="宋体" w:cs="Times New Roman"/>
                <w:b/>
                <w:bCs w:val="0"/>
                <w:snapToGrid w:val="0"/>
                <w:color w:val="auto"/>
                <w:kern w:val="0"/>
                <w:sz w:val="21"/>
                <w:szCs w:val="21"/>
                <w:highlight w:val="none"/>
                <w:lang w:val="en-US" w:eastAsia="zh-CN"/>
              </w:rPr>
              <w:t>联系单位</w:t>
            </w:r>
          </w:p>
        </w:tc>
        <w:tc>
          <w:tcPr>
            <w:tcW w:w="1947" w:type="pct"/>
            <w:noWrap w:val="0"/>
            <w:vAlign w:val="center"/>
          </w:tcPr>
          <w:p>
            <w:pPr>
              <w:pStyle w:val="47"/>
              <w:jc w:val="center"/>
              <w:rPr>
                <w:rFonts w:hint="default" w:ascii="Times New Roman" w:hAnsi="Times New Roman" w:eastAsia="宋体" w:cs="Times New Roman"/>
                <w:b/>
                <w:bCs w:val="0"/>
                <w:snapToGrid w:val="0"/>
                <w:color w:val="auto"/>
                <w:kern w:val="0"/>
                <w:sz w:val="21"/>
                <w:szCs w:val="21"/>
                <w:highlight w:val="none"/>
                <w:lang w:val="en-US" w:eastAsia="zh-CN"/>
              </w:rPr>
            </w:pPr>
            <w:r>
              <w:rPr>
                <w:rFonts w:hint="default" w:ascii="Times New Roman" w:hAnsi="Times New Roman" w:eastAsia="宋体" w:cs="Times New Roman"/>
                <w:b/>
                <w:bCs w:val="0"/>
                <w:snapToGrid w:val="0"/>
                <w:color w:val="auto"/>
                <w:kern w:val="0"/>
                <w:sz w:val="21"/>
                <w:szCs w:val="21"/>
                <w:highlight w:val="none"/>
                <w:lang w:val="en-US" w:eastAsia="zh-CN"/>
              </w:rPr>
              <w:t>联系电话</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1</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无锡鼎亚电子材料有限公司</w:t>
            </w:r>
          </w:p>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（相互救援单位联系人）</w:t>
            </w:r>
          </w:p>
        </w:tc>
        <w:tc>
          <w:tcPr>
            <w:tcW w:w="1947"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13921158502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2</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无锡金属表面处理科技工业园区24小时应急值守电话</w:t>
            </w:r>
          </w:p>
        </w:tc>
        <w:tc>
          <w:tcPr>
            <w:tcW w:w="1947"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snapToGrid w:val="0"/>
                <w:color w:val="auto"/>
                <w:kern w:val="0"/>
                <w:sz w:val="21"/>
                <w:szCs w:val="21"/>
                <w:highlight w:val="none"/>
                <w:lang w:val="en-US" w:eastAsia="zh-CN"/>
              </w:rPr>
              <w:t>0510-83550355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3</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无锡市生态环境安全应急中心</w:t>
            </w:r>
          </w:p>
        </w:tc>
        <w:tc>
          <w:tcPr>
            <w:tcW w:w="1947" w:type="pct"/>
            <w:noWrap w:val="0"/>
            <w:vAlign w:val="center"/>
          </w:tcPr>
          <w:p>
            <w:pPr>
              <w:adjustRightInd w:val="0"/>
              <w:snapToGrid w:val="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81835151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sz w:val="21"/>
                <w:szCs w:val="21"/>
                <w:highlight w:val="none"/>
                <w:lang w:val="en-US" w:eastAsia="zh-CN"/>
              </w:rPr>
              <w:t>4</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无锡市应急管理局</w:t>
            </w:r>
          </w:p>
        </w:tc>
        <w:tc>
          <w:tcPr>
            <w:tcW w:w="1947" w:type="pct"/>
            <w:noWrap w:val="0"/>
            <w:vAlign w:val="center"/>
          </w:tcPr>
          <w:p>
            <w:pPr>
              <w:adjustRightInd w:val="0"/>
              <w:snapToGrid w:val="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82751110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5</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无锡市生态环境局</w:t>
            </w:r>
          </w:p>
        </w:tc>
        <w:tc>
          <w:tcPr>
            <w:tcW w:w="1947" w:type="pct"/>
            <w:noWrap w:val="0"/>
            <w:vAlign w:val="center"/>
          </w:tcPr>
          <w:p>
            <w:pPr>
              <w:adjustRightInd w:val="0"/>
              <w:snapToGrid w:val="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12369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6</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无锡市公安局惠山分局</w:t>
            </w:r>
          </w:p>
        </w:tc>
        <w:tc>
          <w:tcPr>
            <w:tcW w:w="1947" w:type="pct"/>
            <w:noWrap w:val="0"/>
            <w:vAlign w:val="center"/>
          </w:tcPr>
          <w:p>
            <w:pPr>
              <w:pStyle w:val="47"/>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83566110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7</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无锡市惠山生态环境局</w:t>
            </w:r>
          </w:p>
        </w:tc>
        <w:tc>
          <w:tcPr>
            <w:tcW w:w="1947" w:type="pct"/>
            <w:noWrap w:val="0"/>
            <w:vAlign w:val="center"/>
          </w:tcPr>
          <w:p>
            <w:pPr>
              <w:pStyle w:val="47"/>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82112345、13961832399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8</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无锡市惠山区应急管理局应急指挥中心</w:t>
            </w:r>
          </w:p>
        </w:tc>
        <w:tc>
          <w:tcPr>
            <w:tcW w:w="1947" w:type="pct"/>
            <w:noWrap w:val="0"/>
            <w:vAlign w:val="center"/>
          </w:tcPr>
          <w:p>
            <w:pPr>
              <w:pStyle w:val="47"/>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83595510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9</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洛社镇生态环境办公室</w:t>
            </w:r>
          </w:p>
        </w:tc>
        <w:tc>
          <w:tcPr>
            <w:tcW w:w="1947" w:type="pct"/>
            <w:noWrap w:val="0"/>
            <w:vAlign w:val="center"/>
          </w:tcPr>
          <w:p>
            <w:pPr>
              <w:pStyle w:val="47"/>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83833981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10</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无锡市惠山区交通运输局</w:t>
            </w:r>
          </w:p>
        </w:tc>
        <w:tc>
          <w:tcPr>
            <w:tcW w:w="1947" w:type="pct"/>
            <w:noWrap w:val="0"/>
            <w:vAlign w:val="center"/>
          </w:tcPr>
          <w:p>
            <w:pPr>
              <w:pStyle w:val="47"/>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83503303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11</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惠山区环境监测站</w:t>
            </w:r>
          </w:p>
        </w:tc>
        <w:tc>
          <w:tcPr>
            <w:tcW w:w="1947" w:type="pct"/>
            <w:noWrap w:val="0"/>
            <w:vAlign w:val="center"/>
          </w:tcPr>
          <w:p>
            <w:pPr>
              <w:pStyle w:val="47"/>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83591739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12</w:t>
            </w:r>
          </w:p>
        </w:tc>
        <w:tc>
          <w:tcPr>
            <w:tcW w:w="2719" w:type="pct"/>
            <w:noWrap w:val="0"/>
            <w:vAlign w:val="center"/>
          </w:tcPr>
          <w:p>
            <w:pPr>
              <w:pStyle w:val="47"/>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无锡市惠山区消防救援大队</w:t>
            </w:r>
          </w:p>
        </w:tc>
        <w:tc>
          <w:tcPr>
            <w:tcW w:w="1947" w:type="pct"/>
            <w:noWrap w:val="0"/>
            <w:vAlign w:val="center"/>
          </w:tcPr>
          <w:p>
            <w:pPr>
              <w:pStyle w:val="47"/>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83560119/119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7"/>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13</w:t>
            </w:r>
          </w:p>
        </w:tc>
        <w:tc>
          <w:tcPr>
            <w:tcW w:w="2719" w:type="pct"/>
            <w:noWrap w:val="0"/>
            <w:vAlign w:val="center"/>
          </w:tcPr>
          <w:p>
            <w:pPr>
              <w:adjustRightInd w:val="0"/>
              <w:snapToGrid w:val="0"/>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急救中心</w:t>
            </w:r>
          </w:p>
        </w:tc>
        <w:tc>
          <w:tcPr>
            <w:tcW w:w="1947" w:type="pct"/>
            <w:noWrap w:val="0"/>
            <w:vAlign w:val="center"/>
          </w:tcPr>
          <w:p>
            <w:pPr>
              <w:adjustRightInd w:val="0"/>
              <w:snapToGrid w:val="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120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
              <w:numPr>
                <w:ilvl w:val="0"/>
                <w:numId w:val="0"/>
              </w:numPr>
              <w:tabs>
                <w:tab w:val="left" w:pos="432"/>
              </w:tabs>
              <w:bidi w:val="0"/>
              <w:ind w:left="0" w:leftChars="0" w:firstLine="0" w:firstLineChars="0"/>
              <w:jc w:val="center"/>
              <w:rPr>
                <w:rFonts w:hint="default" w:ascii="Times New Roman" w:hAnsi="Times New Roman" w:eastAsia="宋体" w:cs="Times New Roman"/>
                <w:b w:val="0"/>
                <w:bCs/>
                <w:color w:val="auto"/>
                <w:kern w:val="2"/>
                <w:sz w:val="21"/>
                <w:szCs w:val="21"/>
                <w:highlight w:val="none"/>
                <w:lang w:val="en-US" w:eastAsia="zh-CN" w:bidi="ar-SA"/>
              </w:rPr>
            </w:pPr>
            <w:bookmarkStart w:id="110" w:name="_Toc16451"/>
            <w:r>
              <w:rPr>
                <w:rFonts w:hint="default" w:ascii="Times New Roman" w:hAnsi="Times New Roman" w:eastAsia="宋体" w:cs="Times New Roman"/>
                <w:b w:val="0"/>
                <w:bCs/>
                <w:color w:val="auto"/>
                <w:kern w:val="2"/>
                <w:sz w:val="21"/>
                <w:szCs w:val="21"/>
                <w:highlight w:val="none"/>
                <w:lang w:val="en-US" w:eastAsia="zh-CN" w:bidi="ar-SA"/>
              </w:rPr>
              <w:t>14</w:t>
            </w:r>
            <w:bookmarkEnd w:id="110"/>
          </w:p>
        </w:tc>
        <w:tc>
          <w:tcPr>
            <w:tcW w:w="2719" w:type="pct"/>
            <w:noWrap w:val="0"/>
            <w:vAlign w:val="center"/>
          </w:tcPr>
          <w:p>
            <w:pPr>
              <w:adjustRightInd w:val="0"/>
              <w:snapToGrid w:val="0"/>
              <w:jc w:val="center"/>
              <w:rPr>
                <w:rFonts w:hint="default" w:ascii="Times New Roman" w:hAnsi="Times New Roman" w:eastAsia="宋体" w:cs="Times New Roman"/>
                <w:b w:val="0"/>
                <w:bCs/>
                <w:snapToGrid w:val="0"/>
                <w:color w:val="auto"/>
                <w:kern w:val="0"/>
                <w:sz w:val="21"/>
                <w:szCs w:val="21"/>
                <w:highlight w:val="none"/>
                <w:lang w:val="en-US" w:eastAsia="zh-CN"/>
              </w:rPr>
            </w:pPr>
            <w:r>
              <w:rPr>
                <w:rFonts w:hint="default" w:ascii="Times New Roman" w:hAnsi="Times New Roman" w:eastAsia="宋体" w:cs="Times New Roman"/>
                <w:b w:val="0"/>
                <w:bCs/>
                <w:color w:val="auto"/>
                <w:kern w:val="2"/>
                <w:sz w:val="21"/>
                <w:szCs w:val="21"/>
                <w:highlight w:val="none"/>
                <w:lang w:val="en-US" w:eastAsia="zh-CN" w:bidi="ar-SA"/>
              </w:rPr>
              <w:t>无锡市惠山区人民医院</w:t>
            </w:r>
          </w:p>
        </w:tc>
        <w:tc>
          <w:tcPr>
            <w:tcW w:w="1947" w:type="pct"/>
            <w:noWrap w:val="0"/>
            <w:vAlign w:val="center"/>
          </w:tcPr>
          <w:p>
            <w:pPr>
              <w:adjustRightInd w:val="0"/>
              <w:snapToGrid w:val="0"/>
              <w:jc w:val="center"/>
              <w:rPr>
                <w:rFonts w:hint="default" w:ascii="Times New Roman" w:hAnsi="Times New Roman" w:eastAsia="宋体" w:cs="Times New Roman"/>
                <w:b w:val="0"/>
                <w:bCs/>
                <w:color w:val="auto"/>
                <w:sz w:val="21"/>
                <w:szCs w:val="21"/>
                <w:highlight w:val="none"/>
              </w:rPr>
            </w:pPr>
            <w:r>
              <w:rPr>
                <w:rFonts w:hint="default" w:ascii="Times New Roman" w:hAnsi="Times New Roman" w:eastAsia="宋体" w:cs="Times New Roman"/>
                <w:b w:val="0"/>
                <w:bCs/>
                <w:color w:val="auto"/>
                <w:kern w:val="2"/>
                <w:sz w:val="21"/>
                <w:szCs w:val="21"/>
                <w:highlight w:val="none"/>
                <w:lang w:val="en-US" w:eastAsia="zh-CN" w:bidi="ar-SA"/>
              </w:rPr>
              <w:t>83318119、83310273（非上班时间）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blHeader/>
          <w:jc w:val="center"/>
        </w:trPr>
        <w:tc>
          <w:tcPr>
            <w:tcW w:w="333" w:type="pct"/>
            <w:noWrap w:val="0"/>
            <w:vAlign w:val="center"/>
          </w:tcPr>
          <w:p>
            <w:pPr>
              <w:pStyle w:val="4"/>
              <w:numPr>
                <w:ilvl w:val="0"/>
                <w:numId w:val="0"/>
              </w:numPr>
              <w:tabs>
                <w:tab w:val="left" w:pos="432"/>
              </w:tabs>
              <w:bidi w:val="0"/>
              <w:jc w:val="center"/>
              <w:rPr>
                <w:rFonts w:hint="default" w:ascii="Times New Roman" w:hAnsi="Times New Roman" w:eastAsia="宋体" w:cs="Times New Roman"/>
                <w:b w:val="0"/>
                <w:bCs/>
                <w:color w:val="auto"/>
                <w:kern w:val="2"/>
                <w:sz w:val="21"/>
                <w:szCs w:val="21"/>
                <w:highlight w:val="none"/>
                <w:lang w:val="en-US" w:eastAsia="zh-CN" w:bidi="ar-SA"/>
              </w:rPr>
            </w:pPr>
            <w:bookmarkStart w:id="111" w:name="_Toc22124"/>
            <w:r>
              <w:rPr>
                <w:rFonts w:hint="default" w:ascii="Times New Roman" w:hAnsi="Times New Roman" w:eastAsia="宋体" w:cs="Times New Roman"/>
                <w:b w:val="0"/>
                <w:bCs/>
                <w:color w:val="auto"/>
                <w:kern w:val="2"/>
                <w:sz w:val="21"/>
                <w:szCs w:val="21"/>
                <w:highlight w:val="none"/>
                <w:lang w:val="en-US" w:eastAsia="zh-CN" w:bidi="ar-SA"/>
              </w:rPr>
              <w:t>15</w:t>
            </w:r>
            <w:bookmarkEnd w:id="111"/>
          </w:p>
        </w:tc>
        <w:tc>
          <w:tcPr>
            <w:tcW w:w="2719" w:type="pct"/>
            <w:noWrap w:val="0"/>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无锡市疾控中心</w:t>
            </w:r>
          </w:p>
        </w:tc>
        <w:tc>
          <w:tcPr>
            <w:tcW w:w="1947" w:type="pct"/>
            <w:noWrap w:val="0"/>
            <w:vAlign w:val="center"/>
          </w:tcPr>
          <w:p>
            <w:pPr>
              <w:adjustRightInd w:val="0"/>
              <w:snapToGrid w:val="0"/>
              <w:jc w:val="center"/>
              <w:rPr>
                <w:rFonts w:hint="default" w:ascii="Times New Roman" w:hAnsi="Times New Roman" w:eastAsia="宋体" w:cs="Times New Roman"/>
                <w:b w:val="0"/>
                <w:bCs/>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82723439</w:t>
            </w:r>
          </w:p>
        </w:tc>
      </w:tr>
    </w:tbl>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textAlignment w:val="auto"/>
        <w:rPr>
          <w:color w:val="auto"/>
          <w:highlight w:val="none"/>
        </w:rPr>
      </w:pPr>
      <w:r>
        <w:rPr>
          <w:color w:val="auto"/>
          <w:highlight w:val="none"/>
        </w:rPr>
        <w:t>企业应与</w:t>
      </w:r>
      <w:r>
        <w:rPr>
          <w:rFonts w:hint="eastAsia"/>
          <w:color w:val="auto"/>
          <w:highlight w:val="none"/>
          <w:lang w:val="en-US" w:eastAsia="zh-CN"/>
        </w:rPr>
        <w:t>无锡金属表面处理科技工业园区</w:t>
      </w:r>
      <w:r>
        <w:rPr>
          <w:color w:val="auto"/>
          <w:highlight w:val="none"/>
        </w:rPr>
        <w:t>实现信息联系和应急联动，实现与</w:t>
      </w:r>
      <w:r>
        <w:rPr>
          <w:rFonts w:hint="eastAsia" w:ascii="宋体" w:hAnsi="宋体" w:eastAsia="宋体" w:cs="宋体"/>
          <w:b w:val="0"/>
          <w:bCs/>
          <w:snapToGrid w:val="0"/>
          <w:color w:val="auto"/>
          <w:kern w:val="0"/>
          <w:sz w:val="21"/>
          <w:szCs w:val="21"/>
          <w:highlight w:val="none"/>
          <w:lang w:val="en-US" w:eastAsia="zh-CN"/>
        </w:rPr>
        <w:t>无锡金属表面处理科技工业园区突发环境事件应急预案</w:t>
      </w:r>
      <w:r>
        <w:rPr>
          <w:color w:val="auto"/>
          <w:highlight w:val="none"/>
        </w:rPr>
        <w:t>相衔接。</w:t>
      </w:r>
    </w:p>
    <w:p>
      <w:pPr>
        <w:pStyle w:val="6"/>
        <w:rPr>
          <w:color w:val="auto"/>
          <w:highlight w:val="none"/>
        </w:rPr>
      </w:pPr>
      <w:bookmarkStart w:id="112" w:name="_Toc28103266"/>
      <w:r>
        <w:rPr>
          <w:color w:val="auto"/>
          <w:highlight w:val="none"/>
        </w:rPr>
        <w:t>4.1.3 信息通报</w:t>
      </w:r>
      <w:bookmarkEnd w:id="112"/>
    </w:p>
    <w:p>
      <w:pPr>
        <w:widowControl/>
        <w:snapToGrid w:val="0"/>
        <w:spacing w:line="360" w:lineRule="auto"/>
        <w:jc w:val="left"/>
        <w:rPr>
          <w:b/>
          <w:bCs/>
          <w:color w:val="auto"/>
          <w:highlight w:val="none"/>
        </w:rPr>
      </w:pPr>
      <w:r>
        <w:rPr>
          <w:rFonts w:hint="eastAsia"/>
          <w:b/>
          <w:bCs/>
          <w:color w:val="auto"/>
          <w:highlight w:val="none"/>
        </w:rPr>
        <w:t>4.1.3.1向临近单位通报</w:t>
      </w:r>
    </w:p>
    <w:p>
      <w:pPr>
        <w:widowControl/>
        <w:snapToGrid w:val="0"/>
        <w:spacing w:line="360" w:lineRule="auto"/>
        <w:ind w:firstLine="480" w:firstLineChars="200"/>
        <w:jc w:val="left"/>
        <w:rPr>
          <w:color w:val="auto"/>
          <w:highlight w:val="none"/>
        </w:rPr>
      </w:pPr>
      <w:r>
        <w:rPr>
          <w:color w:val="auto"/>
          <w:highlight w:val="none"/>
        </w:rPr>
        <w:t>突发环境事件发生后，在上报相关部门的同时，根据事故的类别、可能波及的范围、可能危害的程度、可能延续的时间，及时通报周边企业和居民，通报的内容主要包括提醒事宜和应采取的相应措施等，可通过广播、宣传车、警报器或组织人员逐户通知等方式进行发布，对于老、弱、病、残、孕等特殊人群以及学校等特殊场所和警报盲区，应当采取有针对性的公告方式。同时，企业设专人通过电话对通知的人群及学校等敏感目标进行确认，确保其已经采取相应措施来预防事故的影响。</w:t>
      </w:r>
    </w:p>
    <w:p>
      <w:pPr>
        <w:widowControl/>
        <w:snapToGrid w:val="0"/>
        <w:spacing w:line="360" w:lineRule="auto"/>
        <w:ind w:firstLine="480" w:firstLineChars="200"/>
        <w:jc w:val="left"/>
        <w:rPr>
          <w:color w:val="auto"/>
          <w:highlight w:val="none"/>
        </w:rPr>
      </w:pPr>
      <w:r>
        <w:rPr>
          <w:color w:val="auto"/>
          <w:highlight w:val="none"/>
        </w:rPr>
        <w:t>当突发环境事件可能影响到其他人员、甚至是周边企业或居民区时，应由通信</w:t>
      </w:r>
      <w:r>
        <w:rPr>
          <w:rFonts w:hint="eastAsia"/>
          <w:color w:val="auto"/>
          <w:highlight w:val="none"/>
        </w:rPr>
        <w:t>联络</w:t>
      </w:r>
      <w:r>
        <w:rPr>
          <w:color w:val="auto"/>
          <w:highlight w:val="none"/>
        </w:rPr>
        <w:t>组组长及时向公众发出警报或公告，可通知企业负责人或居委会协助公告，告知事故性质、自我保护措施、疏散时间和路线、随身携带物品、交通工具及目的地、注意事项等，并进行检查，以确保公众了解有关信息；应将伤亡人员情况，损失情况，救援情况以规范格式向媒体公布，必要时可以通过召开新闻发布会的形式向公众及媒体公布，信息发布应当及时、准确、全面。同时，企业设专人通过电话对通知的人群及学校等敏感目标进行确认，确保其已经采取相应措施来预防事故的影响。</w:t>
      </w:r>
    </w:p>
    <w:p>
      <w:pPr>
        <w:widowControl/>
        <w:snapToGrid w:val="0"/>
        <w:spacing w:line="360" w:lineRule="auto"/>
        <w:jc w:val="left"/>
        <w:rPr>
          <w:b/>
          <w:bCs/>
          <w:color w:val="auto"/>
          <w:highlight w:val="none"/>
        </w:rPr>
      </w:pPr>
      <w:r>
        <w:rPr>
          <w:rFonts w:hint="eastAsia"/>
          <w:b/>
          <w:bCs/>
          <w:color w:val="auto"/>
          <w:highlight w:val="none"/>
        </w:rPr>
        <w:t>4.1.3.2通知协议单位协助应急救援</w:t>
      </w:r>
    </w:p>
    <w:p>
      <w:pPr>
        <w:pStyle w:val="2"/>
        <w:spacing w:line="360" w:lineRule="auto"/>
        <w:ind w:firstLine="480" w:firstLineChars="200"/>
        <w:rPr>
          <w:color w:val="auto"/>
          <w:highlight w:val="none"/>
        </w:rPr>
      </w:pPr>
      <w:r>
        <w:rPr>
          <w:rFonts w:ascii="Times New Roman" w:hAnsi="Times New Roman"/>
          <w:color w:val="auto"/>
          <w:sz w:val="24"/>
          <w:highlight w:val="none"/>
        </w:rPr>
        <w:t>突发环境事件发生后，在上报相关部门的同时，根据事故的类别、可能波及的范围、可能危害的程度、可能延续的时间，</w:t>
      </w:r>
      <w:r>
        <w:rPr>
          <w:rFonts w:hint="eastAsia" w:ascii="Times New Roman" w:hAnsi="Times New Roman"/>
          <w:color w:val="auto"/>
          <w:sz w:val="24"/>
          <w:highlight w:val="none"/>
        </w:rPr>
        <w:t>及时向协议单位传递风险物质及风险源情况、应急物资需求、人员需求及其他必要的需求等信息。</w:t>
      </w:r>
    </w:p>
    <w:p>
      <w:pPr>
        <w:pStyle w:val="5"/>
        <w:rPr>
          <w:color w:val="auto"/>
          <w:highlight w:val="none"/>
        </w:rPr>
      </w:pPr>
      <w:bookmarkStart w:id="113" w:name="_Toc28103267"/>
      <w:bookmarkStart w:id="114" w:name="_Toc13727"/>
      <w:r>
        <w:rPr>
          <w:color w:val="auto"/>
          <w:highlight w:val="none"/>
        </w:rPr>
        <w:t>4.2 信息报告内容</w:t>
      </w:r>
      <w:bookmarkEnd w:id="113"/>
      <w:r>
        <w:rPr>
          <w:color w:val="auto"/>
          <w:highlight w:val="none"/>
        </w:rPr>
        <w:t>及方式</w:t>
      </w:r>
      <w:bookmarkEnd w:id="114"/>
    </w:p>
    <w:p>
      <w:pPr>
        <w:autoSpaceDE w:val="0"/>
        <w:autoSpaceDN w:val="0"/>
        <w:adjustRightInd w:val="0"/>
        <w:spacing w:line="360" w:lineRule="auto"/>
        <w:ind w:firstLine="480" w:firstLineChars="200"/>
        <w:rPr>
          <w:color w:val="auto"/>
          <w:highlight w:val="none"/>
        </w:rPr>
      </w:pPr>
      <w:r>
        <w:rPr>
          <w:color w:val="auto"/>
          <w:highlight w:val="none"/>
        </w:rPr>
        <w:t>根据突发环境污染事件情况分为初报、续报和处理结果报告三类。初报：在发生环境污染突发事故（事故较为严重时）一小时内，须报告区、市生态环境局和</w:t>
      </w:r>
      <w:r>
        <w:rPr>
          <w:rFonts w:hint="eastAsia"/>
          <w:color w:val="auto"/>
          <w:highlight w:val="none"/>
        </w:rPr>
        <w:t>应急管理</w:t>
      </w:r>
      <w:r>
        <w:rPr>
          <w:color w:val="auto"/>
          <w:highlight w:val="none"/>
        </w:rPr>
        <w:t>局等相关部门；续报：组织现场事故应急处理和事故情况调查，在处理过程中根据实际应急处理情况进行不定期连续上报；处理结果报告：事故应急处理完成后15个工作日内，对于事故的发生原因进行调查，总结事故应急情况，并向区、市生态环境局和</w:t>
      </w:r>
      <w:r>
        <w:rPr>
          <w:rFonts w:hint="eastAsia"/>
          <w:color w:val="auto"/>
          <w:highlight w:val="none"/>
        </w:rPr>
        <w:t>应急管理</w:t>
      </w:r>
      <w:r>
        <w:rPr>
          <w:color w:val="auto"/>
          <w:highlight w:val="none"/>
        </w:rPr>
        <w:t>局等相关单位上报。</w:t>
      </w:r>
    </w:p>
    <w:p>
      <w:pPr>
        <w:widowControl/>
        <w:snapToGrid w:val="0"/>
        <w:spacing w:line="360" w:lineRule="auto"/>
        <w:ind w:firstLine="480" w:firstLineChars="200"/>
        <w:jc w:val="left"/>
        <w:rPr>
          <w:color w:val="auto"/>
          <w:highlight w:val="none"/>
        </w:rPr>
      </w:pPr>
      <w:r>
        <w:rPr>
          <w:color w:val="auto"/>
          <w:highlight w:val="none"/>
        </w:rPr>
        <w:t>初报可采用电话方式，由指挥部指定专人报告。报告内容主要为：事故发生类型、发生时间、地点、污染源、主要污染物、人员伤害情况、事故的发展趋势、事故的潜在危害程度等。初报过程中应采用适当的方式，避免在当地群众中造成不利影响。</w:t>
      </w:r>
    </w:p>
    <w:p>
      <w:pPr>
        <w:widowControl/>
        <w:snapToGrid w:val="0"/>
        <w:spacing w:line="360" w:lineRule="auto"/>
        <w:ind w:firstLine="480" w:firstLineChars="200"/>
        <w:jc w:val="left"/>
        <w:rPr>
          <w:color w:val="auto"/>
          <w:highlight w:val="none"/>
        </w:rPr>
      </w:pPr>
      <w:r>
        <w:rPr>
          <w:color w:val="auto"/>
          <w:highlight w:val="none"/>
        </w:rPr>
        <w:t>续报可采用电话方式，由初报人员再担任。报告内容为：事故发生的过程、进展情况、应急处理情况、人员伤害状况、事故控制状况、事故发生趋势如何等。</w:t>
      </w:r>
    </w:p>
    <w:p>
      <w:pPr>
        <w:widowControl/>
        <w:snapToGrid w:val="0"/>
        <w:spacing w:line="360" w:lineRule="auto"/>
        <w:ind w:firstLine="480" w:firstLineChars="200"/>
        <w:jc w:val="left"/>
        <w:rPr>
          <w:color w:val="auto"/>
          <w:highlight w:val="none"/>
        </w:rPr>
      </w:pPr>
      <w:r>
        <w:rPr>
          <w:color w:val="auto"/>
          <w:highlight w:val="none"/>
        </w:rPr>
        <w:t>处理结果及事故原因调查报告采用传真、网络、邮寄和面呈等书面报告形式，报告人仍可以是初报人员或</w:t>
      </w:r>
      <w:r>
        <w:rPr>
          <w:rFonts w:hint="eastAsia"/>
          <w:color w:val="auto"/>
          <w:highlight w:val="none"/>
        </w:rPr>
        <w:t>第一、</w:t>
      </w:r>
      <w:r>
        <w:rPr>
          <w:color w:val="auto"/>
          <w:highlight w:val="none"/>
        </w:rPr>
        <w:t>第二总指挥。报告内容：事故发生原因、事故发生过程、应急处理措施、造成的人员伤害、事故造成的经济损失、应急监测数据、事故处理效果、事故处理的遗留问题。</w:t>
      </w:r>
    </w:p>
    <w:p>
      <w:pPr>
        <w:widowControl/>
        <w:snapToGrid w:val="0"/>
        <w:spacing w:line="360" w:lineRule="auto"/>
        <w:ind w:firstLine="480" w:firstLineChars="200"/>
        <w:jc w:val="left"/>
        <w:rPr>
          <w:color w:val="auto"/>
          <w:highlight w:val="none"/>
        </w:rPr>
      </w:pPr>
      <w:r>
        <w:rPr>
          <w:color w:val="auto"/>
          <w:highlight w:val="none"/>
        </w:rPr>
        <w:t>应急信息接报、处理、上报等规范化格式文本</w:t>
      </w:r>
      <w:r>
        <w:rPr>
          <w:rFonts w:hint="eastAsia"/>
          <w:color w:val="auto"/>
          <w:highlight w:val="none"/>
        </w:rPr>
        <w:t>见下表4.2-1~4.2-3：</w:t>
      </w:r>
    </w:p>
    <w:p>
      <w:pPr>
        <w:pStyle w:val="19"/>
        <w:spacing w:before="120" w:beforeLines="50" w:after="0"/>
        <w:ind w:left="0" w:leftChars="0" w:firstLine="0" w:firstLineChars="0"/>
        <w:jc w:val="center"/>
        <w:rPr>
          <w:b/>
          <w:bCs/>
          <w:color w:val="auto"/>
          <w:sz w:val="24"/>
          <w:szCs w:val="24"/>
          <w:highlight w:val="none"/>
        </w:rPr>
      </w:pPr>
      <w:r>
        <w:rPr>
          <w:rFonts w:hint="eastAsia"/>
          <w:b/>
          <w:bCs/>
          <w:color w:val="auto"/>
          <w:sz w:val="24"/>
          <w:szCs w:val="24"/>
          <w:highlight w:val="none"/>
        </w:rPr>
        <w:t>表4.2-1  事故信息接报表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59"/>
        <w:gridCol w:w="2256"/>
        <w:gridCol w:w="2261"/>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接报人</w:t>
            </w:r>
          </w:p>
        </w:tc>
        <w:tc>
          <w:tcPr>
            <w:tcW w:w="1248" w:type="pct"/>
            <w:vAlign w:val="center"/>
          </w:tcPr>
          <w:p>
            <w:pPr>
              <w:pStyle w:val="19"/>
              <w:adjustRightInd w:val="0"/>
              <w:spacing w:after="0"/>
              <w:ind w:left="0" w:leftChars="0" w:firstLine="0" w:firstLineChars="0"/>
              <w:jc w:val="center"/>
              <w:rPr>
                <w:color w:val="auto"/>
                <w:szCs w:val="21"/>
                <w:highlight w:val="none"/>
              </w:rPr>
            </w:pPr>
          </w:p>
        </w:tc>
        <w:tc>
          <w:tcPr>
            <w:tcW w:w="1251"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接报时间</w:t>
            </w:r>
          </w:p>
        </w:tc>
        <w:tc>
          <w:tcPr>
            <w:tcW w:w="1249" w:type="pct"/>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汇报人</w:t>
            </w:r>
          </w:p>
        </w:tc>
        <w:tc>
          <w:tcPr>
            <w:tcW w:w="1248" w:type="pct"/>
            <w:vAlign w:val="center"/>
          </w:tcPr>
          <w:p>
            <w:pPr>
              <w:pStyle w:val="19"/>
              <w:adjustRightInd w:val="0"/>
              <w:spacing w:after="0"/>
              <w:ind w:left="0" w:leftChars="0" w:firstLine="0" w:firstLineChars="0"/>
              <w:jc w:val="center"/>
              <w:rPr>
                <w:color w:val="auto"/>
                <w:szCs w:val="21"/>
                <w:highlight w:val="none"/>
              </w:rPr>
            </w:pPr>
          </w:p>
        </w:tc>
        <w:tc>
          <w:tcPr>
            <w:tcW w:w="1251"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汇报地点</w:t>
            </w:r>
          </w:p>
        </w:tc>
        <w:tc>
          <w:tcPr>
            <w:tcW w:w="1249" w:type="pct"/>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事故单位</w:t>
            </w:r>
          </w:p>
        </w:tc>
        <w:tc>
          <w:tcPr>
            <w:tcW w:w="3749"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事故地点</w:t>
            </w:r>
          </w:p>
        </w:tc>
        <w:tc>
          <w:tcPr>
            <w:tcW w:w="3749"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事故发生时间</w:t>
            </w:r>
          </w:p>
        </w:tc>
        <w:tc>
          <w:tcPr>
            <w:tcW w:w="3749"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事故发生简要经过</w:t>
            </w:r>
          </w:p>
        </w:tc>
        <w:tc>
          <w:tcPr>
            <w:tcW w:w="3749"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事故影响范围</w:t>
            </w:r>
          </w:p>
        </w:tc>
        <w:tc>
          <w:tcPr>
            <w:tcW w:w="3749"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人员遇险情况</w:t>
            </w:r>
          </w:p>
        </w:tc>
        <w:tc>
          <w:tcPr>
            <w:tcW w:w="3749"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备注</w:t>
            </w:r>
          </w:p>
        </w:tc>
        <w:tc>
          <w:tcPr>
            <w:tcW w:w="3749" w:type="pct"/>
            <w:gridSpan w:val="3"/>
            <w:vAlign w:val="center"/>
          </w:tcPr>
          <w:p>
            <w:pPr>
              <w:pStyle w:val="19"/>
              <w:adjustRightInd w:val="0"/>
              <w:spacing w:after="0"/>
              <w:ind w:left="0" w:leftChars="0" w:firstLine="0" w:firstLineChars="0"/>
              <w:jc w:val="center"/>
              <w:rPr>
                <w:color w:val="auto"/>
                <w:szCs w:val="21"/>
                <w:highlight w:val="none"/>
              </w:rPr>
            </w:pPr>
          </w:p>
        </w:tc>
      </w:tr>
    </w:tbl>
    <w:p>
      <w:pPr>
        <w:pStyle w:val="19"/>
        <w:spacing w:before="120" w:beforeLines="50" w:after="0"/>
        <w:ind w:left="0" w:leftChars="0" w:firstLine="0" w:firstLineChars="0"/>
        <w:jc w:val="both"/>
        <w:rPr>
          <w:b/>
          <w:bCs/>
          <w:color w:val="auto"/>
          <w:sz w:val="24"/>
          <w:szCs w:val="24"/>
          <w:highlight w:val="none"/>
        </w:rPr>
      </w:pPr>
    </w:p>
    <w:p>
      <w:pPr>
        <w:pStyle w:val="19"/>
        <w:spacing w:before="120" w:beforeLines="50" w:after="0"/>
        <w:ind w:left="0" w:leftChars="0" w:firstLine="0" w:firstLineChars="0"/>
        <w:jc w:val="center"/>
        <w:rPr>
          <w:b/>
          <w:bCs/>
          <w:color w:val="auto"/>
          <w:sz w:val="24"/>
          <w:szCs w:val="24"/>
          <w:highlight w:val="none"/>
        </w:rPr>
      </w:pPr>
      <w:r>
        <w:rPr>
          <w:rFonts w:hint="eastAsia"/>
          <w:b/>
          <w:bCs/>
          <w:color w:val="auto"/>
          <w:sz w:val="24"/>
          <w:szCs w:val="24"/>
          <w:highlight w:val="none"/>
        </w:rPr>
        <w:t>表4.2-2 事故信息处理表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58"/>
        <w:gridCol w:w="2255"/>
        <w:gridCol w:w="60"/>
        <w:gridCol w:w="2201"/>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接报人</w:t>
            </w:r>
          </w:p>
        </w:tc>
        <w:tc>
          <w:tcPr>
            <w:tcW w:w="1248" w:type="pct"/>
            <w:vAlign w:val="center"/>
          </w:tcPr>
          <w:p>
            <w:pPr>
              <w:pStyle w:val="19"/>
              <w:adjustRightInd w:val="0"/>
              <w:spacing w:after="0"/>
              <w:ind w:left="0" w:leftChars="0" w:firstLine="0" w:firstLineChars="0"/>
              <w:jc w:val="center"/>
              <w:rPr>
                <w:color w:val="auto"/>
                <w:szCs w:val="21"/>
                <w:highlight w:val="none"/>
              </w:rPr>
            </w:pPr>
          </w:p>
        </w:tc>
        <w:tc>
          <w:tcPr>
            <w:tcW w:w="1251" w:type="pct"/>
            <w:gridSpan w:val="2"/>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接报时间</w:t>
            </w:r>
          </w:p>
        </w:tc>
        <w:tc>
          <w:tcPr>
            <w:tcW w:w="1249" w:type="pct"/>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事故信息</w:t>
            </w:r>
          </w:p>
        </w:tc>
        <w:tc>
          <w:tcPr>
            <w:tcW w:w="3749" w:type="pct"/>
            <w:gridSpan w:val="4"/>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调度员应急处置情况</w:t>
            </w:r>
          </w:p>
        </w:tc>
        <w:tc>
          <w:tcPr>
            <w:tcW w:w="3749" w:type="pct"/>
            <w:gridSpan w:val="4"/>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事故现场处置方式及措施情况</w:t>
            </w:r>
          </w:p>
        </w:tc>
        <w:tc>
          <w:tcPr>
            <w:tcW w:w="3749" w:type="pct"/>
            <w:gridSpan w:val="4"/>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5000" w:type="pct"/>
            <w:gridSpan w:val="5"/>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事故信息报告情况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2531" w:type="pct"/>
            <w:gridSpan w:val="3"/>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通知人员/单位及通知时间</w:t>
            </w:r>
          </w:p>
        </w:tc>
        <w:tc>
          <w:tcPr>
            <w:tcW w:w="2468" w:type="pct"/>
            <w:gridSpan w:val="2"/>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通知人员/单位及通知时间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2531" w:type="pct"/>
            <w:gridSpan w:val="3"/>
            <w:vAlign w:val="center"/>
          </w:tcPr>
          <w:p>
            <w:pPr>
              <w:pStyle w:val="19"/>
              <w:adjustRightInd w:val="0"/>
              <w:spacing w:after="0"/>
              <w:ind w:left="0" w:leftChars="0" w:firstLine="0" w:firstLineChars="0"/>
              <w:jc w:val="center"/>
              <w:rPr>
                <w:rFonts w:ascii="Arial"/>
                <w:color w:val="auto"/>
                <w:szCs w:val="21"/>
                <w:highlight w:val="none"/>
              </w:rPr>
            </w:pPr>
          </w:p>
        </w:tc>
        <w:tc>
          <w:tcPr>
            <w:tcW w:w="2468" w:type="pct"/>
            <w:gridSpan w:val="2"/>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250"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备注</w:t>
            </w:r>
          </w:p>
        </w:tc>
        <w:tc>
          <w:tcPr>
            <w:tcW w:w="3749" w:type="pct"/>
            <w:gridSpan w:val="4"/>
            <w:vAlign w:val="center"/>
          </w:tcPr>
          <w:p>
            <w:pPr>
              <w:pStyle w:val="19"/>
              <w:adjustRightInd w:val="0"/>
              <w:spacing w:after="0"/>
              <w:ind w:left="0" w:leftChars="0" w:firstLine="0" w:firstLineChars="0"/>
              <w:jc w:val="center"/>
              <w:rPr>
                <w:color w:val="auto"/>
                <w:szCs w:val="21"/>
                <w:highlight w:val="none"/>
              </w:rPr>
            </w:pPr>
          </w:p>
        </w:tc>
      </w:tr>
    </w:tbl>
    <w:p>
      <w:pPr>
        <w:pStyle w:val="19"/>
        <w:ind w:left="0" w:leftChars="0" w:firstLine="0" w:firstLineChars="0"/>
        <w:jc w:val="center"/>
        <w:rPr>
          <w:b/>
          <w:bCs/>
          <w:color w:val="auto"/>
          <w:sz w:val="28"/>
          <w:szCs w:val="28"/>
          <w:highlight w:val="none"/>
        </w:rPr>
      </w:pPr>
    </w:p>
    <w:p>
      <w:pPr>
        <w:pStyle w:val="18"/>
        <w:ind w:firstLine="281"/>
        <w:rPr>
          <w:rFonts w:hint="eastAsia" w:eastAsia="宋体"/>
          <w:b/>
          <w:bCs/>
          <w:color w:val="auto"/>
          <w:sz w:val="28"/>
          <w:szCs w:val="28"/>
          <w:highlight w:val="none"/>
          <w:lang w:eastAsia="zh-CN"/>
        </w:rPr>
      </w:pPr>
    </w:p>
    <w:p>
      <w:pPr>
        <w:rPr>
          <w:rFonts w:hint="eastAsia"/>
          <w:color w:val="auto"/>
          <w:highlight w:val="none"/>
          <w:lang w:eastAsia="zh-CN"/>
        </w:rPr>
      </w:pPr>
    </w:p>
    <w:p>
      <w:pPr>
        <w:rPr>
          <w:b/>
          <w:bCs/>
          <w:color w:val="auto"/>
          <w:sz w:val="28"/>
          <w:szCs w:val="28"/>
          <w:highlight w:val="none"/>
        </w:rPr>
      </w:pPr>
    </w:p>
    <w:p>
      <w:pPr>
        <w:pStyle w:val="19"/>
        <w:spacing w:before="120" w:beforeLines="50" w:after="0"/>
        <w:ind w:left="0" w:leftChars="0" w:firstLine="0" w:firstLineChars="0"/>
        <w:jc w:val="center"/>
        <w:rPr>
          <w:b/>
          <w:bCs/>
          <w:color w:val="auto"/>
          <w:sz w:val="24"/>
          <w:szCs w:val="24"/>
          <w:highlight w:val="none"/>
        </w:rPr>
      </w:pPr>
      <w:r>
        <w:rPr>
          <w:rFonts w:hint="eastAsia"/>
          <w:b/>
          <w:bCs/>
          <w:color w:val="auto"/>
          <w:sz w:val="24"/>
          <w:szCs w:val="24"/>
          <w:highlight w:val="none"/>
        </w:rPr>
        <w:t>表4.2-3 事故信息上报表</w:t>
      </w:r>
    </w:p>
    <w:tbl>
      <w:tblPr>
        <w:tblStyle w:val="2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60"/>
        <w:gridCol w:w="1856"/>
        <w:gridCol w:w="2261"/>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1472"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事故单位</w:t>
            </w:r>
          </w:p>
        </w:tc>
        <w:tc>
          <w:tcPr>
            <w:tcW w:w="1027" w:type="pct"/>
            <w:vAlign w:val="center"/>
          </w:tcPr>
          <w:p>
            <w:pPr>
              <w:pStyle w:val="19"/>
              <w:adjustRightInd w:val="0"/>
              <w:spacing w:after="0"/>
              <w:ind w:left="0" w:leftChars="0" w:firstLine="0" w:firstLineChars="0"/>
              <w:jc w:val="center"/>
              <w:rPr>
                <w:color w:val="auto"/>
                <w:szCs w:val="21"/>
                <w:highlight w:val="none"/>
              </w:rPr>
            </w:pPr>
          </w:p>
        </w:tc>
        <w:tc>
          <w:tcPr>
            <w:tcW w:w="1251"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事故发生时间</w:t>
            </w:r>
          </w:p>
        </w:tc>
        <w:tc>
          <w:tcPr>
            <w:tcW w:w="1249" w:type="pct"/>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472"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事故地点</w:t>
            </w:r>
          </w:p>
        </w:tc>
        <w:tc>
          <w:tcPr>
            <w:tcW w:w="1027" w:type="pct"/>
            <w:vAlign w:val="center"/>
          </w:tcPr>
          <w:p>
            <w:pPr>
              <w:pStyle w:val="19"/>
              <w:adjustRightInd w:val="0"/>
              <w:spacing w:after="0"/>
              <w:ind w:left="0" w:leftChars="0" w:firstLine="0" w:firstLineChars="0"/>
              <w:jc w:val="center"/>
              <w:rPr>
                <w:color w:val="auto"/>
                <w:szCs w:val="21"/>
                <w:highlight w:val="none"/>
              </w:rPr>
            </w:pPr>
          </w:p>
        </w:tc>
        <w:tc>
          <w:tcPr>
            <w:tcW w:w="1251"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汇报人</w:t>
            </w:r>
          </w:p>
        </w:tc>
        <w:tc>
          <w:tcPr>
            <w:tcW w:w="1249" w:type="pct"/>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472"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事故类型及简要经过</w:t>
            </w:r>
          </w:p>
        </w:tc>
        <w:tc>
          <w:tcPr>
            <w:tcW w:w="3527"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472"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事故影响范围及人员遇险情况</w:t>
            </w:r>
          </w:p>
        </w:tc>
        <w:tc>
          <w:tcPr>
            <w:tcW w:w="3527"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472"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事故原因的初步判断</w:t>
            </w:r>
          </w:p>
        </w:tc>
        <w:tc>
          <w:tcPr>
            <w:tcW w:w="3527"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472"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应急预案的启动情况</w:t>
            </w:r>
          </w:p>
        </w:tc>
        <w:tc>
          <w:tcPr>
            <w:tcW w:w="3527"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472"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采取的应急救援措施核进展情况</w:t>
            </w:r>
          </w:p>
        </w:tc>
        <w:tc>
          <w:tcPr>
            <w:tcW w:w="3527"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472" w:type="pct"/>
            <w:vAlign w:val="center"/>
          </w:tcPr>
          <w:p>
            <w:pPr>
              <w:pStyle w:val="19"/>
              <w:adjustRightInd w:val="0"/>
              <w:spacing w:after="0"/>
              <w:ind w:left="0" w:leftChars="0" w:firstLine="0" w:firstLineChars="0"/>
              <w:jc w:val="center"/>
              <w:rPr>
                <w:color w:val="auto"/>
                <w:szCs w:val="21"/>
                <w:highlight w:val="none"/>
              </w:rPr>
            </w:pPr>
            <w:r>
              <w:rPr>
                <w:rFonts w:hint="eastAsia"/>
                <w:color w:val="auto"/>
                <w:szCs w:val="21"/>
                <w:highlight w:val="none"/>
              </w:rPr>
              <w:t>需请示报告的其他事项</w:t>
            </w:r>
          </w:p>
        </w:tc>
        <w:tc>
          <w:tcPr>
            <w:tcW w:w="3527" w:type="pct"/>
            <w:gridSpan w:val="3"/>
            <w:vAlign w:val="center"/>
          </w:tcPr>
          <w:p>
            <w:pPr>
              <w:pStyle w:val="19"/>
              <w:adjustRightInd w:val="0"/>
              <w:spacing w:after="0"/>
              <w:ind w:left="0" w:leftChars="0" w:firstLine="0" w:firstLineChars="0"/>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1472" w:type="pct"/>
            <w:vAlign w:val="center"/>
          </w:tcPr>
          <w:p>
            <w:pPr>
              <w:pStyle w:val="19"/>
              <w:adjustRightInd w:val="0"/>
              <w:spacing w:after="0"/>
              <w:ind w:left="0" w:leftChars="0" w:firstLine="0" w:firstLineChars="0"/>
              <w:jc w:val="center"/>
              <w:rPr>
                <w:rFonts w:ascii="Arial"/>
                <w:color w:val="auto"/>
                <w:szCs w:val="21"/>
                <w:highlight w:val="none"/>
              </w:rPr>
            </w:pPr>
            <w:r>
              <w:rPr>
                <w:rFonts w:hint="eastAsia"/>
                <w:color w:val="auto"/>
                <w:szCs w:val="21"/>
                <w:highlight w:val="none"/>
              </w:rPr>
              <w:t>备注</w:t>
            </w:r>
          </w:p>
        </w:tc>
        <w:tc>
          <w:tcPr>
            <w:tcW w:w="3527" w:type="pct"/>
            <w:gridSpan w:val="3"/>
            <w:vAlign w:val="center"/>
          </w:tcPr>
          <w:p>
            <w:pPr>
              <w:pStyle w:val="19"/>
              <w:adjustRightInd w:val="0"/>
              <w:spacing w:after="0"/>
              <w:ind w:left="0" w:leftChars="0" w:firstLine="0" w:firstLineChars="0"/>
              <w:jc w:val="center"/>
              <w:rPr>
                <w:color w:val="auto"/>
                <w:szCs w:val="21"/>
                <w:highlight w:val="none"/>
              </w:rPr>
            </w:pPr>
          </w:p>
        </w:tc>
      </w:tr>
    </w:tbl>
    <w:p>
      <w:pPr>
        <w:widowControl/>
        <w:snapToGrid w:val="0"/>
        <w:spacing w:line="360" w:lineRule="auto"/>
        <w:ind w:firstLine="480" w:firstLineChars="200"/>
        <w:jc w:val="left"/>
        <w:rPr>
          <w:color w:val="auto"/>
          <w:highlight w:val="none"/>
        </w:rPr>
      </w:pPr>
    </w:p>
    <w:p>
      <w:pPr>
        <w:widowControl/>
        <w:snapToGrid w:val="0"/>
        <w:spacing w:line="360" w:lineRule="auto"/>
        <w:ind w:firstLine="480" w:firstLineChars="200"/>
        <w:jc w:val="left"/>
        <w:rPr>
          <w:color w:val="auto"/>
          <w:highlight w:val="none"/>
        </w:rPr>
      </w:pPr>
    </w:p>
    <w:p>
      <w:pPr>
        <w:widowControl/>
        <w:snapToGrid w:val="0"/>
        <w:spacing w:line="360" w:lineRule="auto"/>
        <w:ind w:firstLine="480" w:firstLineChars="200"/>
        <w:jc w:val="left"/>
        <w:rPr>
          <w:color w:val="auto"/>
          <w:highlight w:val="none"/>
        </w:rPr>
      </w:pPr>
    </w:p>
    <w:p>
      <w:pPr>
        <w:widowControl/>
        <w:snapToGrid w:val="0"/>
        <w:spacing w:line="360" w:lineRule="auto"/>
        <w:ind w:firstLine="480" w:firstLineChars="200"/>
        <w:jc w:val="left"/>
        <w:rPr>
          <w:color w:val="auto"/>
          <w:highlight w:val="none"/>
        </w:rPr>
      </w:pPr>
    </w:p>
    <w:p>
      <w:pPr>
        <w:widowControl/>
        <w:snapToGrid w:val="0"/>
        <w:spacing w:line="360" w:lineRule="auto"/>
        <w:ind w:firstLine="480" w:firstLineChars="200"/>
        <w:jc w:val="left"/>
        <w:rPr>
          <w:color w:val="auto"/>
          <w:highlight w:val="none"/>
        </w:rPr>
      </w:pPr>
    </w:p>
    <w:p>
      <w:pPr>
        <w:widowControl/>
        <w:snapToGrid w:val="0"/>
        <w:spacing w:line="360" w:lineRule="auto"/>
        <w:ind w:firstLine="480" w:firstLineChars="200"/>
        <w:jc w:val="left"/>
        <w:rPr>
          <w:color w:val="auto"/>
          <w:highlight w:val="none"/>
        </w:rPr>
      </w:pPr>
    </w:p>
    <w:p>
      <w:pPr>
        <w:widowControl/>
        <w:snapToGrid w:val="0"/>
        <w:spacing w:line="360" w:lineRule="auto"/>
        <w:ind w:firstLine="480" w:firstLineChars="200"/>
        <w:jc w:val="left"/>
        <w:rPr>
          <w:color w:val="auto"/>
          <w:highlight w:val="none"/>
        </w:rPr>
      </w:pPr>
    </w:p>
    <w:p>
      <w:pPr>
        <w:widowControl/>
        <w:snapToGrid w:val="0"/>
        <w:spacing w:line="360" w:lineRule="auto"/>
        <w:ind w:firstLine="480" w:firstLineChars="200"/>
        <w:jc w:val="left"/>
        <w:rPr>
          <w:color w:val="auto"/>
          <w:highlight w:val="none"/>
        </w:rPr>
      </w:pPr>
    </w:p>
    <w:p>
      <w:pPr>
        <w:widowControl/>
        <w:snapToGrid w:val="0"/>
        <w:spacing w:line="360" w:lineRule="auto"/>
        <w:ind w:firstLine="480" w:firstLineChars="200"/>
        <w:jc w:val="left"/>
        <w:rPr>
          <w:color w:val="auto"/>
          <w:highlight w:val="none"/>
        </w:rPr>
      </w:pPr>
      <w:r>
        <w:rPr>
          <w:rFonts w:hint="eastAsia"/>
          <w:color w:val="auto"/>
          <w:highlight w:val="none"/>
        </w:rPr>
        <w:t>企业突发环境事件报告表如下：</w:t>
      </w:r>
    </w:p>
    <w:p>
      <w:pPr>
        <w:widowControl/>
        <w:snapToGrid w:val="0"/>
        <w:jc w:val="center"/>
        <w:rPr>
          <w:b/>
          <w:bCs/>
          <w:color w:val="auto"/>
          <w:highlight w:val="none"/>
        </w:rPr>
      </w:pPr>
      <w:r>
        <w:rPr>
          <w:b/>
          <w:bCs/>
          <w:color w:val="auto"/>
          <w:highlight w:val="none"/>
        </w:rPr>
        <w:t>4.</w:t>
      </w:r>
      <w:r>
        <w:rPr>
          <w:rFonts w:hint="eastAsia"/>
          <w:b/>
          <w:bCs/>
          <w:color w:val="auto"/>
          <w:highlight w:val="none"/>
        </w:rPr>
        <w:t>2</w:t>
      </w:r>
      <w:r>
        <w:rPr>
          <w:b/>
          <w:bCs/>
          <w:color w:val="auto"/>
          <w:highlight w:val="none"/>
        </w:rPr>
        <w:t>-</w:t>
      </w:r>
      <w:r>
        <w:rPr>
          <w:rFonts w:hint="eastAsia"/>
          <w:b/>
          <w:bCs/>
          <w:color w:val="auto"/>
          <w:highlight w:val="none"/>
        </w:rPr>
        <w:t xml:space="preserve">4  </w:t>
      </w:r>
      <w:r>
        <w:rPr>
          <w:b/>
          <w:bCs/>
          <w:color w:val="auto"/>
          <w:highlight w:val="none"/>
        </w:rPr>
        <w:t>企业突发环境事件报告表（初报）</w:t>
      </w:r>
    </w:p>
    <w:tbl>
      <w:tblPr>
        <w:tblStyle w:val="2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648"/>
        <w:gridCol w:w="1605"/>
        <w:gridCol w:w="1670"/>
        <w:gridCol w:w="220"/>
        <w:gridCol w:w="95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rPr>
              <w:t>报告单位</w:t>
            </w:r>
          </w:p>
        </w:tc>
        <w:tc>
          <w:tcPr>
            <w:tcW w:w="7896" w:type="dxa"/>
            <w:gridSpan w:val="6"/>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rPr>
              <w:t>单位地址</w:t>
            </w:r>
          </w:p>
        </w:tc>
        <w:tc>
          <w:tcPr>
            <w:tcW w:w="7896" w:type="dxa"/>
            <w:gridSpan w:val="6"/>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rPr>
              <w:t>法人</w:t>
            </w:r>
          </w:p>
        </w:tc>
        <w:tc>
          <w:tcPr>
            <w:tcW w:w="3253" w:type="dxa"/>
            <w:gridSpan w:val="2"/>
            <w:vAlign w:val="center"/>
          </w:tcPr>
          <w:p>
            <w:pPr>
              <w:adjustRightInd w:val="0"/>
              <w:snapToGrid w:val="0"/>
              <w:jc w:val="center"/>
              <w:rPr>
                <w:color w:val="auto"/>
                <w:sz w:val="21"/>
                <w:szCs w:val="21"/>
                <w:highlight w:val="none"/>
              </w:rPr>
            </w:pPr>
          </w:p>
        </w:tc>
        <w:tc>
          <w:tcPr>
            <w:tcW w:w="1890" w:type="dxa"/>
            <w:gridSpan w:val="2"/>
            <w:vAlign w:val="center"/>
          </w:tcPr>
          <w:p>
            <w:pPr>
              <w:adjustRightInd w:val="0"/>
              <w:snapToGrid w:val="0"/>
              <w:jc w:val="center"/>
              <w:rPr>
                <w:color w:val="auto"/>
                <w:sz w:val="21"/>
                <w:szCs w:val="21"/>
                <w:highlight w:val="none"/>
              </w:rPr>
            </w:pPr>
            <w:r>
              <w:rPr>
                <w:color w:val="auto"/>
                <w:sz w:val="21"/>
                <w:szCs w:val="21"/>
                <w:highlight w:val="none"/>
              </w:rPr>
              <w:t>联系电话</w:t>
            </w:r>
          </w:p>
        </w:tc>
        <w:tc>
          <w:tcPr>
            <w:tcW w:w="2753" w:type="dxa"/>
            <w:gridSpan w:val="2"/>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rPr>
              <w:t>报告人</w:t>
            </w:r>
          </w:p>
        </w:tc>
        <w:tc>
          <w:tcPr>
            <w:tcW w:w="3253" w:type="dxa"/>
            <w:gridSpan w:val="2"/>
            <w:vAlign w:val="center"/>
          </w:tcPr>
          <w:p>
            <w:pPr>
              <w:adjustRightInd w:val="0"/>
              <w:snapToGrid w:val="0"/>
              <w:jc w:val="center"/>
              <w:rPr>
                <w:color w:val="auto"/>
                <w:sz w:val="21"/>
                <w:szCs w:val="21"/>
                <w:highlight w:val="none"/>
              </w:rPr>
            </w:pPr>
          </w:p>
        </w:tc>
        <w:tc>
          <w:tcPr>
            <w:tcW w:w="1890" w:type="dxa"/>
            <w:gridSpan w:val="2"/>
            <w:vAlign w:val="center"/>
          </w:tcPr>
          <w:p>
            <w:pPr>
              <w:adjustRightInd w:val="0"/>
              <w:snapToGrid w:val="0"/>
              <w:jc w:val="center"/>
              <w:rPr>
                <w:color w:val="auto"/>
                <w:sz w:val="21"/>
                <w:szCs w:val="21"/>
                <w:highlight w:val="none"/>
              </w:rPr>
            </w:pPr>
            <w:r>
              <w:rPr>
                <w:color w:val="auto"/>
                <w:sz w:val="21"/>
                <w:szCs w:val="21"/>
                <w:highlight w:val="none"/>
              </w:rPr>
              <w:t>联系电话</w:t>
            </w:r>
          </w:p>
        </w:tc>
        <w:tc>
          <w:tcPr>
            <w:tcW w:w="2753" w:type="dxa"/>
            <w:gridSpan w:val="2"/>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rPr>
              <w:t>传真</w:t>
            </w:r>
          </w:p>
        </w:tc>
        <w:tc>
          <w:tcPr>
            <w:tcW w:w="3253" w:type="dxa"/>
            <w:gridSpan w:val="2"/>
            <w:vAlign w:val="center"/>
          </w:tcPr>
          <w:p>
            <w:pPr>
              <w:adjustRightInd w:val="0"/>
              <w:snapToGrid w:val="0"/>
              <w:jc w:val="center"/>
              <w:rPr>
                <w:color w:val="auto"/>
                <w:sz w:val="21"/>
                <w:szCs w:val="21"/>
                <w:highlight w:val="none"/>
              </w:rPr>
            </w:pPr>
          </w:p>
        </w:tc>
        <w:tc>
          <w:tcPr>
            <w:tcW w:w="1890" w:type="dxa"/>
            <w:gridSpan w:val="2"/>
            <w:vAlign w:val="center"/>
          </w:tcPr>
          <w:p>
            <w:pPr>
              <w:adjustRightInd w:val="0"/>
              <w:snapToGrid w:val="0"/>
              <w:jc w:val="center"/>
              <w:rPr>
                <w:color w:val="auto"/>
                <w:sz w:val="21"/>
                <w:szCs w:val="21"/>
                <w:highlight w:val="none"/>
              </w:rPr>
            </w:pPr>
            <w:r>
              <w:rPr>
                <w:color w:val="auto"/>
                <w:sz w:val="21"/>
                <w:szCs w:val="21"/>
                <w:highlight w:val="none"/>
              </w:rPr>
              <w:t>电子邮箱</w:t>
            </w:r>
          </w:p>
        </w:tc>
        <w:tc>
          <w:tcPr>
            <w:tcW w:w="2753" w:type="dxa"/>
            <w:gridSpan w:val="2"/>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rPr>
              <w:t>报告时间</w:t>
            </w:r>
          </w:p>
        </w:tc>
        <w:tc>
          <w:tcPr>
            <w:tcW w:w="7896" w:type="dxa"/>
            <w:gridSpan w:val="6"/>
            <w:vAlign w:val="center"/>
          </w:tcPr>
          <w:p>
            <w:pPr>
              <w:adjustRightInd w:val="0"/>
              <w:snapToGrid w:val="0"/>
              <w:jc w:val="center"/>
              <w:rPr>
                <w:color w:val="auto"/>
                <w:sz w:val="21"/>
                <w:szCs w:val="21"/>
                <w:highlight w:val="none"/>
              </w:rPr>
            </w:pPr>
            <w:r>
              <w:rPr>
                <w:color w:val="auto"/>
                <w:sz w:val="21"/>
                <w:szCs w:val="21"/>
                <w:highlight w:val="none"/>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发生时间</w:t>
            </w:r>
          </w:p>
        </w:tc>
        <w:tc>
          <w:tcPr>
            <w:tcW w:w="3253" w:type="dxa"/>
            <w:gridSpan w:val="2"/>
            <w:vAlign w:val="center"/>
          </w:tcPr>
          <w:p>
            <w:pPr>
              <w:adjustRightInd w:val="0"/>
              <w:snapToGrid w:val="0"/>
              <w:jc w:val="center"/>
              <w:rPr>
                <w:color w:val="auto"/>
                <w:sz w:val="21"/>
                <w:szCs w:val="21"/>
                <w:highlight w:val="none"/>
              </w:rPr>
            </w:pPr>
          </w:p>
        </w:tc>
        <w:tc>
          <w:tcPr>
            <w:tcW w:w="1890" w:type="dxa"/>
            <w:gridSpan w:val="2"/>
            <w:vAlign w:val="center"/>
          </w:tcPr>
          <w:p>
            <w:pPr>
              <w:adjustRightInd w:val="0"/>
              <w:snapToGrid w:val="0"/>
              <w:jc w:val="center"/>
              <w:rPr>
                <w:color w:val="auto"/>
                <w:sz w:val="21"/>
                <w:szCs w:val="21"/>
                <w:highlight w:val="none"/>
              </w:rPr>
            </w:pPr>
            <w:r>
              <w:rPr>
                <w:color w:val="auto"/>
                <w:sz w:val="21"/>
                <w:szCs w:val="21"/>
                <w:highlight w:val="none"/>
                <w:shd w:val="clear" w:color="auto" w:fill="FFFFFF"/>
              </w:rPr>
              <w:t>事件地点</w:t>
            </w:r>
          </w:p>
        </w:tc>
        <w:tc>
          <w:tcPr>
            <w:tcW w:w="2753" w:type="dxa"/>
            <w:gridSpan w:val="2"/>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事件起因和性质</w:t>
            </w:r>
          </w:p>
        </w:tc>
        <w:tc>
          <w:tcPr>
            <w:tcW w:w="7896" w:type="dxa"/>
            <w:gridSpan w:val="6"/>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基本过程</w:t>
            </w:r>
          </w:p>
        </w:tc>
        <w:tc>
          <w:tcPr>
            <w:tcW w:w="7896" w:type="dxa"/>
            <w:gridSpan w:val="6"/>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主要污染物和数量</w:t>
            </w:r>
          </w:p>
        </w:tc>
        <w:tc>
          <w:tcPr>
            <w:tcW w:w="7896" w:type="dxa"/>
            <w:gridSpan w:val="6"/>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人员受害情况</w:t>
            </w:r>
          </w:p>
        </w:tc>
        <w:tc>
          <w:tcPr>
            <w:tcW w:w="7896" w:type="dxa"/>
            <w:gridSpan w:val="6"/>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环境敏感点受影响情况</w:t>
            </w:r>
          </w:p>
        </w:tc>
        <w:tc>
          <w:tcPr>
            <w:tcW w:w="7896" w:type="dxa"/>
            <w:gridSpan w:val="6"/>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rPr>
              <w:t>已采取的应急措施</w:t>
            </w:r>
          </w:p>
        </w:tc>
        <w:tc>
          <w:tcPr>
            <w:tcW w:w="7896" w:type="dxa"/>
            <w:gridSpan w:val="6"/>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事件发展趋势</w:t>
            </w:r>
          </w:p>
        </w:tc>
        <w:tc>
          <w:tcPr>
            <w:tcW w:w="7896" w:type="dxa"/>
            <w:gridSpan w:val="6"/>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91" w:type="dxa"/>
            <w:vAlign w:val="center"/>
          </w:tcPr>
          <w:p>
            <w:pPr>
              <w:adjustRightInd w:val="0"/>
              <w:snapToGrid w:val="0"/>
              <w:jc w:val="center"/>
              <w:rPr>
                <w:color w:val="auto"/>
                <w:sz w:val="21"/>
                <w:szCs w:val="21"/>
                <w:highlight w:val="none"/>
                <w:shd w:val="clear" w:color="auto" w:fill="FFFFFF"/>
              </w:rPr>
            </w:pPr>
            <w:r>
              <w:rPr>
                <w:color w:val="auto"/>
                <w:sz w:val="21"/>
                <w:szCs w:val="21"/>
                <w:highlight w:val="none"/>
                <w:shd w:val="clear" w:color="auto" w:fill="FFFFFF"/>
              </w:rPr>
              <w:t>请求支援的内容</w:t>
            </w:r>
          </w:p>
        </w:tc>
        <w:tc>
          <w:tcPr>
            <w:tcW w:w="7896" w:type="dxa"/>
            <w:gridSpan w:val="6"/>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91" w:type="dxa"/>
            <w:vAlign w:val="center"/>
          </w:tcPr>
          <w:p>
            <w:pPr>
              <w:adjustRightInd w:val="0"/>
              <w:snapToGrid w:val="0"/>
              <w:jc w:val="center"/>
              <w:rPr>
                <w:color w:val="auto"/>
                <w:sz w:val="21"/>
                <w:szCs w:val="21"/>
                <w:highlight w:val="none"/>
              </w:rPr>
            </w:pPr>
            <w:r>
              <w:rPr>
                <w:color w:val="auto"/>
                <w:sz w:val="21"/>
                <w:szCs w:val="21"/>
                <w:highlight w:val="none"/>
              </w:rPr>
              <w:t>接受信息部门</w:t>
            </w:r>
          </w:p>
        </w:tc>
        <w:tc>
          <w:tcPr>
            <w:tcW w:w="1648" w:type="dxa"/>
            <w:vAlign w:val="center"/>
          </w:tcPr>
          <w:p>
            <w:pPr>
              <w:adjustRightInd w:val="0"/>
              <w:snapToGrid w:val="0"/>
              <w:jc w:val="center"/>
              <w:rPr>
                <w:color w:val="auto"/>
                <w:sz w:val="21"/>
                <w:szCs w:val="21"/>
                <w:highlight w:val="none"/>
              </w:rPr>
            </w:pPr>
          </w:p>
        </w:tc>
        <w:tc>
          <w:tcPr>
            <w:tcW w:w="1605" w:type="dxa"/>
            <w:vAlign w:val="center"/>
          </w:tcPr>
          <w:p>
            <w:pPr>
              <w:adjustRightInd w:val="0"/>
              <w:snapToGrid w:val="0"/>
              <w:jc w:val="center"/>
              <w:rPr>
                <w:color w:val="auto"/>
                <w:sz w:val="21"/>
                <w:szCs w:val="21"/>
                <w:highlight w:val="none"/>
              </w:rPr>
            </w:pPr>
            <w:r>
              <w:rPr>
                <w:color w:val="auto"/>
                <w:sz w:val="21"/>
                <w:szCs w:val="21"/>
                <w:highlight w:val="none"/>
              </w:rPr>
              <w:t>接收时间</w:t>
            </w:r>
          </w:p>
        </w:tc>
        <w:tc>
          <w:tcPr>
            <w:tcW w:w="1670" w:type="dxa"/>
            <w:vAlign w:val="center"/>
          </w:tcPr>
          <w:p>
            <w:pPr>
              <w:adjustRightInd w:val="0"/>
              <w:snapToGrid w:val="0"/>
              <w:jc w:val="center"/>
              <w:rPr>
                <w:color w:val="auto"/>
                <w:sz w:val="21"/>
                <w:szCs w:val="21"/>
                <w:highlight w:val="none"/>
              </w:rPr>
            </w:pPr>
          </w:p>
        </w:tc>
        <w:tc>
          <w:tcPr>
            <w:tcW w:w="1170" w:type="dxa"/>
            <w:gridSpan w:val="2"/>
            <w:vAlign w:val="center"/>
          </w:tcPr>
          <w:p>
            <w:pPr>
              <w:adjustRightInd w:val="0"/>
              <w:snapToGrid w:val="0"/>
              <w:jc w:val="center"/>
              <w:rPr>
                <w:color w:val="auto"/>
                <w:sz w:val="21"/>
                <w:szCs w:val="21"/>
                <w:highlight w:val="none"/>
              </w:rPr>
            </w:pPr>
            <w:r>
              <w:rPr>
                <w:color w:val="auto"/>
                <w:sz w:val="21"/>
                <w:szCs w:val="21"/>
                <w:highlight w:val="none"/>
              </w:rPr>
              <w:t>时限</w:t>
            </w:r>
          </w:p>
        </w:tc>
        <w:tc>
          <w:tcPr>
            <w:tcW w:w="1803" w:type="dxa"/>
            <w:vAlign w:val="center"/>
          </w:tcPr>
          <w:p>
            <w:pPr>
              <w:adjustRightInd w:val="0"/>
              <w:snapToGrid w:val="0"/>
              <w:jc w:val="center"/>
              <w:rPr>
                <w:color w:val="auto"/>
                <w:sz w:val="21"/>
                <w:szCs w:val="21"/>
                <w:highlight w:val="none"/>
              </w:rPr>
            </w:pPr>
          </w:p>
        </w:tc>
      </w:tr>
    </w:tbl>
    <w:p>
      <w:pPr>
        <w:adjustRightInd w:val="0"/>
        <w:snapToGrid w:val="0"/>
        <w:jc w:val="center"/>
        <w:rPr>
          <w:b/>
          <w:bCs/>
          <w:color w:val="auto"/>
          <w:highlight w:val="none"/>
        </w:rPr>
      </w:pPr>
    </w:p>
    <w:p>
      <w:pPr>
        <w:adjustRightInd w:val="0"/>
        <w:snapToGrid w:val="0"/>
        <w:jc w:val="center"/>
        <w:rPr>
          <w:b/>
          <w:bCs/>
          <w:color w:val="auto"/>
          <w:highlight w:val="none"/>
        </w:rPr>
      </w:pPr>
    </w:p>
    <w:p>
      <w:pPr>
        <w:adjustRightInd w:val="0"/>
        <w:snapToGrid w:val="0"/>
        <w:jc w:val="center"/>
        <w:rPr>
          <w:b/>
          <w:bCs/>
          <w:color w:val="auto"/>
          <w:highlight w:val="none"/>
        </w:rPr>
      </w:pPr>
    </w:p>
    <w:p>
      <w:pPr>
        <w:adjustRightInd w:val="0"/>
        <w:snapToGrid w:val="0"/>
        <w:jc w:val="center"/>
        <w:rPr>
          <w:b/>
          <w:bCs/>
          <w:color w:val="auto"/>
          <w:highlight w:val="none"/>
        </w:rPr>
      </w:pPr>
      <w:r>
        <w:rPr>
          <w:b/>
          <w:bCs/>
          <w:color w:val="auto"/>
          <w:highlight w:val="none"/>
        </w:rPr>
        <w:t>表4.</w:t>
      </w:r>
      <w:r>
        <w:rPr>
          <w:rFonts w:hint="eastAsia"/>
          <w:b/>
          <w:bCs/>
          <w:color w:val="auto"/>
          <w:highlight w:val="none"/>
        </w:rPr>
        <w:t>2</w:t>
      </w:r>
      <w:r>
        <w:rPr>
          <w:b/>
          <w:bCs/>
          <w:color w:val="auto"/>
          <w:highlight w:val="none"/>
        </w:rPr>
        <w:t>-</w:t>
      </w:r>
      <w:r>
        <w:rPr>
          <w:rFonts w:hint="eastAsia"/>
          <w:b/>
          <w:bCs/>
          <w:color w:val="auto"/>
          <w:highlight w:val="none"/>
        </w:rPr>
        <w:t xml:space="preserve">5 </w:t>
      </w:r>
      <w:r>
        <w:rPr>
          <w:b/>
          <w:bCs/>
          <w:color w:val="auto"/>
          <w:highlight w:val="none"/>
        </w:rPr>
        <w:t xml:space="preserve"> 企业突发环境事件报告表（续报）</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698"/>
        <w:gridCol w:w="1538"/>
        <w:gridCol w:w="457"/>
        <w:gridCol w:w="1470"/>
        <w:gridCol w:w="76"/>
        <w:gridCol w:w="1124"/>
        <w:gridCol w:w="1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1"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rPr>
              <w:t>报告单位</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rPr>
              <w:t>单位地址</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rPr>
              <w:t>法人</w:t>
            </w:r>
          </w:p>
        </w:tc>
        <w:tc>
          <w:tcPr>
            <w:tcW w:w="3236" w:type="dxa"/>
            <w:gridSpan w:val="2"/>
            <w:vAlign w:val="center"/>
          </w:tcPr>
          <w:p>
            <w:pPr>
              <w:adjustRightInd w:val="0"/>
              <w:snapToGrid w:val="0"/>
              <w:jc w:val="center"/>
              <w:rPr>
                <w:color w:val="auto"/>
                <w:sz w:val="21"/>
                <w:szCs w:val="21"/>
                <w:highlight w:val="none"/>
              </w:rPr>
            </w:pPr>
          </w:p>
        </w:tc>
        <w:tc>
          <w:tcPr>
            <w:tcW w:w="2003" w:type="dxa"/>
            <w:gridSpan w:val="3"/>
            <w:vAlign w:val="center"/>
          </w:tcPr>
          <w:p>
            <w:pPr>
              <w:adjustRightInd w:val="0"/>
              <w:snapToGrid w:val="0"/>
              <w:jc w:val="center"/>
              <w:rPr>
                <w:color w:val="auto"/>
                <w:sz w:val="21"/>
                <w:szCs w:val="21"/>
                <w:highlight w:val="none"/>
              </w:rPr>
            </w:pPr>
            <w:r>
              <w:rPr>
                <w:color w:val="auto"/>
                <w:sz w:val="21"/>
                <w:szCs w:val="21"/>
                <w:highlight w:val="none"/>
              </w:rPr>
              <w:t>联系电话</w:t>
            </w:r>
          </w:p>
        </w:tc>
        <w:tc>
          <w:tcPr>
            <w:tcW w:w="2618" w:type="dxa"/>
            <w:gridSpan w:val="2"/>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rPr>
              <w:t>报告人</w:t>
            </w:r>
          </w:p>
        </w:tc>
        <w:tc>
          <w:tcPr>
            <w:tcW w:w="3236" w:type="dxa"/>
            <w:gridSpan w:val="2"/>
            <w:vAlign w:val="center"/>
          </w:tcPr>
          <w:p>
            <w:pPr>
              <w:adjustRightInd w:val="0"/>
              <w:snapToGrid w:val="0"/>
              <w:jc w:val="center"/>
              <w:rPr>
                <w:color w:val="auto"/>
                <w:sz w:val="21"/>
                <w:szCs w:val="21"/>
                <w:highlight w:val="none"/>
              </w:rPr>
            </w:pPr>
          </w:p>
        </w:tc>
        <w:tc>
          <w:tcPr>
            <w:tcW w:w="2003" w:type="dxa"/>
            <w:gridSpan w:val="3"/>
            <w:vAlign w:val="center"/>
          </w:tcPr>
          <w:p>
            <w:pPr>
              <w:adjustRightInd w:val="0"/>
              <w:snapToGrid w:val="0"/>
              <w:jc w:val="center"/>
              <w:rPr>
                <w:color w:val="auto"/>
                <w:sz w:val="21"/>
                <w:szCs w:val="21"/>
                <w:highlight w:val="none"/>
              </w:rPr>
            </w:pPr>
            <w:r>
              <w:rPr>
                <w:color w:val="auto"/>
                <w:sz w:val="21"/>
                <w:szCs w:val="21"/>
                <w:highlight w:val="none"/>
              </w:rPr>
              <w:t>联系电话</w:t>
            </w:r>
          </w:p>
        </w:tc>
        <w:tc>
          <w:tcPr>
            <w:tcW w:w="2618" w:type="dxa"/>
            <w:gridSpan w:val="2"/>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rPr>
              <w:t>传真</w:t>
            </w:r>
          </w:p>
        </w:tc>
        <w:tc>
          <w:tcPr>
            <w:tcW w:w="3236" w:type="dxa"/>
            <w:gridSpan w:val="2"/>
            <w:vAlign w:val="center"/>
          </w:tcPr>
          <w:p>
            <w:pPr>
              <w:adjustRightInd w:val="0"/>
              <w:snapToGrid w:val="0"/>
              <w:jc w:val="center"/>
              <w:rPr>
                <w:color w:val="auto"/>
                <w:sz w:val="21"/>
                <w:szCs w:val="21"/>
                <w:highlight w:val="none"/>
              </w:rPr>
            </w:pPr>
          </w:p>
        </w:tc>
        <w:tc>
          <w:tcPr>
            <w:tcW w:w="2003" w:type="dxa"/>
            <w:gridSpan w:val="3"/>
            <w:vAlign w:val="center"/>
          </w:tcPr>
          <w:p>
            <w:pPr>
              <w:adjustRightInd w:val="0"/>
              <w:snapToGrid w:val="0"/>
              <w:jc w:val="center"/>
              <w:rPr>
                <w:color w:val="auto"/>
                <w:sz w:val="21"/>
                <w:szCs w:val="21"/>
                <w:highlight w:val="none"/>
              </w:rPr>
            </w:pPr>
            <w:r>
              <w:rPr>
                <w:color w:val="auto"/>
                <w:sz w:val="21"/>
                <w:szCs w:val="21"/>
                <w:highlight w:val="none"/>
              </w:rPr>
              <w:t>电子邮箱</w:t>
            </w:r>
          </w:p>
        </w:tc>
        <w:tc>
          <w:tcPr>
            <w:tcW w:w="2618" w:type="dxa"/>
            <w:gridSpan w:val="2"/>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rPr>
              <w:t>报告时间</w:t>
            </w:r>
          </w:p>
        </w:tc>
        <w:tc>
          <w:tcPr>
            <w:tcW w:w="7857" w:type="dxa"/>
            <w:gridSpan w:val="7"/>
            <w:vAlign w:val="center"/>
          </w:tcPr>
          <w:p>
            <w:pPr>
              <w:adjustRightInd w:val="0"/>
              <w:snapToGrid w:val="0"/>
              <w:jc w:val="center"/>
              <w:rPr>
                <w:color w:val="auto"/>
                <w:sz w:val="21"/>
                <w:szCs w:val="21"/>
                <w:highlight w:val="none"/>
              </w:rPr>
            </w:pPr>
            <w:r>
              <w:rPr>
                <w:color w:val="auto"/>
                <w:sz w:val="21"/>
                <w:szCs w:val="21"/>
                <w:highlight w:val="none"/>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发生时间</w:t>
            </w:r>
          </w:p>
        </w:tc>
        <w:tc>
          <w:tcPr>
            <w:tcW w:w="3236" w:type="dxa"/>
            <w:gridSpan w:val="2"/>
            <w:vAlign w:val="center"/>
          </w:tcPr>
          <w:p>
            <w:pPr>
              <w:adjustRightInd w:val="0"/>
              <w:snapToGrid w:val="0"/>
              <w:jc w:val="center"/>
              <w:rPr>
                <w:color w:val="auto"/>
                <w:sz w:val="21"/>
                <w:szCs w:val="21"/>
                <w:highlight w:val="none"/>
              </w:rPr>
            </w:pPr>
          </w:p>
        </w:tc>
        <w:tc>
          <w:tcPr>
            <w:tcW w:w="2003" w:type="dxa"/>
            <w:gridSpan w:val="3"/>
            <w:vAlign w:val="center"/>
          </w:tcPr>
          <w:p>
            <w:pPr>
              <w:adjustRightInd w:val="0"/>
              <w:snapToGrid w:val="0"/>
              <w:jc w:val="center"/>
              <w:rPr>
                <w:color w:val="auto"/>
                <w:sz w:val="21"/>
                <w:szCs w:val="21"/>
                <w:highlight w:val="none"/>
              </w:rPr>
            </w:pPr>
            <w:r>
              <w:rPr>
                <w:color w:val="auto"/>
                <w:sz w:val="21"/>
                <w:szCs w:val="21"/>
                <w:highlight w:val="none"/>
                <w:shd w:val="clear" w:color="auto" w:fill="FFFFFF"/>
              </w:rPr>
              <w:t>事件地点</w:t>
            </w:r>
          </w:p>
        </w:tc>
        <w:tc>
          <w:tcPr>
            <w:tcW w:w="2618" w:type="dxa"/>
            <w:gridSpan w:val="2"/>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事件起因和性质</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基本过程</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主要污染物和数量</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人员受害情况</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环境敏感点受影响情况</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监测数据</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rPr>
              <w:t>已采取的应急措施</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事件进展情况</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0" w:hRule="atLeast"/>
        </w:trPr>
        <w:tc>
          <w:tcPr>
            <w:tcW w:w="1386" w:type="dxa"/>
            <w:vAlign w:val="center"/>
          </w:tcPr>
          <w:p>
            <w:pPr>
              <w:adjustRightInd w:val="0"/>
              <w:snapToGrid w:val="0"/>
              <w:jc w:val="center"/>
              <w:rPr>
                <w:color w:val="auto"/>
                <w:sz w:val="21"/>
                <w:szCs w:val="21"/>
                <w:highlight w:val="none"/>
                <w:shd w:val="clear" w:color="auto" w:fill="FFFFFF"/>
              </w:rPr>
            </w:pPr>
            <w:r>
              <w:rPr>
                <w:color w:val="auto"/>
                <w:sz w:val="21"/>
                <w:szCs w:val="21"/>
                <w:highlight w:val="none"/>
                <w:shd w:val="clear" w:color="auto" w:fill="FFFFFF"/>
              </w:rPr>
              <w:t>请求支援的内容</w:t>
            </w:r>
          </w:p>
        </w:tc>
        <w:tc>
          <w:tcPr>
            <w:tcW w:w="7857" w:type="dxa"/>
            <w:gridSpan w:val="7"/>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86" w:type="dxa"/>
            <w:vAlign w:val="center"/>
          </w:tcPr>
          <w:p>
            <w:pPr>
              <w:adjustRightInd w:val="0"/>
              <w:snapToGrid w:val="0"/>
              <w:jc w:val="center"/>
              <w:rPr>
                <w:color w:val="auto"/>
                <w:sz w:val="21"/>
                <w:szCs w:val="21"/>
                <w:highlight w:val="none"/>
              </w:rPr>
            </w:pPr>
            <w:r>
              <w:rPr>
                <w:color w:val="auto"/>
                <w:sz w:val="21"/>
                <w:szCs w:val="21"/>
                <w:highlight w:val="none"/>
              </w:rPr>
              <w:t>接受信息部门</w:t>
            </w:r>
          </w:p>
        </w:tc>
        <w:tc>
          <w:tcPr>
            <w:tcW w:w="1698" w:type="dxa"/>
            <w:vAlign w:val="center"/>
          </w:tcPr>
          <w:p>
            <w:pPr>
              <w:adjustRightInd w:val="0"/>
              <w:snapToGrid w:val="0"/>
              <w:jc w:val="center"/>
              <w:rPr>
                <w:color w:val="auto"/>
                <w:sz w:val="21"/>
                <w:szCs w:val="21"/>
                <w:highlight w:val="none"/>
              </w:rPr>
            </w:pPr>
          </w:p>
        </w:tc>
        <w:tc>
          <w:tcPr>
            <w:tcW w:w="1995" w:type="dxa"/>
            <w:gridSpan w:val="2"/>
            <w:vAlign w:val="center"/>
          </w:tcPr>
          <w:p>
            <w:pPr>
              <w:adjustRightInd w:val="0"/>
              <w:snapToGrid w:val="0"/>
              <w:jc w:val="center"/>
              <w:rPr>
                <w:color w:val="auto"/>
                <w:sz w:val="21"/>
                <w:szCs w:val="21"/>
                <w:highlight w:val="none"/>
              </w:rPr>
            </w:pPr>
            <w:r>
              <w:rPr>
                <w:color w:val="auto"/>
                <w:sz w:val="21"/>
                <w:szCs w:val="21"/>
                <w:highlight w:val="none"/>
              </w:rPr>
              <w:t>接收时间</w:t>
            </w:r>
          </w:p>
        </w:tc>
        <w:tc>
          <w:tcPr>
            <w:tcW w:w="1470" w:type="dxa"/>
            <w:vAlign w:val="center"/>
          </w:tcPr>
          <w:p>
            <w:pPr>
              <w:adjustRightInd w:val="0"/>
              <w:snapToGrid w:val="0"/>
              <w:jc w:val="center"/>
              <w:rPr>
                <w:color w:val="auto"/>
                <w:sz w:val="21"/>
                <w:szCs w:val="21"/>
                <w:highlight w:val="none"/>
              </w:rPr>
            </w:pPr>
          </w:p>
        </w:tc>
        <w:tc>
          <w:tcPr>
            <w:tcW w:w="1200" w:type="dxa"/>
            <w:gridSpan w:val="2"/>
            <w:vAlign w:val="center"/>
          </w:tcPr>
          <w:p>
            <w:pPr>
              <w:adjustRightInd w:val="0"/>
              <w:snapToGrid w:val="0"/>
              <w:jc w:val="center"/>
              <w:rPr>
                <w:color w:val="auto"/>
                <w:sz w:val="21"/>
                <w:szCs w:val="21"/>
                <w:highlight w:val="none"/>
              </w:rPr>
            </w:pPr>
            <w:r>
              <w:rPr>
                <w:color w:val="auto"/>
                <w:sz w:val="21"/>
                <w:szCs w:val="21"/>
                <w:highlight w:val="none"/>
              </w:rPr>
              <w:t>时限</w:t>
            </w:r>
          </w:p>
        </w:tc>
        <w:tc>
          <w:tcPr>
            <w:tcW w:w="1494" w:type="dxa"/>
            <w:vAlign w:val="center"/>
          </w:tcPr>
          <w:p>
            <w:pPr>
              <w:adjustRightInd w:val="0"/>
              <w:snapToGrid w:val="0"/>
              <w:jc w:val="center"/>
              <w:rPr>
                <w:color w:val="auto"/>
                <w:sz w:val="21"/>
                <w:szCs w:val="21"/>
                <w:highlight w:val="none"/>
              </w:rPr>
            </w:pPr>
          </w:p>
        </w:tc>
      </w:tr>
    </w:tbl>
    <w:p>
      <w:pPr>
        <w:adjustRightInd w:val="0"/>
        <w:snapToGrid w:val="0"/>
        <w:jc w:val="center"/>
        <w:rPr>
          <w:color w:val="auto"/>
          <w:sz w:val="21"/>
          <w:szCs w:val="21"/>
          <w:highlight w:val="none"/>
        </w:rPr>
      </w:pPr>
    </w:p>
    <w:p>
      <w:pPr>
        <w:adjustRightInd w:val="0"/>
        <w:snapToGrid w:val="0"/>
        <w:jc w:val="center"/>
        <w:rPr>
          <w:b/>
          <w:bCs/>
          <w:color w:val="auto"/>
          <w:highlight w:val="none"/>
        </w:rPr>
      </w:pPr>
      <w:r>
        <w:rPr>
          <w:b/>
          <w:bCs/>
          <w:color w:val="auto"/>
          <w:highlight w:val="none"/>
        </w:rPr>
        <w:t>表4.</w:t>
      </w:r>
      <w:r>
        <w:rPr>
          <w:rFonts w:hint="eastAsia"/>
          <w:b/>
          <w:bCs/>
          <w:color w:val="auto"/>
          <w:highlight w:val="none"/>
        </w:rPr>
        <w:t>2</w:t>
      </w:r>
      <w:r>
        <w:rPr>
          <w:b/>
          <w:bCs/>
          <w:color w:val="auto"/>
          <w:highlight w:val="none"/>
        </w:rPr>
        <w:t>-</w:t>
      </w:r>
      <w:r>
        <w:rPr>
          <w:rFonts w:hint="eastAsia"/>
          <w:b/>
          <w:bCs/>
          <w:color w:val="auto"/>
          <w:highlight w:val="none"/>
        </w:rPr>
        <w:t>6</w:t>
      </w:r>
      <w:r>
        <w:rPr>
          <w:b/>
          <w:bCs/>
          <w:color w:val="auto"/>
          <w:highlight w:val="none"/>
        </w:rPr>
        <w:t xml:space="preserve"> </w:t>
      </w:r>
      <w:r>
        <w:rPr>
          <w:rFonts w:hint="eastAsia"/>
          <w:b/>
          <w:bCs/>
          <w:color w:val="auto"/>
          <w:highlight w:val="none"/>
        </w:rPr>
        <w:t xml:space="preserve"> </w:t>
      </w:r>
      <w:r>
        <w:rPr>
          <w:b/>
          <w:bCs/>
          <w:color w:val="auto"/>
          <w:highlight w:val="none"/>
        </w:rPr>
        <w:t>企业突发环境事件报告表（处理结果报告）</w:t>
      </w:r>
    </w:p>
    <w:tbl>
      <w:tblPr>
        <w:tblStyle w:val="20"/>
        <w:tblW w:w="50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2553"/>
        <w:gridCol w:w="707"/>
        <w:gridCol w:w="2018"/>
        <w:gridCol w:w="2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02" w:type="dxa"/>
            <w:vAlign w:val="center"/>
          </w:tcPr>
          <w:p>
            <w:pPr>
              <w:adjustRightInd w:val="0"/>
              <w:snapToGrid w:val="0"/>
              <w:jc w:val="center"/>
              <w:rPr>
                <w:color w:val="auto"/>
                <w:sz w:val="21"/>
                <w:szCs w:val="21"/>
                <w:highlight w:val="none"/>
              </w:rPr>
            </w:pPr>
            <w:r>
              <w:rPr>
                <w:color w:val="auto"/>
                <w:sz w:val="21"/>
                <w:szCs w:val="21"/>
                <w:highlight w:val="none"/>
              </w:rPr>
              <w:t>报告单位</w:t>
            </w:r>
          </w:p>
        </w:tc>
        <w:tc>
          <w:tcPr>
            <w:tcW w:w="7954" w:type="dxa"/>
            <w:gridSpan w:val="4"/>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02" w:type="dxa"/>
            <w:vAlign w:val="center"/>
          </w:tcPr>
          <w:p>
            <w:pPr>
              <w:adjustRightInd w:val="0"/>
              <w:snapToGrid w:val="0"/>
              <w:jc w:val="center"/>
              <w:rPr>
                <w:color w:val="auto"/>
                <w:sz w:val="21"/>
                <w:szCs w:val="21"/>
                <w:highlight w:val="none"/>
              </w:rPr>
            </w:pPr>
            <w:r>
              <w:rPr>
                <w:color w:val="auto"/>
                <w:sz w:val="21"/>
                <w:szCs w:val="21"/>
                <w:highlight w:val="none"/>
              </w:rPr>
              <w:t>单位地址</w:t>
            </w:r>
          </w:p>
        </w:tc>
        <w:tc>
          <w:tcPr>
            <w:tcW w:w="7954" w:type="dxa"/>
            <w:gridSpan w:val="4"/>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 w:hRule="atLeast"/>
        </w:trPr>
        <w:tc>
          <w:tcPr>
            <w:tcW w:w="1402" w:type="dxa"/>
            <w:vAlign w:val="center"/>
          </w:tcPr>
          <w:p>
            <w:pPr>
              <w:adjustRightInd w:val="0"/>
              <w:snapToGrid w:val="0"/>
              <w:jc w:val="center"/>
              <w:rPr>
                <w:color w:val="auto"/>
                <w:sz w:val="21"/>
                <w:szCs w:val="21"/>
                <w:highlight w:val="none"/>
              </w:rPr>
            </w:pPr>
            <w:r>
              <w:rPr>
                <w:color w:val="auto"/>
                <w:sz w:val="21"/>
                <w:szCs w:val="21"/>
                <w:highlight w:val="none"/>
              </w:rPr>
              <w:t>法人</w:t>
            </w:r>
          </w:p>
        </w:tc>
        <w:tc>
          <w:tcPr>
            <w:tcW w:w="3277" w:type="dxa"/>
            <w:gridSpan w:val="2"/>
            <w:vAlign w:val="center"/>
          </w:tcPr>
          <w:p>
            <w:pPr>
              <w:adjustRightInd w:val="0"/>
              <w:snapToGrid w:val="0"/>
              <w:jc w:val="center"/>
              <w:rPr>
                <w:color w:val="auto"/>
                <w:sz w:val="21"/>
                <w:szCs w:val="21"/>
                <w:highlight w:val="none"/>
              </w:rPr>
            </w:pPr>
          </w:p>
        </w:tc>
        <w:tc>
          <w:tcPr>
            <w:tcW w:w="2027" w:type="dxa"/>
            <w:vAlign w:val="center"/>
          </w:tcPr>
          <w:p>
            <w:pPr>
              <w:adjustRightInd w:val="0"/>
              <w:snapToGrid w:val="0"/>
              <w:jc w:val="center"/>
              <w:rPr>
                <w:color w:val="auto"/>
                <w:sz w:val="21"/>
                <w:szCs w:val="21"/>
                <w:highlight w:val="none"/>
              </w:rPr>
            </w:pPr>
            <w:r>
              <w:rPr>
                <w:color w:val="auto"/>
                <w:sz w:val="21"/>
                <w:szCs w:val="21"/>
                <w:highlight w:val="none"/>
              </w:rPr>
              <w:t>联系电话</w:t>
            </w:r>
          </w:p>
        </w:tc>
        <w:tc>
          <w:tcPr>
            <w:tcW w:w="2650"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02" w:type="dxa"/>
            <w:vAlign w:val="center"/>
          </w:tcPr>
          <w:p>
            <w:pPr>
              <w:adjustRightInd w:val="0"/>
              <w:snapToGrid w:val="0"/>
              <w:jc w:val="center"/>
              <w:rPr>
                <w:color w:val="auto"/>
                <w:sz w:val="21"/>
                <w:szCs w:val="21"/>
                <w:highlight w:val="none"/>
              </w:rPr>
            </w:pPr>
            <w:r>
              <w:rPr>
                <w:color w:val="auto"/>
                <w:sz w:val="21"/>
                <w:szCs w:val="21"/>
                <w:highlight w:val="none"/>
              </w:rPr>
              <w:t>报告人</w:t>
            </w:r>
          </w:p>
        </w:tc>
        <w:tc>
          <w:tcPr>
            <w:tcW w:w="3277" w:type="dxa"/>
            <w:gridSpan w:val="2"/>
            <w:vAlign w:val="center"/>
          </w:tcPr>
          <w:p>
            <w:pPr>
              <w:adjustRightInd w:val="0"/>
              <w:snapToGrid w:val="0"/>
              <w:jc w:val="center"/>
              <w:rPr>
                <w:color w:val="auto"/>
                <w:sz w:val="21"/>
                <w:szCs w:val="21"/>
                <w:highlight w:val="none"/>
              </w:rPr>
            </w:pPr>
          </w:p>
        </w:tc>
        <w:tc>
          <w:tcPr>
            <w:tcW w:w="2027" w:type="dxa"/>
            <w:vAlign w:val="center"/>
          </w:tcPr>
          <w:p>
            <w:pPr>
              <w:adjustRightInd w:val="0"/>
              <w:snapToGrid w:val="0"/>
              <w:jc w:val="center"/>
              <w:rPr>
                <w:color w:val="auto"/>
                <w:sz w:val="21"/>
                <w:szCs w:val="21"/>
                <w:highlight w:val="none"/>
              </w:rPr>
            </w:pPr>
            <w:r>
              <w:rPr>
                <w:color w:val="auto"/>
                <w:sz w:val="21"/>
                <w:szCs w:val="21"/>
                <w:highlight w:val="none"/>
              </w:rPr>
              <w:t>联系电话</w:t>
            </w:r>
          </w:p>
        </w:tc>
        <w:tc>
          <w:tcPr>
            <w:tcW w:w="2650"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02" w:type="dxa"/>
            <w:vAlign w:val="center"/>
          </w:tcPr>
          <w:p>
            <w:pPr>
              <w:adjustRightInd w:val="0"/>
              <w:snapToGrid w:val="0"/>
              <w:jc w:val="center"/>
              <w:rPr>
                <w:color w:val="auto"/>
                <w:sz w:val="21"/>
                <w:szCs w:val="21"/>
                <w:highlight w:val="none"/>
              </w:rPr>
            </w:pPr>
            <w:r>
              <w:rPr>
                <w:color w:val="auto"/>
                <w:sz w:val="21"/>
                <w:szCs w:val="21"/>
                <w:highlight w:val="none"/>
              </w:rPr>
              <w:t>传真</w:t>
            </w:r>
          </w:p>
        </w:tc>
        <w:tc>
          <w:tcPr>
            <w:tcW w:w="3277" w:type="dxa"/>
            <w:gridSpan w:val="2"/>
            <w:vAlign w:val="center"/>
          </w:tcPr>
          <w:p>
            <w:pPr>
              <w:adjustRightInd w:val="0"/>
              <w:snapToGrid w:val="0"/>
              <w:jc w:val="center"/>
              <w:rPr>
                <w:color w:val="auto"/>
                <w:sz w:val="21"/>
                <w:szCs w:val="21"/>
                <w:highlight w:val="none"/>
              </w:rPr>
            </w:pPr>
          </w:p>
        </w:tc>
        <w:tc>
          <w:tcPr>
            <w:tcW w:w="2027" w:type="dxa"/>
            <w:vAlign w:val="center"/>
          </w:tcPr>
          <w:p>
            <w:pPr>
              <w:adjustRightInd w:val="0"/>
              <w:snapToGrid w:val="0"/>
              <w:jc w:val="center"/>
              <w:rPr>
                <w:color w:val="auto"/>
                <w:sz w:val="21"/>
                <w:szCs w:val="21"/>
                <w:highlight w:val="none"/>
              </w:rPr>
            </w:pPr>
            <w:r>
              <w:rPr>
                <w:color w:val="auto"/>
                <w:sz w:val="21"/>
                <w:szCs w:val="21"/>
                <w:highlight w:val="none"/>
              </w:rPr>
              <w:t>电子邮箱</w:t>
            </w:r>
          </w:p>
        </w:tc>
        <w:tc>
          <w:tcPr>
            <w:tcW w:w="2650"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02" w:type="dxa"/>
            <w:vAlign w:val="center"/>
          </w:tcPr>
          <w:p>
            <w:pPr>
              <w:adjustRightInd w:val="0"/>
              <w:snapToGrid w:val="0"/>
              <w:jc w:val="center"/>
              <w:rPr>
                <w:color w:val="auto"/>
                <w:sz w:val="21"/>
                <w:szCs w:val="21"/>
                <w:highlight w:val="none"/>
              </w:rPr>
            </w:pPr>
            <w:r>
              <w:rPr>
                <w:color w:val="auto"/>
                <w:sz w:val="21"/>
                <w:szCs w:val="21"/>
                <w:highlight w:val="none"/>
              </w:rPr>
              <w:t>报告时间</w:t>
            </w:r>
          </w:p>
        </w:tc>
        <w:tc>
          <w:tcPr>
            <w:tcW w:w="7954" w:type="dxa"/>
            <w:gridSpan w:val="4"/>
            <w:vAlign w:val="center"/>
          </w:tcPr>
          <w:p>
            <w:pPr>
              <w:adjustRightInd w:val="0"/>
              <w:snapToGrid w:val="0"/>
              <w:jc w:val="center"/>
              <w:rPr>
                <w:color w:val="auto"/>
                <w:sz w:val="21"/>
                <w:szCs w:val="21"/>
                <w:highlight w:val="none"/>
              </w:rPr>
            </w:pPr>
            <w:r>
              <w:rPr>
                <w:color w:val="auto"/>
                <w:sz w:val="21"/>
                <w:szCs w:val="21"/>
                <w:highlight w:val="none"/>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402"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发生时间</w:t>
            </w:r>
          </w:p>
        </w:tc>
        <w:tc>
          <w:tcPr>
            <w:tcW w:w="3277" w:type="dxa"/>
            <w:gridSpan w:val="2"/>
            <w:vAlign w:val="center"/>
          </w:tcPr>
          <w:p>
            <w:pPr>
              <w:adjustRightInd w:val="0"/>
              <w:snapToGrid w:val="0"/>
              <w:jc w:val="center"/>
              <w:rPr>
                <w:color w:val="auto"/>
                <w:sz w:val="21"/>
                <w:szCs w:val="21"/>
                <w:highlight w:val="none"/>
              </w:rPr>
            </w:pPr>
          </w:p>
        </w:tc>
        <w:tc>
          <w:tcPr>
            <w:tcW w:w="2027"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事件地点</w:t>
            </w:r>
          </w:p>
        </w:tc>
        <w:tc>
          <w:tcPr>
            <w:tcW w:w="2650" w:type="dxa"/>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402"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事件起因和性质</w:t>
            </w:r>
          </w:p>
        </w:tc>
        <w:tc>
          <w:tcPr>
            <w:tcW w:w="7954" w:type="dxa"/>
            <w:gridSpan w:val="4"/>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1402" w:type="dxa"/>
            <w:vAlign w:val="center"/>
          </w:tcPr>
          <w:p>
            <w:pPr>
              <w:adjustRightInd w:val="0"/>
              <w:snapToGrid w:val="0"/>
              <w:jc w:val="center"/>
              <w:rPr>
                <w:color w:val="auto"/>
                <w:sz w:val="21"/>
                <w:szCs w:val="21"/>
                <w:highlight w:val="none"/>
              </w:rPr>
            </w:pPr>
            <w:r>
              <w:rPr>
                <w:color w:val="auto"/>
                <w:sz w:val="21"/>
                <w:szCs w:val="21"/>
                <w:highlight w:val="none"/>
                <w:shd w:val="clear" w:color="auto" w:fill="FFFFFF"/>
              </w:rPr>
              <w:t>主要污染物和数量</w:t>
            </w:r>
          </w:p>
        </w:tc>
        <w:tc>
          <w:tcPr>
            <w:tcW w:w="7954" w:type="dxa"/>
            <w:gridSpan w:val="4"/>
            <w:vAlign w:val="center"/>
          </w:tcPr>
          <w:p>
            <w:pPr>
              <w:adjustRightInd w:val="0"/>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2" w:hRule="atLeast"/>
        </w:trPr>
        <w:tc>
          <w:tcPr>
            <w:tcW w:w="9356" w:type="dxa"/>
            <w:gridSpan w:val="5"/>
            <w:vAlign w:val="center"/>
          </w:tcPr>
          <w:p>
            <w:pPr>
              <w:adjustRightInd w:val="0"/>
              <w:snapToGrid w:val="0"/>
              <w:jc w:val="center"/>
              <w:rPr>
                <w:color w:val="auto"/>
                <w:sz w:val="21"/>
                <w:szCs w:val="21"/>
                <w:highlight w:val="none"/>
                <w:shd w:val="clear" w:color="auto" w:fill="FFFFFF"/>
              </w:rPr>
            </w:pPr>
            <w:r>
              <w:rPr>
                <w:color w:val="auto"/>
                <w:sz w:val="21"/>
                <w:szCs w:val="21"/>
                <w:highlight w:val="none"/>
                <w:shd w:val="clear" w:color="auto" w:fill="FFFFFF"/>
              </w:rPr>
              <w:t>报告正文：</w:t>
            </w:r>
          </w:p>
          <w:p>
            <w:pPr>
              <w:adjustRightInd w:val="0"/>
              <w:snapToGrid w:val="0"/>
              <w:jc w:val="center"/>
              <w:rPr>
                <w:color w:val="auto"/>
                <w:sz w:val="21"/>
                <w:szCs w:val="21"/>
                <w:highlight w:val="none"/>
                <w:shd w:val="clear" w:color="auto" w:fill="FFFFFF"/>
              </w:rPr>
            </w:pPr>
            <w:r>
              <w:rPr>
                <w:color w:val="auto"/>
                <w:sz w:val="21"/>
                <w:szCs w:val="21"/>
                <w:highlight w:val="none"/>
                <w:shd w:val="clear" w:color="auto" w:fill="FFFFFF"/>
              </w:rPr>
              <w:t>突发环境事件的措施、过程和结果；</w:t>
            </w:r>
          </w:p>
          <w:p>
            <w:pPr>
              <w:adjustRightInd w:val="0"/>
              <w:snapToGrid w:val="0"/>
              <w:jc w:val="center"/>
              <w:rPr>
                <w:color w:val="auto"/>
                <w:sz w:val="21"/>
                <w:szCs w:val="21"/>
                <w:highlight w:val="none"/>
                <w:shd w:val="clear" w:color="auto" w:fill="FFFFFF"/>
              </w:rPr>
            </w:pPr>
            <w:r>
              <w:rPr>
                <w:color w:val="auto"/>
                <w:sz w:val="21"/>
                <w:szCs w:val="21"/>
                <w:highlight w:val="none"/>
                <w:shd w:val="clear" w:color="auto" w:fill="FFFFFF"/>
              </w:rPr>
              <w:t>突发环境事件潜在或者间接危害以及损失、社会影响</w:t>
            </w:r>
          </w:p>
          <w:p>
            <w:pPr>
              <w:adjustRightInd w:val="0"/>
              <w:snapToGrid w:val="0"/>
              <w:jc w:val="center"/>
              <w:rPr>
                <w:color w:val="auto"/>
                <w:sz w:val="21"/>
                <w:szCs w:val="21"/>
                <w:highlight w:val="none"/>
              </w:rPr>
            </w:pPr>
            <w:r>
              <w:rPr>
                <w:color w:val="auto"/>
                <w:sz w:val="21"/>
                <w:szCs w:val="21"/>
                <w:highlight w:val="none"/>
                <w:shd w:val="clear" w:color="auto" w:fill="FFFFFF"/>
              </w:rPr>
              <w:t>处理后的遗留问题、责任追究等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0" w:hRule="atLeast"/>
        </w:trPr>
        <w:tc>
          <w:tcPr>
            <w:tcW w:w="1402" w:type="dxa"/>
            <w:vAlign w:val="center"/>
          </w:tcPr>
          <w:p>
            <w:pPr>
              <w:adjustRightInd w:val="0"/>
              <w:snapToGrid w:val="0"/>
              <w:jc w:val="center"/>
              <w:rPr>
                <w:color w:val="auto"/>
                <w:sz w:val="21"/>
                <w:szCs w:val="21"/>
                <w:highlight w:val="none"/>
              </w:rPr>
            </w:pPr>
            <w:r>
              <w:rPr>
                <w:color w:val="auto"/>
                <w:sz w:val="21"/>
                <w:szCs w:val="21"/>
                <w:highlight w:val="none"/>
              </w:rPr>
              <w:t>接受信息部门</w:t>
            </w:r>
          </w:p>
        </w:tc>
        <w:tc>
          <w:tcPr>
            <w:tcW w:w="2566" w:type="dxa"/>
            <w:vAlign w:val="center"/>
          </w:tcPr>
          <w:p>
            <w:pPr>
              <w:adjustRightInd w:val="0"/>
              <w:snapToGrid w:val="0"/>
              <w:jc w:val="center"/>
              <w:rPr>
                <w:color w:val="auto"/>
                <w:sz w:val="21"/>
                <w:szCs w:val="21"/>
                <w:highlight w:val="none"/>
              </w:rPr>
            </w:pPr>
          </w:p>
        </w:tc>
        <w:tc>
          <w:tcPr>
            <w:tcW w:w="2738" w:type="dxa"/>
            <w:gridSpan w:val="2"/>
            <w:vAlign w:val="center"/>
          </w:tcPr>
          <w:p>
            <w:pPr>
              <w:adjustRightInd w:val="0"/>
              <w:snapToGrid w:val="0"/>
              <w:jc w:val="center"/>
              <w:rPr>
                <w:color w:val="auto"/>
                <w:sz w:val="21"/>
                <w:szCs w:val="21"/>
                <w:highlight w:val="none"/>
              </w:rPr>
            </w:pPr>
            <w:r>
              <w:rPr>
                <w:color w:val="auto"/>
                <w:sz w:val="21"/>
                <w:szCs w:val="21"/>
                <w:highlight w:val="none"/>
              </w:rPr>
              <w:t>接收时间</w:t>
            </w:r>
          </w:p>
        </w:tc>
        <w:tc>
          <w:tcPr>
            <w:tcW w:w="2650" w:type="dxa"/>
            <w:vAlign w:val="center"/>
          </w:tcPr>
          <w:p>
            <w:pPr>
              <w:adjustRightInd w:val="0"/>
              <w:snapToGrid w:val="0"/>
              <w:jc w:val="center"/>
              <w:rPr>
                <w:color w:val="auto"/>
                <w:sz w:val="21"/>
                <w:szCs w:val="21"/>
                <w:highlight w:val="none"/>
              </w:rPr>
            </w:pPr>
          </w:p>
        </w:tc>
      </w:tr>
    </w:tbl>
    <w:p>
      <w:pPr>
        <w:pStyle w:val="2"/>
        <w:rPr>
          <w:color w:val="auto"/>
          <w:highlight w:val="none"/>
        </w:rPr>
        <w:sectPr>
          <w:pgSz w:w="11907" w:h="16840"/>
          <w:pgMar w:top="1402" w:right="1440" w:bottom="1402" w:left="1440" w:header="851" w:footer="992" w:gutter="0"/>
          <w:pgBorders>
            <w:top w:val="none" w:sz="0" w:space="0"/>
            <w:left w:val="none" w:sz="0" w:space="0"/>
            <w:bottom w:val="none" w:sz="0" w:space="0"/>
            <w:right w:val="none" w:sz="0" w:space="0"/>
          </w:pgBorders>
          <w:pgNumType w:fmt="decimal"/>
          <w:cols w:space="720" w:num="1"/>
        </w:sectPr>
      </w:pPr>
    </w:p>
    <w:p>
      <w:pPr>
        <w:pStyle w:val="4"/>
        <w:rPr>
          <w:color w:val="auto"/>
          <w:highlight w:val="none"/>
        </w:rPr>
      </w:pPr>
      <w:bookmarkStart w:id="115" w:name="_Toc273391341"/>
      <w:bookmarkStart w:id="116" w:name="_Toc28103281"/>
      <w:bookmarkStart w:id="117" w:name="_Toc273391665"/>
      <w:bookmarkStart w:id="118" w:name="_Toc7984"/>
      <w:bookmarkStart w:id="119" w:name="_Toc273391336"/>
      <w:bookmarkStart w:id="120" w:name="_Toc28103268"/>
      <w:bookmarkStart w:id="121" w:name="_Toc273391660"/>
      <w:r>
        <w:rPr>
          <w:color w:val="auto"/>
          <w:highlight w:val="none"/>
        </w:rPr>
        <w:t>5 环境应急监测</w:t>
      </w:r>
      <w:bookmarkEnd w:id="115"/>
      <w:bookmarkEnd w:id="116"/>
      <w:bookmarkEnd w:id="117"/>
      <w:bookmarkEnd w:id="118"/>
    </w:p>
    <w:p>
      <w:pPr>
        <w:pStyle w:val="5"/>
        <w:outlineLvl w:val="1"/>
        <w:rPr>
          <w:rFonts w:hint="default" w:ascii="Times New Roman" w:hAnsi="Times New Roman" w:eastAsia="宋体" w:cs="Times New Roman"/>
          <w:color w:val="auto"/>
          <w:highlight w:val="none"/>
        </w:rPr>
      </w:pPr>
      <w:bookmarkStart w:id="122" w:name="_Toc18546"/>
      <w:r>
        <w:rPr>
          <w:rFonts w:hint="default" w:ascii="Times New Roman" w:hAnsi="Times New Roman" w:eastAsia="宋体" w:cs="Times New Roman"/>
          <w:color w:val="auto"/>
          <w:highlight w:val="none"/>
          <w:lang w:val="en-US" w:eastAsia="zh-CN"/>
        </w:rPr>
        <w:t>5.1</w:t>
      </w:r>
      <w:r>
        <w:rPr>
          <w:rFonts w:hint="default" w:ascii="Times New Roman" w:hAnsi="Times New Roman" w:eastAsia="宋体" w:cs="Times New Roman"/>
          <w:color w:val="auto"/>
          <w:highlight w:val="none"/>
        </w:rPr>
        <w:t xml:space="preserve"> 应急监测启动及工作原则</w:t>
      </w:r>
      <w:bookmarkEnd w:id="122"/>
      <w:r>
        <w:rPr>
          <w:rFonts w:hint="default" w:ascii="Times New Roman" w:hAnsi="Times New Roman" w:eastAsia="宋体" w:cs="Times New Roman"/>
          <w:color w:val="auto"/>
          <w:highlight w:val="none"/>
        </w:rPr>
        <w:t xml:space="preserve"> </w:t>
      </w:r>
    </w:p>
    <w:p>
      <w:pPr>
        <w:snapToGrid w:val="0"/>
        <w:spacing w:line="360" w:lineRule="auto"/>
        <w:ind w:firstLine="480" w:firstLineChars="200"/>
        <w:rPr>
          <w:rFonts w:hint="eastAsia" w:ascii="Times New Roman" w:hAnsi="Times New Roman" w:eastAsia="宋体" w:cs="Times New Roman"/>
          <w:color w:val="auto"/>
          <w:kern w:val="0"/>
          <w:sz w:val="24"/>
          <w:szCs w:val="24"/>
          <w:highlight w:val="none"/>
        </w:rPr>
      </w:pPr>
      <w:r>
        <w:rPr>
          <w:rFonts w:hint="eastAsia" w:cs="Times New Roman"/>
          <w:color w:val="auto"/>
          <w:kern w:val="0"/>
          <w:sz w:val="24"/>
          <w:szCs w:val="24"/>
          <w:highlight w:val="none"/>
          <w:lang w:eastAsia="zh-CN"/>
        </w:rPr>
        <w:t>（</w:t>
      </w:r>
      <w:r>
        <w:rPr>
          <w:rFonts w:hint="eastAsia" w:cs="Times New Roman"/>
          <w:color w:val="auto"/>
          <w:kern w:val="0"/>
          <w:sz w:val="24"/>
          <w:szCs w:val="24"/>
          <w:highlight w:val="none"/>
          <w:lang w:val="en-US" w:eastAsia="zh-CN"/>
        </w:rPr>
        <w:t>1</w:t>
      </w:r>
      <w:r>
        <w:rPr>
          <w:rFonts w:hint="eastAsia"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rPr>
        <w:t>及时性</w:t>
      </w:r>
    </w:p>
    <w:p>
      <w:pPr>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宋体" w:hAnsi="宋体" w:eastAsia="宋体"/>
          <w:color w:val="auto"/>
          <w:sz w:val="24"/>
          <w:szCs w:val="24"/>
          <w:highlight w:val="none"/>
        </w:rPr>
        <w:t>接到应急响应指令时，应做好相应记录并立即启动应急监测预案，开展应急监测工作。</w:t>
      </w:r>
    </w:p>
    <w:p>
      <w:pPr>
        <w:snapToGrid w:val="0"/>
        <w:spacing w:line="360" w:lineRule="auto"/>
        <w:ind w:firstLine="480" w:firstLineChars="200"/>
        <w:rPr>
          <w:rFonts w:hint="eastAsia" w:ascii="Times New Roman" w:hAnsi="Times New Roman" w:eastAsia="宋体" w:cs="Times New Roman"/>
          <w:color w:val="auto"/>
          <w:kern w:val="0"/>
          <w:sz w:val="24"/>
          <w:szCs w:val="24"/>
          <w:highlight w:val="none"/>
        </w:rPr>
      </w:pPr>
      <w:r>
        <w:rPr>
          <w:rFonts w:hint="eastAsia" w:cs="Times New Roman"/>
          <w:color w:val="auto"/>
          <w:kern w:val="0"/>
          <w:sz w:val="24"/>
          <w:szCs w:val="24"/>
          <w:highlight w:val="none"/>
          <w:lang w:eastAsia="zh-CN"/>
        </w:rPr>
        <w:t>（</w:t>
      </w:r>
      <w:r>
        <w:rPr>
          <w:rFonts w:hint="eastAsia" w:cs="Times New Roman"/>
          <w:color w:val="auto"/>
          <w:kern w:val="0"/>
          <w:sz w:val="24"/>
          <w:szCs w:val="24"/>
          <w:highlight w:val="none"/>
          <w:lang w:val="en-US" w:eastAsia="zh-CN"/>
        </w:rPr>
        <w:t>2</w:t>
      </w:r>
      <w:r>
        <w:rPr>
          <w:rFonts w:hint="eastAsia"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rPr>
        <w:t xml:space="preserve"> 可行性</w:t>
      </w:r>
    </w:p>
    <w:p>
      <w:pPr>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宋体" w:hAnsi="宋体" w:eastAsia="宋体"/>
          <w:color w:val="auto"/>
          <w:sz w:val="24"/>
          <w:szCs w:val="24"/>
          <w:highlight w:val="none"/>
        </w:rPr>
        <w:t>突发环境事件发生后，应急监测队伍应立即按照相关预案，在确保安全的前提下，开展应急监测工作。突发环境事件应急监测预案内容包括但不限于总则、组织体系、应急程序、保障措施、附则、附件等部分，具体内容由生态环境监测机构根据自身组织管理方式细化。</w:t>
      </w:r>
    </w:p>
    <w:p>
      <w:pPr>
        <w:snapToGrid w:val="0"/>
        <w:spacing w:line="360" w:lineRule="auto"/>
        <w:ind w:firstLine="480" w:firstLineChars="200"/>
        <w:rPr>
          <w:rFonts w:hint="eastAsia" w:ascii="Times New Roman" w:hAnsi="Times New Roman" w:eastAsia="宋体" w:cs="Times New Roman"/>
          <w:color w:val="auto"/>
          <w:kern w:val="0"/>
          <w:sz w:val="24"/>
          <w:szCs w:val="24"/>
          <w:highlight w:val="none"/>
        </w:rPr>
      </w:pPr>
      <w:r>
        <w:rPr>
          <w:rFonts w:hint="eastAsia" w:cs="Times New Roman"/>
          <w:color w:val="auto"/>
          <w:kern w:val="0"/>
          <w:sz w:val="24"/>
          <w:szCs w:val="24"/>
          <w:highlight w:val="none"/>
          <w:lang w:eastAsia="zh-CN"/>
        </w:rPr>
        <w:t>（</w:t>
      </w:r>
      <w:r>
        <w:rPr>
          <w:rFonts w:hint="eastAsia" w:cs="Times New Roman"/>
          <w:color w:val="auto"/>
          <w:kern w:val="0"/>
          <w:sz w:val="24"/>
          <w:szCs w:val="24"/>
          <w:highlight w:val="none"/>
          <w:lang w:val="en-US" w:eastAsia="zh-CN"/>
        </w:rPr>
        <w:t>3</w:t>
      </w:r>
      <w:r>
        <w:rPr>
          <w:rFonts w:hint="eastAsia"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rPr>
        <w:t>代表性</w:t>
      </w:r>
    </w:p>
    <w:p>
      <w:pPr>
        <w:snapToGrid w:val="0"/>
        <w:spacing w:line="360" w:lineRule="auto"/>
        <w:ind w:firstLine="480" w:firstLineChars="200"/>
        <w:rPr>
          <w:rFonts w:hint="default" w:ascii="Times New Roman" w:hAnsi="Times New Roman" w:eastAsia="宋体" w:cs="Times New Roman"/>
          <w:color w:val="auto"/>
          <w:kern w:val="0"/>
          <w:sz w:val="24"/>
          <w:szCs w:val="24"/>
          <w:highlight w:val="none"/>
        </w:rPr>
      </w:pPr>
      <w:r>
        <w:rPr>
          <w:rFonts w:hint="default" w:ascii="宋体" w:hAnsi="宋体" w:eastAsia="宋体"/>
          <w:color w:val="auto"/>
          <w:sz w:val="24"/>
          <w:szCs w:val="24"/>
          <w:highlight w:val="none"/>
        </w:rPr>
        <w:t>开展应急监测工作，应尽可能以足够的时空代表性的监测结果，尽快为突发环境事件应急决策提供可靠依据。在污染态势初步判别阶段，应以第一时间确定污染物种类、监测项目、大致污染范围及程度为工作原则；在跟踪监测阶段，应以快速获取污染物浓度及其动态变化信息为工作原则。</w:t>
      </w:r>
    </w:p>
    <w:p>
      <w:pPr>
        <w:snapToGrid w:val="0"/>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企业自身不具备应急环境监测能力，委托</w:t>
      </w:r>
      <w:r>
        <w:rPr>
          <w:rFonts w:hint="eastAsia" w:ascii="宋体" w:hAnsi="宋体" w:eastAsia="宋体" w:cs="Times New Roman"/>
          <w:color w:val="auto"/>
          <w:sz w:val="24"/>
          <w:szCs w:val="24"/>
          <w:highlight w:val="none"/>
          <w:lang w:val="en-US" w:eastAsia="zh-CN"/>
        </w:rPr>
        <w:t>无锡青伟环保科技有限公司</w:t>
      </w:r>
      <w:r>
        <w:rPr>
          <w:rFonts w:hint="default" w:ascii="宋体" w:hAnsi="宋体" w:eastAsia="宋体" w:cs="Times New Roman"/>
          <w:color w:val="auto"/>
          <w:sz w:val="24"/>
          <w:szCs w:val="24"/>
          <w:highlight w:val="none"/>
        </w:rPr>
        <w:t>进行应急监测。</w:t>
      </w:r>
    </w:p>
    <w:p>
      <w:pPr>
        <w:snapToGrid w:val="0"/>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发生环境污染事故时，公司应急指挥部应迅速组织监测人员赶赴事故现场，协助由</w:t>
      </w:r>
      <w:r>
        <w:rPr>
          <w:rFonts w:hint="eastAsia" w:ascii="宋体" w:hAnsi="宋体" w:eastAsia="宋体" w:cs="Times New Roman"/>
          <w:color w:val="auto"/>
          <w:sz w:val="24"/>
          <w:szCs w:val="24"/>
          <w:highlight w:val="none"/>
        </w:rPr>
        <w:t>无锡金属表面处理科技工业园</w:t>
      </w:r>
      <w:r>
        <w:rPr>
          <w:rFonts w:hint="eastAsia" w:ascii="宋体" w:hAnsi="宋体" w:eastAsia="宋体" w:cs="Times New Roman"/>
          <w:color w:val="auto"/>
          <w:sz w:val="24"/>
          <w:szCs w:val="24"/>
          <w:highlight w:val="none"/>
          <w:lang w:val="en-US" w:eastAsia="zh-CN"/>
        </w:rPr>
        <w:t>区派</w:t>
      </w:r>
      <w:r>
        <w:rPr>
          <w:rFonts w:hint="default" w:ascii="宋体" w:hAnsi="宋体" w:eastAsia="宋体" w:cs="Times New Roman"/>
          <w:color w:val="auto"/>
          <w:sz w:val="24"/>
          <w:szCs w:val="24"/>
          <w:highlight w:val="none"/>
        </w:rPr>
        <w:t>出的监测专家，根据实际情况，迅速确定监测方案，及时开展针对环境污染事故的环境应急监测工作，在尽可能短的时间内，用小型，便携，简易的仪器对污染物质种类，污染物质浓度和污染的范围及其可能的危害做出判断，以便对事故能及时正确地进行处理。</w:t>
      </w:r>
    </w:p>
    <w:p>
      <w:pPr>
        <w:autoSpaceDE w:val="0"/>
        <w:autoSpaceDN w:val="0"/>
        <w:adjustRightInd w:val="0"/>
        <w:snapToGrid w:val="0"/>
        <w:spacing w:line="360" w:lineRule="auto"/>
        <w:ind w:firstLine="480" w:firstLineChars="200"/>
        <w:rPr>
          <w:color w:val="auto"/>
          <w:highlight w:val="none"/>
        </w:rPr>
      </w:pPr>
      <w:r>
        <w:rPr>
          <w:rFonts w:hAnsi="宋体"/>
          <w:color w:val="auto"/>
          <w:highlight w:val="none"/>
        </w:rPr>
        <w:t>公司突发环境污染事故主要表现为大气污染和水体污染；大气监测主要污染物为</w:t>
      </w:r>
      <w:r>
        <w:rPr>
          <w:rFonts w:hint="eastAsia"/>
          <w:color w:val="auto"/>
          <w:highlight w:val="none"/>
        </w:rPr>
        <w:t>硫酸雾、氯化氢、</w:t>
      </w:r>
      <w:r>
        <w:rPr>
          <w:rFonts w:hint="eastAsia"/>
          <w:color w:val="auto"/>
          <w:highlight w:val="none"/>
          <w:lang w:val="en-US" w:eastAsia="zh-CN"/>
        </w:rPr>
        <w:t>铬酸雾以及火灾次生污染物</w:t>
      </w:r>
      <w:r>
        <w:rPr>
          <w:rFonts w:hint="eastAsia" w:hAnsi="宋体"/>
          <w:color w:val="auto"/>
          <w:highlight w:val="none"/>
        </w:rPr>
        <w:t>颗粒物、二氧化硫、氮氧化物</w:t>
      </w:r>
      <w:r>
        <w:rPr>
          <w:rFonts w:hAnsi="宋体"/>
          <w:color w:val="auto"/>
          <w:highlight w:val="none"/>
        </w:rPr>
        <w:t>等；水质监测主要污染物为p</w:t>
      </w:r>
      <w:r>
        <w:rPr>
          <w:rFonts w:hint="eastAsia" w:hAnsi="宋体"/>
          <w:color w:val="auto"/>
          <w:highlight w:val="none"/>
        </w:rPr>
        <w:t>H、</w:t>
      </w:r>
      <w:r>
        <w:rPr>
          <w:color w:val="auto"/>
          <w:highlight w:val="none"/>
        </w:rPr>
        <w:t>COD</w:t>
      </w:r>
      <w:r>
        <w:rPr>
          <w:rFonts w:hAnsi="宋体"/>
          <w:color w:val="auto"/>
          <w:highlight w:val="none"/>
        </w:rPr>
        <w:t>、</w:t>
      </w:r>
      <w:r>
        <w:rPr>
          <w:rFonts w:hint="eastAsia" w:hAnsi="宋体"/>
          <w:color w:val="auto"/>
          <w:highlight w:val="none"/>
        </w:rPr>
        <w:t>SS、</w:t>
      </w:r>
      <w:r>
        <w:rPr>
          <w:rFonts w:hint="eastAsia" w:hAnsi="宋体"/>
          <w:color w:val="auto"/>
          <w:highlight w:val="none"/>
          <w:lang w:val="en-US" w:eastAsia="zh-CN"/>
        </w:rPr>
        <w:t>总铬、六价铬、石油类</w:t>
      </w:r>
      <w:r>
        <w:rPr>
          <w:rFonts w:hAnsi="宋体"/>
          <w:color w:val="auto"/>
          <w:highlight w:val="none"/>
        </w:rPr>
        <w:t>等。</w:t>
      </w:r>
    </w:p>
    <w:p>
      <w:pPr>
        <w:snapToGrid w:val="0"/>
        <w:spacing w:line="360" w:lineRule="auto"/>
        <w:ind w:firstLine="480" w:firstLineChars="200"/>
        <w:rPr>
          <w:color w:val="auto"/>
          <w:highlight w:val="none"/>
        </w:rPr>
      </w:pPr>
      <w:r>
        <w:rPr>
          <w:rFonts w:hAnsi="宋体"/>
          <w:color w:val="auto"/>
          <w:highlight w:val="none"/>
        </w:rPr>
        <w:t>公司发生突发环境污染事故时，</w:t>
      </w:r>
      <w:r>
        <w:rPr>
          <w:color w:val="auto"/>
          <w:highlight w:val="none"/>
        </w:rPr>
        <w:t>应急</w:t>
      </w:r>
      <w:r>
        <w:rPr>
          <w:rFonts w:hint="eastAsia"/>
          <w:color w:val="auto"/>
          <w:highlight w:val="none"/>
        </w:rPr>
        <w:t>处置</w:t>
      </w:r>
      <w:r>
        <w:rPr>
          <w:color w:val="auto"/>
          <w:highlight w:val="none"/>
        </w:rPr>
        <w:t>组应立即通知相关监测单位人员赶赴现场，根据事故情形，</w:t>
      </w:r>
      <w:r>
        <w:rPr>
          <w:rFonts w:hAnsi="宋体"/>
          <w:color w:val="auto"/>
          <w:highlight w:val="none"/>
        </w:rPr>
        <w:t>对周边大气中</w:t>
      </w:r>
      <w:r>
        <w:rPr>
          <w:rFonts w:hint="eastAsia"/>
          <w:color w:val="auto"/>
          <w:highlight w:val="none"/>
        </w:rPr>
        <w:t>硫酸雾、氯化氢、</w:t>
      </w:r>
      <w:r>
        <w:rPr>
          <w:rFonts w:hint="eastAsia"/>
          <w:color w:val="auto"/>
          <w:highlight w:val="none"/>
          <w:lang w:val="en-US" w:eastAsia="zh-CN"/>
        </w:rPr>
        <w:t>铬酸雾、</w:t>
      </w:r>
      <w:r>
        <w:rPr>
          <w:rFonts w:hint="eastAsia" w:hAnsi="宋体"/>
          <w:color w:val="auto"/>
          <w:highlight w:val="none"/>
        </w:rPr>
        <w:t>颗粒物、二氧化硫、氮氧化物</w:t>
      </w:r>
      <w:r>
        <w:rPr>
          <w:rFonts w:hint="eastAsia"/>
          <w:color w:val="auto"/>
          <w:highlight w:val="none"/>
        </w:rPr>
        <w:t>等大气污染物</w:t>
      </w:r>
      <w:r>
        <w:rPr>
          <w:rFonts w:hAnsi="宋体"/>
          <w:color w:val="auto"/>
          <w:highlight w:val="none"/>
        </w:rPr>
        <w:t>以及水中p</w:t>
      </w:r>
      <w:r>
        <w:rPr>
          <w:rFonts w:hint="eastAsia" w:hAnsi="宋体"/>
          <w:color w:val="auto"/>
          <w:highlight w:val="none"/>
        </w:rPr>
        <w:t>H、</w:t>
      </w:r>
      <w:r>
        <w:rPr>
          <w:color w:val="auto"/>
          <w:highlight w:val="none"/>
        </w:rPr>
        <w:t>COD</w:t>
      </w:r>
      <w:r>
        <w:rPr>
          <w:rFonts w:hAnsi="宋体"/>
          <w:color w:val="auto"/>
          <w:highlight w:val="none"/>
        </w:rPr>
        <w:t>、</w:t>
      </w:r>
      <w:r>
        <w:rPr>
          <w:rFonts w:hint="eastAsia" w:hAnsi="宋体"/>
          <w:color w:val="auto"/>
          <w:highlight w:val="none"/>
        </w:rPr>
        <w:t>SS、</w:t>
      </w:r>
      <w:r>
        <w:rPr>
          <w:rFonts w:hint="eastAsia" w:hAnsi="宋体"/>
          <w:color w:val="auto"/>
          <w:highlight w:val="none"/>
          <w:lang w:val="en-US" w:eastAsia="zh-CN"/>
        </w:rPr>
        <w:t>总铬、六价铬、石油类</w:t>
      </w:r>
      <w:r>
        <w:rPr>
          <w:rFonts w:hint="eastAsia" w:hAnsi="宋体"/>
          <w:color w:val="auto"/>
          <w:highlight w:val="none"/>
        </w:rPr>
        <w:t>等污染因子其中几项或全部污染因子进行监测。</w:t>
      </w:r>
    </w:p>
    <w:p>
      <w:pPr>
        <w:pStyle w:val="5"/>
        <w:outlineLvl w:val="1"/>
        <w:rPr>
          <w:rFonts w:hint="default" w:ascii="Times New Roman" w:hAnsi="Times New Roman" w:eastAsia="宋体" w:cs="Times New Roman"/>
          <w:color w:val="auto"/>
          <w:highlight w:val="none"/>
          <w:lang w:val="en-US" w:eastAsia="zh-CN"/>
        </w:rPr>
      </w:pPr>
      <w:bookmarkStart w:id="123" w:name="_Toc28103282"/>
      <w:bookmarkStart w:id="124" w:name="_Toc26741"/>
      <w:r>
        <w:rPr>
          <w:rFonts w:hint="default"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lang w:val="en-US" w:eastAsia="zh-CN"/>
        </w:rPr>
        <w:t>2</w:t>
      </w:r>
      <w:r>
        <w:rPr>
          <w:rFonts w:hint="default" w:ascii="Times New Roman" w:hAnsi="Times New Roman" w:eastAsia="宋体" w:cs="Times New Roman"/>
          <w:color w:val="auto"/>
          <w:highlight w:val="none"/>
          <w:lang w:val="en-US" w:eastAsia="zh-CN"/>
        </w:rPr>
        <w:t xml:space="preserve"> 水环境监测</w:t>
      </w:r>
      <w:bookmarkEnd w:id="123"/>
      <w:bookmarkEnd w:id="124"/>
    </w:p>
    <w:p>
      <w:pPr>
        <w:snapToGrid w:val="0"/>
        <w:spacing w:line="360" w:lineRule="auto"/>
        <w:ind w:firstLine="480" w:firstLineChars="200"/>
        <w:rPr>
          <w:color w:val="auto"/>
          <w:kern w:val="0"/>
          <w:szCs w:val="28"/>
          <w:highlight w:val="none"/>
        </w:rPr>
      </w:pPr>
      <w:r>
        <w:rPr>
          <w:color w:val="auto"/>
          <w:kern w:val="0"/>
          <w:szCs w:val="28"/>
          <w:highlight w:val="none"/>
        </w:rPr>
        <w:t>（1）监测因子</w:t>
      </w:r>
    </w:p>
    <w:p>
      <w:pPr>
        <w:snapToGrid w:val="0"/>
        <w:spacing w:line="360" w:lineRule="auto"/>
        <w:ind w:firstLine="480" w:firstLineChars="200"/>
        <w:rPr>
          <w:color w:val="auto"/>
          <w:kern w:val="0"/>
          <w:szCs w:val="28"/>
          <w:highlight w:val="none"/>
        </w:rPr>
      </w:pPr>
      <w:r>
        <w:rPr>
          <w:color w:val="auto"/>
          <w:kern w:val="0"/>
          <w:szCs w:val="28"/>
          <w:highlight w:val="none"/>
        </w:rPr>
        <w:t>根据以上分析，生产车间</w:t>
      </w:r>
      <w:r>
        <w:rPr>
          <w:rFonts w:hint="eastAsia"/>
          <w:color w:val="auto"/>
          <w:kern w:val="0"/>
          <w:szCs w:val="28"/>
          <w:highlight w:val="none"/>
          <w:lang w:eastAsia="zh-CN"/>
        </w:rPr>
        <w:t>、</w:t>
      </w:r>
      <w:r>
        <w:rPr>
          <w:rFonts w:hint="eastAsia"/>
          <w:color w:val="auto"/>
          <w:kern w:val="0"/>
          <w:szCs w:val="28"/>
          <w:highlight w:val="none"/>
        </w:rPr>
        <w:t>危险品库</w:t>
      </w:r>
      <w:r>
        <w:rPr>
          <w:rFonts w:hint="eastAsia"/>
          <w:color w:val="auto"/>
          <w:kern w:val="0"/>
          <w:szCs w:val="28"/>
          <w:highlight w:val="none"/>
          <w:lang w:eastAsia="zh-CN"/>
        </w:rPr>
        <w:t>、</w:t>
      </w:r>
      <w:r>
        <w:rPr>
          <w:rFonts w:hint="eastAsia"/>
          <w:color w:val="auto"/>
          <w:kern w:val="0"/>
          <w:szCs w:val="28"/>
          <w:highlight w:val="none"/>
          <w:lang w:val="en-US" w:eastAsia="zh-CN"/>
        </w:rPr>
        <w:t>酸性库等</w:t>
      </w:r>
      <w:r>
        <w:rPr>
          <w:color w:val="auto"/>
          <w:kern w:val="0"/>
          <w:szCs w:val="28"/>
          <w:highlight w:val="none"/>
        </w:rPr>
        <w:t>发生泄漏事故产生的泄漏废液如处理不当</w:t>
      </w:r>
      <w:r>
        <w:rPr>
          <w:rFonts w:hint="eastAsia"/>
          <w:color w:val="auto"/>
          <w:kern w:val="0"/>
          <w:szCs w:val="28"/>
          <w:highlight w:val="none"/>
        </w:rPr>
        <w:t>，</w:t>
      </w:r>
      <w:r>
        <w:rPr>
          <w:color w:val="auto"/>
          <w:kern w:val="0"/>
          <w:szCs w:val="28"/>
          <w:highlight w:val="none"/>
        </w:rPr>
        <w:t>均有可能进入附近水体，物料火灾燃爆事故，产生的消防废水也可能通过雨水管网进入附近水体。因此，我厂事故后水环境监测因子见表5.1-1。</w:t>
      </w:r>
    </w:p>
    <w:p>
      <w:pPr>
        <w:jc w:val="center"/>
        <w:rPr>
          <w:b/>
          <w:color w:val="auto"/>
          <w:highlight w:val="none"/>
        </w:rPr>
      </w:pPr>
      <w:r>
        <w:rPr>
          <w:b/>
          <w:color w:val="auto"/>
          <w:highlight w:val="none"/>
        </w:rPr>
        <w:t>表</w:t>
      </w:r>
      <w:r>
        <w:rPr>
          <w:rFonts w:hint="eastAsia"/>
          <w:b/>
          <w:color w:val="auto"/>
          <w:highlight w:val="none"/>
        </w:rPr>
        <w:t>5.1-</w:t>
      </w:r>
      <w:r>
        <w:rPr>
          <w:b/>
          <w:color w:val="auto"/>
          <w:highlight w:val="none"/>
        </w:rPr>
        <w:t>1  水环境监测因子</w:t>
      </w:r>
    </w:p>
    <w:tbl>
      <w:tblPr>
        <w:tblStyle w:val="20"/>
        <w:tblW w:w="9214" w:type="dxa"/>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3260"/>
        <w:gridCol w:w="1701"/>
        <w:gridCol w:w="17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993" w:type="dxa"/>
            <w:vAlign w:val="center"/>
          </w:tcPr>
          <w:p>
            <w:pPr>
              <w:spacing w:before="120" w:beforeLines="50"/>
              <w:jc w:val="center"/>
              <w:rPr>
                <w:b/>
                <w:color w:val="auto"/>
                <w:sz w:val="21"/>
                <w:szCs w:val="21"/>
                <w:highlight w:val="none"/>
              </w:rPr>
            </w:pPr>
            <w:r>
              <w:rPr>
                <w:b/>
                <w:color w:val="auto"/>
                <w:sz w:val="21"/>
                <w:szCs w:val="21"/>
                <w:highlight w:val="none"/>
              </w:rPr>
              <w:t>类别</w:t>
            </w:r>
          </w:p>
        </w:tc>
        <w:tc>
          <w:tcPr>
            <w:tcW w:w="1559" w:type="dxa"/>
            <w:vAlign w:val="center"/>
          </w:tcPr>
          <w:p>
            <w:pPr>
              <w:spacing w:before="120" w:beforeLines="50"/>
              <w:jc w:val="center"/>
              <w:rPr>
                <w:b/>
                <w:color w:val="auto"/>
                <w:sz w:val="21"/>
                <w:szCs w:val="21"/>
                <w:highlight w:val="none"/>
              </w:rPr>
            </w:pPr>
            <w:r>
              <w:rPr>
                <w:b/>
                <w:color w:val="auto"/>
                <w:sz w:val="21"/>
                <w:szCs w:val="21"/>
                <w:highlight w:val="none"/>
              </w:rPr>
              <w:t>名称</w:t>
            </w:r>
          </w:p>
        </w:tc>
        <w:tc>
          <w:tcPr>
            <w:tcW w:w="3260" w:type="dxa"/>
            <w:vAlign w:val="center"/>
          </w:tcPr>
          <w:p>
            <w:pPr>
              <w:spacing w:before="120" w:beforeLines="50"/>
              <w:jc w:val="center"/>
              <w:rPr>
                <w:b/>
                <w:color w:val="auto"/>
                <w:sz w:val="21"/>
                <w:szCs w:val="21"/>
                <w:highlight w:val="none"/>
              </w:rPr>
            </w:pPr>
            <w:r>
              <w:rPr>
                <w:b/>
                <w:color w:val="auto"/>
                <w:sz w:val="21"/>
                <w:szCs w:val="21"/>
                <w:highlight w:val="none"/>
              </w:rPr>
              <w:t>涉及物质</w:t>
            </w:r>
          </w:p>
        </w:tc>
        <w:tc>
          <w:tcPr>
            <w:tcW w:w="1701" w:type="dxa"/>
            <w:vAlign w:val="center"/>
          </w:tcPr>
          <w:p>
            <w:pPr>
              <w:spacing w:before="120" w:beforeLines="50"/>
              <w:jc w:val="center"/>
              <w:rPr>
                <w:b/>
                <w:color w:val="auto"/>
                <w:sz w:val="21"/>
                <w:szCs w:val="21"/>
                <w:highlight w:val="none"/>
              </w:rPr>
            </w:pPr>
            <w:r>
              <w:rPr>
                <w:rFonts w:hint="eastAsia"/>
                <w:b/>
                <w:color w:val="auto"/>
                <w:sz w:val="21"/>
                <w:szCs w:val="21"/>
                <w:highlight w:val="none"/>
              </w:rPr>
              <w:t>事故类型</w:t>
            </w:r>
          </w:p>
        </w:tc>
        <w:tc>
          <w:tcPr>
            <w:tcW w:w="1701" w:type="dxa"/>
          </w:tcPr>
          <w:p>
            <w:pPr>
              <w:spacing w:before="120" w:beforeLines="50"/>
              <w:jc w:val="center"/>
              <w:rPr>
                <w:b/>
                <w:color w:val="auto"/>
                <w:sz w:val="21"/>
                <w:szCs w:val="21"/>
                <w:highlight w:val="none"/>
              </w:rPr>
            </w:pPr>
            <w:r>
              <w:rPr>
                <w:rFonts w:hint="eastAsia"/>
                <w:b/>
                <w:color w:val="auto"/>
                <w:sz w:val="21"/>
                <w:szCs w:val="21"/>
                <w:highlight w:val="none"/>
              </w:rPr>
              <w:t>监测因子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993" w:type="dxa"/>
            <w:vMerge w:val="restart"/>
            <w:vAlign w:val="center"/>
          </w:tcPr>
          <w:p>
            <w:pPr>
              <w:ind w:left="-60" w:leftChars="-25" w:right="-60" w:rightChars="-25"/>
              <w:jc w:val="center"/>
              <w:rPr>
                <w:color w:val="auto"/>
                <w:spacing w:val="-20"/>
                <w:sz w:val="21"/>
                <w:szCs w:val="21"/>
                <w:highlight w:val="none"/>
              </w:rPr>
            </w:pPr>
            <w:r>
              <w:rPr>
                <w:color w:val="auto"/>
                <w:spacing w:val="-20"/>
                <w:sz w:val="21"/>
                <w:szCs w:val="21"/>
                <w:highlight w:val="none"/>
              </w:rPr>
              <w:t>生产</w:t>
            </w:r>
          </w:p>
          <w:p>
            <w:pPr>
              <w:ind w:left="-60" w:leftChars="-25" w:right="-60" w:rightChars="-25"/>
              <w:jc w:val="center"/>
              <w:rPr>
                <w:color w:val="auto"/>
                <w:sz w:val="21"/>
                <w:szCs w:val="21"/>
                <w:highlight w:val="none"/>
              </w:rPr>
            </w:pPr>
            <w:r>
              <w:rPr>
                <w:color w:val="auto"/>
                <w:spacing w:val="-20"/>
                <w:sz w:val="21"/>
                <w:szCs w:val="21"/>
                <w:highlight w:val="none"/>
              </w:rPr>
              <w:t>车间</w:t>
            </w:r>
          </w:p>
        </w:tc>
        <w:tc>
          <w:tcPr>
            <w:tcW w:w="1559" w:type="dxa"/>
            <w:vAlign w:val="center"/>
          </w:tcPr>
          <w:p>
            <w:pPr>
              <w:spacing w:before="120" w:beforeLines="50"/>
              <w:ind w:left="-60" w:leftChars="-25" w:right="-60" w:rightChars="-25"/>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镀铬线</w:t>
            </w:r>
          </w:p>
        </w:tc>
        <w:tc>
          <w:tcPr>
            <w:tcW w:w="3260" w:type="dxa"/>
            <w:vAlign w:val="center"/>
          </w:tcPr>
          <w:p>
            <w:pPr>
              <w:spacing w:before="120" w:beforeLines="50"/>
              <w:ind w:left="-60" w:leftChars="-25" w:right="-60" w:rightChars="-25"/>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镀铬起镀液</w:t>
            </w:r>
          </w:p>
        </w:tc>
        <w:tc>
          <w:tcPr>
            <w:tcW w:w="1701"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泄漏、环境污染、中毒</w:t>
            </w:r>
          </w:p>
        </w:tc>
        <w:tc>
          <w:tcPr>
            <w:tcW w:w="1701" w:type="dxa"/>
          </w:tcPr>
          <w:p>
            <w:pPr>
              <w:spacing w:before="120" w:beforeLines="50"/>
              <w:ind w:left="-60" w:leftChars="-25" w:right="-60" w:rightChars="-25"/>
              <w:jc w:val="center"/>
              <w:rPr>
                <w:rFonts w:hint="default" w:eastAsia="宋体"/>
                <w:color w:val="auto"/>
                <w:sz w:val="21"/>
                <w:szCs w:val="21"/>
                <w:highlight w:val="none"/>
                <w:lang w:val="en-US" w:eastAsia="zh-CN"/>
              </w:rPr>
            </w:pPr>
            <w:r>
              <w:rPr>
                <w:rFonts w:hint="eastAsia"/>
                <w:color w:val="auto"/>
                <w:sz w:val="21"/>
                <w:szCs w:val="21"/>
                <w:highlight w:val="none"/>
              </w:rPr>
              <w:t>pH、</w:t>
            </w:r>
            <w:r>
              <w:rPr>
                <w:rFonts w:hint="eastAsia"/>
                <w:color w:val="auto"/>
                <w:sz w:val="21"/>
                <w:szCs w:val="21"/>
                <w:highlight w:val="none"/>
                <w:lang w:val="en-US" w:eastAsia="zh-CN"/>
              </w:rPr>
              <w:t>总铬、六价铬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993" w:type="dxa"/>
            <w:vMerge w:val="continue"/>
            <w:vAlign w:val="center"/>
          </w:tcPr>
          <w:p>
            <w:pPr>
              <w:ind w:left="-60" w:leftChars="-25" w:right="-60" w:rightChars="-25"/>
              <w:jc w:val="center"/>
              <w:rPr>
                <w:color w:val="auto"/>
                <w:spacing w:val="-20"/>
                <w:sz w:val="21"/>
                <w:szCs w:val="21"/>
                <w:highlight w:val="none"/>
              </w:rPr>
            </w:pPr>
          </w:p>
        </w:tc>
        <w:tc>
          <w:tcPr>
            <w:tcW w:w="1559" w:type="dxa"/>
            <w:vAlign w:val="center"/>
          </w:tcPr>
          <w:p>
            <w:pPr>
              <w:spacing w:before="120" w:beforeLines="50"/>
              <w:ind w:left="-60" w:leftChars="-25" w:right="-60" w:rightChars="-25"/>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清洗线</w:t>
            </w:r>
          </w:p>
        </w:tc>
        <w:tc>
          <w:tcPr>
            <w:tcW w:w="3260" w:type="dxa"/>
            <w:vAlign w:val="center"/>
          </w:tcPr>
          <w:p>
            <w:pPr>
              <w:spacing w:before="120" w:beforeLines="50"/>
              <w:ind w:left="-60" w:leftChars="-25" w:right="-60" w:rightChars="-25"/>
              <w:jc w:val="center"/>
              <w:rPr>
                <w:rFonts w:hint="eastAsia"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lang w:val="en-US" w:eastAsia="zh-CN"/>
              </w:rPr>
              <w:t>脱脂剂（喷淋清洗剂）</w:t>
            </w:r>
          </w:p>
        </w:tc>
        <w:tc>
          <w:tcPr>
            <w:tcW w:w="1701" w:type="dxa"/>
            <w:vAlign w:val="center"/>
          </w:tcPr>
          <w:p>
            <w:pPr>
              <w:spacing w:before="120" w:beforeLines="50"/>
              <w:ind w:left="-60" w:leftChars="-25" w:right="-60" w:rightChars="-25"/>
              <w:jc w:val="center"/>
              <w:rPr>
                <w:rFonts w:hint="eastAsia"/>
                <w:color w:val="auto"/>
                <w:sz w:val="21"/>
                <w:szCs w:val="21"/>
                <w:highlight w:val="none"/>
              </w:rPr>
            </w:pPr>
            <w:r>
              <w:rPr>
                <w:rFonts w:hint="eastAsia"/>
                <w:color w:val="auto"/>
                <w:sz w:val="21"/>
                <w:szCs w:val="21"/>
                <w:highlight w:val="none"/>
              </w:rPr>
              <w:t>泄漏、环境污染</w:t>
            </w:r>
          </w:p>
        </w:tc>
        <w:tc>
          <w:tcPr>
            <w:tcW w:w="1701" w:type="dxa"/>
          </w:tcPr>
          <w:p>
            <w:pPr>
              <w:spacing w:before="120" w:beforeLines="50"/>
              <w:ind w:left="-60" w:leftChars="-25" w:right="-60" w:rightChars="-25"/>
              <w:jc w:val="center"/>
              <w:rPr>
                <w:rFonts w:hint="eastAsia"/>
                <w:color w:val="auto"/>
                <w:sz w:val="21"/>
                <w:szCs w:val="21"/>
                <w:highlight w:val="none"/>
              </w:rPr>
            </w:pPr>
            <w:r>
              <w:rPr>
                <w:rFonts w:hint="eastAsia"/>
                <w:color w:val="auto"/>
                <w:sz w:val="21"/>
                <w:szCs w:val="21"/>
                <w:highlight w:val="none"/>
              </w:rPr>
              <w:t>pH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 w:hRule="atLeast"/>
          <w:tblHeader/>
        </w:trPr>
        <w:tc>
          <w:tcPr>
            <w:tcW w:w="993" w:type="dxa"/>
            <w:vMerge w:val="continue"/>
            <w:vAlign w:val="center"/>
          </w:tcPr>
          <w:p>
            <w:pPr>
              <w:ind w:left="-60" w:leftChars="-25" w:right="-60" w:rightChars="-25"/>
              <w:jc w:val="center"/>
              <w:rPr>
                <w:color w:val="auto"/>
                <w:spacing w:val="-20"/>
                <w:sz w:val="21"/>
                <w:szCs w:val="21"/>
                <w:highlight w:val="none"/>
              </w:rPr>
            </w:pPr>
          </w:p>
        </w:tc>
        <w:tc>
          <w:tcPr>
            <w:tcW w:w="1559" w:type="dxa"/>
            <w:vAlign w:val="center"/>
          </w:tcPr>
          <w:p>
            <w:pPr>
              <w:spacing w:before="120" w:beforeLines="50"/>
              <w:ind w:left="-60" w:leftChars="-25" w:right="-60" w:rightChars="-25"/>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实验室</w:t>
            </w:r>
          </w:p>
        </w:tc>
        <w:tc>
          <w:tcPr>
            <w:tcW w:w="3260"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硫酸、盐酸</w:t>
            </w:r>
          </w:p>
        </w:tc>
        <w:tc>
          <w:tcPr>
            <w:tcW w:w="1701" w:type="dxa"/>
            <w:vAlign w:val="center"/>
          </w:tcPr>
          <w:p>
            <w:pPr>
              <w:spacing w:before="120" w:beforeLines="50"/>
              <w:ind w:left="-60" w:leftChars="-25" w:right="-60" w:rightChars="-25"/>
              <w:jc w:val="center"/>
              <w:rPr>
                <w:rFonts w:hint="default" w:eastAsia="宋体"/>
                <w:color w:val="auto"/>
                <w:sz w:val="21"/>
                <w:szCs w:val="21"/>
                <w:highlight w:val="none"/>
                <w:lang w:val="en-US" w:eastAsia="zh-CN"/>
              </w:rPr>
            </w:pPr>
            <w:r>
              <w:rPr>
                <w:rFonts w:hint="eastAsia"/>
                <w:color w:val="auto"/>
                <w:sz w:val="21"/>
                <w:szCs w:val="21"/>
                <w:highlight w:val="none"/>
              </w:rPr>
              <w:t>泄漏、环境污染</w:t>
            </w:r>
            <w:r>
              <w:rPr>
                <w:rFonts w:hint="eastAsia"/>
                <w:color w:val="auto"/>
                <w:sz w:val="21"/>
                <w:szCs w:val="21"/>
                <w:highlight w:val="none"/>
                <w:lang w:eastAsia="zh-CN"/>
              </w:rPr>
              <w:t>、</w:t>
            </w:r>
            <w:r>
              <w:rPr>
                <w:rFonts w:hint="eastAsia"/>
                <w:color w:val="auto"/>
                <w:sz w:val="21"/>
                <w:szCs w:val="21"/>
                <w:highlight w:val="none"/>
                <w:lang w:val="en-US" w:eastAsia="zh-CN"/>
              </w:rPr>
              <w:t>火灾</w:t>
            </w:r>
          </w:p>
        </w:tc>
        <w:tc>
          <w:tcPr>
            <w:tcW w:w="1701" w:type="dxa"/>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pH</w:t>
            </w:r>
            <w:r>
              <w:rPr>
                <w:rFonts w:hint="eastAsia"/>
                <w:color w:val="auto"/>
                <w:sz w:val="21"/>
                <w:szCs w:val="21"/>
                <w:highlight w:val="none"/>
                <w:lang w:eastAsia="zh-CN"/>
              </w:rPr>
              <w:t>、</w:t>
            </w:r>
            <w:r>
              <w:rPr>
                <w:rFonts w:hint="eastAsia"/>
                <w:color w:val="auto"/>
                <w:sz w:val="21"/>
                <w:szCs w:val="21"/>
                <w:highlight w:val="none"/>
              </w:rPr>
              <w:t>COD、SS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993" w:type="dxa"/>
            <w:vMerge w:val="restart"/>
            <w:vAlign w:val="center"/>
          </w:tcPr>
          <w:p>
            <w:pPr>
              <w:ind w:left="-60" w:leftChars="-25" w:right="-60" w:rightChars="-25"/>
              <w:jc w:val="center"/>
              <w:rPr>
                <w:color w:val="auto"/>
                <w:spacing w:val="-20"/>
                <w:sz w:val="21"/>
                <w:szCs w:val="21"/>
                <w:highlight w:val="none"/>
              </w:rPr>
            </w:pPr>
            <w:r>
              <w:rPr>
                <w:color w:val="auto"/>
                <w:spacing w:val="-20"/>
                <w:sz w:val="21"/>
                <w:szCs w:val="21"/>
                <w:highlight w:val="none"/>
              </w:rPr>
              <w:t>贮运工程</w:t>
            </w:r>
          </w:p>
        </w:tc>
        <w:tc>
          <w:tcPr>
            <w:tcW w:w="1559" w:type="dxa"/>
            <w:vAlign w:val="center"/>
          </w:tcPr>
          <w:p>
            <w:pPr>
              <w:spacing w:before="120" w:beforeLines="50"/>
              <w:ind w:left="-60" w:leftChars="-25" w:right="-60" w:rightChars="-25"/>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酸性库</w:t>
            </w:r>
          </w:p>
        </w:tc>
        <w:tc>
          <w:tcPr>
            <w:tcW w:w="3260"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lang w:val="en-US" w:eastAsia="zh-CN"/>
              </w:rPr>
              <w:t>镀铬起镀液、</w:t>
            </w:r>
            <w:r>
              <w:rPr>
                <w:rFonts w:hint="eastAsia"/>
                <w:color w:val="auto"/>
                <w:sz w:val="21"/>
                <w:szCs w:val="21"/>
                <w:highlight w:val="none"/>
              </w:rPr>
              <w:t>硫酸、盐酸</w:t>
            </w:r>
            <w:r>
              <w:rPr>
                <w:rFonts w:hint="eastAsia"/>
                <w:color w:val="auto"/>
                <w:sz w:val="21"/>
                <w:szCs w:val="21"/>
                <w:highlight w:val="none"/>
                <w:lang w:eastAsia="zh-CN"/>
              </w:rPr>
              <w:t>、</w:t>
            </w:r>
            <w:r>
              <w:rPr>
                <w:rFonts w:hint="eastAsia"/>
                <w:color w:val="auto"/>
                <w:sz w:val="21"/>
                <w:szCs w:val="21"/>
                <w:highlight w:val="none"/>
                <w:lang w:val="en-US" w:eastAsia="zh-CN"/>
              </w:rPr>
              <w:t>脱脂剂（喷淋清洗剂）</w:t>
            </w:r>
          </w:p>
        </w:tc>
        <w:tc>
          <w:tcPr>
            <w:tcW w:w="1701" w:type="dxa"/>
            <w:vAlign w:val="center"/>
          </w:tcPr>
          <w:p>
            <w:pPr>
              <w:spacing w:before="120" w:beforeLines="50"/>
              <w:ind w:left="-60" w:leftChars="-25" w:right="-60" w:rightChars="-25"/>
              <w:jc w:val="center"/>
              <w:rPr>
                <w:rFonts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泄漏、环境污染、中毒</w:t>
            </w:r>
            <w:r>
              <w:rPr>
                <w:rFonts w:hint="eastAsia"/>
                <w:color w:val="auto"/>
                <w:sz w:val="21"/>
                <w:szCs w:val="21"/>
                <w:highlight w:val="none"/>
                <w:lang w:eastAsia="zh-CN"/>
              </w:rPr>
              <w:t>、</w:t>
            </w:r>
            <w:r>
              <w:rPr>
                <w:rFonts w:hint="eastAsia"/>
                <w:color w:val="auto"/>
                <w:sz w:val="21"/>
                <w:szCs w:val="21"/>
                <w:highlight w:val="none"/>
                <w:lang w:val="en-US" w:eastAsia="zh-CN"/>
              </w:rPr>
              <w:t>火灾</w:t>
            </w:r>
          </w:p>
        </w:tc>
        <w:tc>
          <w:tcPr>
            <w:tcW w:w="1701"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pH、COD、SS</w:t>
            </w:r>
            <w:r>
              <w:rPr>
                <w:rFonts w:hint="eastAsia"/>
                <w:color w:val="auto"/>
                <w:sz w:val="21"/>
                <w:szCs w:val="21"/>
                <w:highlight w:val="none"/>
                <w:lang w:eastAsia="zh-CN"/>
              </w:rPr>
              <w:t>、</w:t>
            </w:r>
            <w:r>
              <w:rPr>
                <w:rFonts w:hint="eastAsia"/>
                <w:color w:val="auto"/>
                <w:sz w:val="21"/>
                <w:szCs w:val="21"/>
                <w:highlight w:val="none"/>
                <w:lang w:val="en-US" w:eastAsia="zh-CN"/>
              </w:rPr>
              <w:t>总铬、六价铬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993" w:type="dxa"/>
            <w:vMerge w:val="continue"/>
            <w:vAlign w:val="center"/>
          </w:tcPr>
          <w:p>
            <w:pPr>
              <w:ind w:left="-60" w:leftChars="-25" w:right="-60" w:rightChars="-25"/>
              <w:jc w:val="center"/>
              <w:rPr>
                <w:color w:val="auto"/>
                <w:spacing w:val="-20"/>
                <w:sz w:val="21"/>
                <w:szCs w:val="21"/>
                <w:highlight w:val="none"/>
              </w:rPr>
            </w:pPr>
          </w:p>
        </w:tc>
        <w:tc>
          <w:tcPr>
            <w:tcW w:w="1559" w:type="dxa"/>
            <w:vAlign w:val="center"/>
          </w:tcPr>
          <w:p>
            <w:pPr>
              <w:spacing w:before="120" w:beforeLines="50"/>
              <w:ind w:left="-60" w:leftChars="-25" w:right="-60" w:rightChars="-25"/>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碱性库</w:t>
            </w:r>
          </w:p>
        </w:tc>
        <w:tc>
          <w:tcPr>
            <w:tcW w:w="3260"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lang w:val="en-US" w:eastAsia="zh-CN"/>
              </w:rPr>
              <w:t>氢氧化钠</w:t>
            </w:r>
          </w:p>
        </w:tc>
        <w:tc>
          <w:tcPr>
            <w:tcW w:w="1701"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泄漏、环境污染</w:t>
            </w:r>
          </w:p>
        </w:tc>
        <w:tc>
          <w:tcPr>
            <w:tcW w:w="1701"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pH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993" w:type="dxa"/>
            <w:vMerge w:val="restart"/>
            <w:vAlign w:val="center"/>
          </w:tcPr>
          <w:p>
            <w:pPr>
              <w:ind w:left="-60" w:leftChars="-25" w:right="-60" w:rightChars="-25"/>
              <w:jc w:val="center"/>
              <w:rPr>
                <w:color w:val="auto"/>
                <w:sz w:val="21"/>
                <w:szCs w:val="21"/>
                <w:highlight w:val="none"/>
              </w:rPr>
            </w:pPr>
            <w:r>
              <w:rPr>
                <w:color w:val="auto"/>
                <w:sz w:val="21"/>
                <w:szCs w:val="21"/>
                <w:highlight w:val="none"/>
              </w:rPr>
              <w:t>环保</w:t>
            </w:r>
          </w:p>
          <w:p>
            <w:pPr>
              <w:ind w:left="-60" w:leftChars="-25" w:right="-60" w:rightChars="-25"/>
              <w:jc w:val="center"/>
              <w:rPr>
                <w:color w:val="auto"/>
                <w:sz w:val="21"/>
                <w:szCs w:val="21"/>
                <w:highlight w:val="none"/>
              </w:rPr>
            </w:pPr>
            <w:r>
              <w:rPr>
                <w:color w:val="auto"/>
                <w:sz w:val="21"/>
                <w:szCs w:val="21"/>
                <w:highlight w:val="none"/>
              </w:rPr>
              <w:t>工程</w:t>
            </w:r>
          </w:p>
        </w:tc>
        <w:tc>
          <w:tcPr>
            <w:tcW w:w="1559" w:type="dxa"/>
            <w:vAlign w:val="center"/>
          </w:tcPr>
          <w:p>
            <w:pPr>
              <w:spacing w:before="120" w:beforeLines="50"/>
              <w:ind w:left="-60" w:leftChars="-25" w:right="-60" w:rightChars="-25"/>
              <w:jc w:val="center"/>
              <w:rPr>
                <w:rFonts w:hint="eastAsia" w:eastAsia="宋体"/>
                <w:color w:val="auto"/>
                <w:sz w:val="21"/>
                <w:szCs w:val="21"/>
                <w:highlight w:val="none"/>
                <w:lang w:eastAsia="zh-CN"/>
              </w:rPr>
            </w:pPr>
            <w:r>
              <w:rPr>
                <w:rFonts w:hint="eastAsia"/>
                <w:color w:val="auto"/>
                <w:sz w:val="21"/>
                <w:szCs w:val="21"/>
                <w:highlight w:val="none"/>
              </w:rPr>
              <w:t>污水处理</w:t>
            </w:r>
            <w:r>
              <w:rPr>
                <w:rFonts w:hint="eastAsia"/>
                <w:color w:val="auto"/>
                <w:sz w:val="21"/>
                <w:szCs w:val="21"/>
                <w:highlight w:val="none"/>
                <w:lang w:val="en-US" w:eastAsia="zh-CN"/>
              </w:rPr>
              <w:t>设施</w:t>
            </w:r>
          </w:p>
        </w:tc>
        <w:tc>
          <w:tcPr>
            <w:tcW w:w="3260" w:type="dxa"/>
            <w:vAlign w:val="center"/>
          </w:tcPr>
          <w:p>
            <w:pPr>
              <w:spacing w:before="120" w:beforeLines="50"/>
              <w:ind w:left="-60" w:leftChars="-25" w:right="-60" w:rightChars="-25"/>
              <w:jc w:val="center"/>
              <w:rPr>
                <w:rFonts w:hint="eastAsia" w:eastAsia="宋体"/>
                <w:color w:val="auto"/>
                <w:sz w:val="21"/>
                <w:szCs w:val="21"/>
                <w:highlight w:val="none"/>
                <w:lang w:eastAsia="zh-CN"/>
              </w:rPr>
            </w:pPr>
            <w:r>
              <w:rPr>
                <w:rFonts w:hint="eastAsia"/>
                <w:color w:val="auto"/>
                <w:sz w:val="21"/>
                <w:szCs w:val="21"/>
                <w:highlight w:val="none"/>
              </w:rPr>
              <w:t>生产废水</w:t>
            </w:r>
            <w:r>
              <w:rPr>
                <w:rFonts w:hint="eastAsia"/>
                <w:color w:val="auto"/>
                <w:sz w:val="21"/>
                <w:szCs w:val="21"/>
                <w:highlight w:val="none"/>
                <w:lang w:eastAsia="zh-CN"/>
              </w:rPr>
              <w:t>（</w:t>
            </w:r>
            <w:r>
              <w:rPr>
                <w:rFonts w:hint="eastAsia"/>
                <w:color w:val="auto"/>
                <w:sz w:val="21"/>
                <w:szCs w:val="21"/>
                <w:highlight w:val="none"/>
                <w:lang w:val="en-US" w:eastAsia="zh-CN"/>
              </w:rPr>
              <w:t>含铬</w:t>
            </w:r>
            <w:r>
              <w:rPr>
                <w:rFonts w:hint="eastAsia"/>
                <w:color w:val="auto"/>
                <w:sz w:val="21"/>
                <w:szCs w:val="21"/>
                <w:highlight w:val="none"/>
                <w:lang w:eastAsia="zh-CN"/>
              </w:rPr>
              <w:t>）</w:t>
            </w:r>
          </w:p>
        </w:tc>
        <w:tc>
          <w:tcPr>
            <w:tcW w:w="1701"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事故排放、环境污染</w:t>
            </w:r>
          </w:p>
        </w:tc>
        <w:tc>
          <w:tcPr>
            <w:tcW w:w="1701" w:type="dxa"/>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pH、COD、SS</w:t>
            </w:r>
            <w:r>
              <w:rPr>
                <w:rFonts w:hint="eastAsia"/>
                <w:color w:val="auto"/>
                <w:sz w:val="21"/>
                <w:szCs w:val="21"/>
                <w:highlight w:val="none"/>
                <w:lang w:eastAsia="zh-CN"/>
              </w:rPr>
              <w:t>、</w:t>
            </w:r>
            <w:r>
              <w:rPr>
                <w:rFonts w:hint="eastAsia"/>
                <w:color w:val="auto"/>
                <w:sz w:val="21"/>
                <w:szCs w:val="21"/>
                <w:highlight w:val="none"/>
                <w:lang w:val="en-US" w:eastAsia="zh-CN"/>
              </w:rPr>
              <w:t>总铬、六价铬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2" w:hRule="atLeast"/>
          <w:tblHeader/>
        </w:trPr>
        <w:tc>
          <w:tcPr>
            <w:tcW w:w="993" w:type="dxa"/>
            <w:vMerge w:val="continue"/>
            <w:vAlign w:val="center"/>
          </w:tcPr>
          <w:p>
            <w:pPr>
              <w:ind w:left="-60" w:leftChars="-25" w:right="-60" w:rightChars="-25"/>
              <w:jc w:val="center"/>
              <w:rPr>
                <w:color w:val="auto"/>
                <w:sz w:val="21"/>
                <w:szCs w:val="21"/>
                <w:highlight w:val="none"/>
              </w:rPr>
            </w:pPr>
          </w:p>
        </w:tc>
        <w:tc>
          <w:tcPr>
            <w:tcW w:w="1559" w:type="dxa"/>
            <w:vAlign w:val="center"/>
          </w:tcPr>
          <w:p>
            <w:pPr>
              <w:spacing w:before="120" w:beforeLines="50"/>
              <w:ind w:left="-60" w:leftChars="-25" w:right="-60" w:rightChars="-25"/>
              <w:jc w:val="center"/>
              <w:rPr>
                <w:color w:val="auto"/>
                <w:sz w:val="21"/>
                <w:szCs w:val="21"/>
                <w:highlight w:val="none"/>
              </w:rPr>
            </w:pPr>
            <w:r>
              <w:rPr>
                <w:color w:val="auto"/>
                <w:sz w:val="21"/>
                <w:szCs w:val="21"/>
                <w:highlight w:val="none"/>
              </w:rPr>
              <w:t>危险固废堆放仓库</w:t>
            </w:r>
          </w:p>
        </w:tc>
        <w:tc>
          <w:tcPr>
            <w:tcW w:w="3260" w:type="dxa"/>
            <w:vAlign w:val="center"/>
          </w:tcPr>
          <w:p>
            <w:pPr>
              <w:spacing w:before="120" w:beforeLines="50"/>
              <w:ind w:left="-60" w:leftChars="-25" w:right="-60" w:rightChars="-25"/>
              <w:jc w:val="center"/>
              <w:rPr>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废机油</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含铬废液</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废水处理污泥及蒸发废盐等</w:t>
            </w:r>
          </w:p>
        </w:tc>
        <w:tc>
          <w:tcPr>
            <w:tcW w:w="1701" w:type="dxa"/>
            <w:vAlign w:val="center"/>
          </w:tcPr>
          <w:p>
            <w:pPr>
              <w:spacing w:before="120" w:beforeLines="50"/>
              <w:ind w:left="-60" w:leftChars="-25" w:right="-60" w:rightChars="-25"/>
              <w:jc w:val="center"/>
              <w:rPr>
                <w:color w:val="auto"/>
                <w:sz w:val="21"/>
                <w:szCs w:val="21"/>
                <w:highlight w:val="none"/>
              </w:rPr>
            </w:pPr>
            <w:r>
              <w:rPr>
                <w:color w:val="auto"/>
                <w:sz w:val="21"/>
                <w:szCs w:val="21"/>
                <w:highlight w:val="none"/>
              </w:rPr>
              <w:t>事故排放，</w:t>
            </w:r>
            <w:r>
              <w:rPr>
                <w:rFonts w:hint="eastAsia"/>
                <w:color w:val="auto"/>
                <w:sz w:val="21"/>
                <w:szCs w:val="21"/>
                <w:highlight w:val="none"/>
              </w:rPr>
              <w:t>环境污染</w:t>
            </w:r>
            <w:r>
              <w:rPr>
                <w:rFonts w:hint="eastAsia"/>
                <w:color w:val="auto"/>
                <w:sz w:val="21"/>
                <w:szCs w:val="21"/>
                <w:highlight w:val="none"/>
                <w:lang w:eastAsia="zh-CN"/>
              </w:rPr>
              <w:t>、</w:t>
            </w:r>
            <w:r>
              <w:rPr>
                <w:rFonts w:hint="eastAsia"/>
                <w:color w:val="auto"/>
                <w:sz w:val="21"/>
                <w:szCs w:val="21"/>
                <w:highlight w:val="none"/>
                <w:lang w:val="en-US" w:eastAsia="zh-CN"/>
              </w:rPr>
              <w:t>火灾</w:t>
            </w:r>
          </w:p>
        </w:tc>
        <w:tc>
          <w:tcPr>
            <w:tcW w:w="1701" w:type="dxa"/>
          </w:tcPr>
          <w:p>
            <w:pPr>
              <w:spacing w:before="120" w:beforeLines="50"/>
              <w:ind w:left="-60" w:leftChars="-25" w:right="-60" w:rightChars="-25"/>
              <w:jc w:val="center"/>
              <w:rPr>
                <w:rFonts w:hint="default"/>
                <w:color w:val="auto"/>
                <w:sz w:val="21"/>
                <w:szCs w:val="21"/>
                <w:highlight w:val="none"/>
                <w:lang w:val="en-US"/>
              </w:rPr>
            </w:pPr>
            <w:r>
              <w:rPr>
                <w:rFonts w:hint="eastAsia"/>
                <w:color w:val="auto"/>
                <w:sz w:val="21"/>
                <w:szCs w:val="21"/>
                <w:highlight w:val="none"/>
              </w:rPr>
              <w:t>pH、COD、SS</w:t>
            </w:r>
            <w:r>
              <w:rPr>
                <w:rFonts w:hint="eastAsia"/>
                <w:color w:val="auto"/>
                <w:sz w:val="21"/>
                <w:szCs w:val="21"/>
                <w:highlight w:val="none"/>
                <w:lang w:eastAsia="zh-CN"/>
              </w:rPr>
              <w:t>、</w:t>
            </w:r>
            <w:r>
              <w:rPr>
                <w:rFonts w:hint="eastAsia"/>
                <w:color w:val="auto"/>
                <w:sz w:val="21"/>
                <w:szCs w:val="21"/>
                <w:highlight w:val="none"/>
                <w:lang w:val="en-US" w:eastAsia="zh-CN"/>
              </w:rPr>
              <w:t>总铬、六价铬、石油类</w:t>
            </w:r>
          </w:p>
        </w:tc>
      </w:tr>
    </w:tbl>
    <w:p>
      <w:pPr>
        <w:spacing w:before="120" w:beforeLines="50"/>
        <w:jc w:val="left"/>
        <w:rPr>
          <w:color w:val="auto"/>
          <w:highlight w:val="none"/>
        </w:rPr>
      </w:pPr>
      <w:r>
        <w:rPr>
          <w:rFonts w:hint="eastAsia"/>
          <w:color w:val="auto"/>
          <w:kern w:val="0"/>
          <w:szCs w:val="28"/>
          <w:highlight w:val="none"/>
        </w:rPr>
        <w:t>（2）水环境</w:t>
      </w:r>
      <w:r>
        <w:rPr>
          <w:color w:val="auto"/>
          <w:kern w:val="0"/>
          <w:szCs w:val="28"/>
          <w:highlight w:val="none"/>
        </w:rPr>
        <w:t>监测点布设</w:t>
      </w:r>
      <w:r>
        <w:rPr>
          <w:rFonts w:hint="eastAsia"/>
          <w:color w:val="auto"/>
          <w:kern w:val="0"/>
          <w:szCs w:val="28"/>
          <w:highlight w:val="none"/>
        </w:rPr>
        <w:t>、</w:t>
      </w:r>
      <w:r>
        <w:rPr>
          <w:color w:val="auto"/>
          <w:kern w:val="0"/>
          <w:szCs w:val="28"/>
          <w:highlight w:val="none"/>
        </w:rPr>
        <w:t>监测时间和频次</w:t>
      </w:r>
      <w:r>
        <w:rPr>
          <w:rFonts w:hint="eastAsia"/>
          <w:color w:val="auto"/>
          <w:highlight w:val="none"/>
        </w:rPr>
        <w:t xml:space="preserve">  </w:t>
      </w:r>
    </w:p>
    <w:p>
      <w:pPr>
        <w:jc w:val="center"/>
        <w:rPr>
          <w:b/>
          <w:color w:val="auto"/>
          <w:highlight w:val="none"/>
        </w:rPr>
      </w:pPr>
      <w:r>
        <w:rPr>
          <w:rFonts w:hint="eastAsia"/>
          <w:color w:val="auto"/>
          <w:highlight w:val="none"/>
        </w:rPr>
        <w:t xml:space="preserve"> </w:t>
      </w:r>
      <w:r>
        <w:rPr>
          <w:b/>
          <w:color w:val="auto"/>
          <w:highlight w:val="none"/>
        </w:rPr>
        <w:t>表5.1-</w:t>
      </w:r>
      <w:r>
        <w:rPr>
          <w:rFonts w:hint="eastAsia"/>
          <w:b/>
          <w:color w:val="auto"/>
          <w:highlight w:val="none"/>
        </w:rPr>
        <w:t>2</w:t>
      </w:r>
      <w:r>
        <w:rPr>
          <w:b/>
          <w:color w:val="auto"/>
          <w:highlight w:val="none"/>
        </w:rPr>
        <w:t xml:space="preserve">  监测</w:t>
      </w:r>
      <w:r>
        <w:rPr>
          <w:rFonts w:hint="eastAsia"/>
          <w:b/>
          <w:color w:val="auto"/>
          <w:highlight w:val="none"/>
        </w:rPr>
        <w:t>点位及频次</w:t>
      </w:r>
    </w:p>
    <w:tbl>
      <w:tblPr>
        <w:tblStyle w:val="20"/>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3569"/>
        <w:gridCol w:w="1778"/>
        <w:gridCol w:w="177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2116" w:type="dxa"/>
            <w:vAlign w:val="center"/>
          </w:tcPr>
          <w:p>
            <w:pPr>
              <w:jc w:val="center"/>
              <w:rPr>
                <w:b/>
                <w:color w:val="auto"/>
                <w:sz w:val="21"/>
                <w:szCs w:val="21"/>
                <w:highlight w:val="none"/>
              </w:rPr>
            </w:pPr>
          </w:p>
          <w:p>
            <w:pPr>
              <w:jc w:val="center"/>
              <w:rPr>
                <w:b/>
                <w:color w:val="auto"/>
                <w:sz w:val="21"/>
                <w:szCs w:val="21"/>
                <w:highlight w:val="none"/>
              </w:rPr>
            </w:pPr>
            <w:r>
              <w:rPr>
                <w:rFonts w:hint="eastAsia"/>
                <w:b/>
                <w:color w:val="auto"/>
                <w:sz w:val="21"/>
                <w:szCs w:val="21"/>
                <w:highlight w:val="none"/>
              </w:rPr>
              <w:t>事故等级</w:t>
            </w:r>
          </w:p>
        </w:tc>
        <w:tc>
          <w:tcPr>
            <w:tcW w:w="3569" w:type="dxa"/>
            <w:vAlign w:val="center"/>
          </w:tcPr>
          <w:p>
            <w:pPr>
              <w:jc w:val="center"/>
              <w:rPr>
                <w:b/>
                <w:color w:val="auto"/>
                <w:sz w:val="21"/>
                <w:szCs w:val="21"/>
                <w:highlight w:val="none"/>
              </w:rPr>
            </w:pPr>
            <w:r>
              <w:rPr>
                <w:rFonts w:hint="eastAsia"/>
                <w:b/>
                <w:color w:val="auto"/>
                <w:sz w:val="21"/>
                <w:szCs w:val="21"/>
                <w:highlight w:val="none"/>
              </w:rPr>
              <w:t>监测点位</w:t>
            </w:r>
          </w:p>
        </w:tc>
        <w:tc>
          <w:tcPr>
            <w:tcW w:w="1778" w:type="dxa"/>
            <w:vAlign w:val="center"/>
          </w:tcPr>
          <w:p>
            <w:pPr>
              <w:jc w:val="center"/>
              <w:rPr>
                <w:b/>
                <w:color w:val="auto"/>
                <w:sz w:val="21"/>
                <w:szCs w:val="21"/>
                <w:highlight w:val="none"/>
              </w:rPr>
            </w:pPr>
            <w:r>
              <w:rPr>
                <w:rFonts w:hint="eastAsia"/>
                <w:b/>
                <w:color w:val="auto"/>
                <w:sz w:val="21"/>
                <w:szCs w:val="21"/>
                <w:highlight w:val="none"/>
              </w:rPr>
              <w:t>监测频次</w:t>
            </w:r>
          </w:p>
        </w:tc>
        <w:tc>
          <w:tcPr>
            <w:tcW w:w="1778" w:type="dxa"/>
            <w:vAlign w:val="center"/>
          </w:tcPr>
          <w:p>
            <w:pPr>
              <w:jc w:val="center"/>
              <w:rPr>
                <w:b/>
                <w:color w:val="auto"/>
                <w:sz w:val="21"/>
                <w:szCs w:val="21"/>
                <w:highlight w:val="none"/>
              </w:rPr>
            </w:pPr>
            <w:r>
              <w:rPr>
                <w:rFonts w:hint="eastAsia"/>
                <w:b/>
                <w:color w:val="auto"/>
                <w:sz w:val="21"/>
                <w:szCs w:val="21"/>
                <w:highlight w:val="none"/>
              </w:rPr>
              <w:t>追踪监测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2116" w:type="dxa"/>
            <w:vAlign w:val="center"/>
          </w:tcPr>
          <w:p>
            <w:pPr>
              <w:ind w:left="-60" w:leftChars="-25" w:right="-60" w:rightChars="-25"/>
              <w:jc w:val="center"/>
              <w:rPr>
                <w:color w:val="auto"/>
                <w:sz w:val="21"/>
                <w:szCs w:val="21"/>
                <w:highlight w:val="none"/>
              </w:rPr>
            </w:pPr>
            <w:r>
              <w:rPr>
                <w:rFonts w:hint="eastAsia"/>
                <w:color w:val="auto"/>
                <w:sz w:val="21"/>
                <w:szCs w:val="21"/>
                <w:highlight w:val="none"/>
              </w:rPr>
              <w:t>三级事故</w:t>
            </w:r>
          </w:p>
        </w:tc>
        <w:tc>
          <w:tcPr>
            <w:tcW w:w="3569" w:type="dxa"/>
            <w:vAlign w:val="center"/>
          </w:tcPr>
          <w:p>
            <w:pPr>
              <w:ind w:left="-60" w:leftChars="-25" w:right="-60" w:rightChars="-25"/>
              <w:jc w:val="center"/>
              <w:rPr>
                <w:color w:val="auto"/>
                <w:sz w:val="21"/>
                <w:szCs w:val="21"/>
                <w:highlight w:val="none"/>
              </w:rPr>
            </w:pPr>
            <w:r>
              <w:rPr>
                <w:rFonts w:hint="eastAsia"/>
                <w:color w:val="auto"/>
                <w:sz w:val="21"/>
                <w:szCs w:val="21"/>
                <w:highlight w:val="none"/>
              </w:rPr>
              <w:t>厂区雨水、污水排口</w:t>
            </w:r>
          </w:p>
        </w:tc>
        <w:tc>
          <w:tcPr>
            <w:tcW w:w="1778" w:type="dxa"/>
            <w:vMerge w:val="restart"/>
            <w:vAlign w:val="center"/>
          </w:tcPr>
          <w:p>
            <w:pPr>
              <w:ind w:left="-60" w:leftChars="-25" w:right="-60" w:rightChars="-25"/>
              <w:jc w:val="center"/>
              <w:rPr>
                <w:color w:val="auto"/>
                <w:sz w:val="21"/>
                <w:szCs w:val="21"/>
                <w:highlight w:val="none"/>
              </w:rPr>
            </w:pPr>
            <w:r>
              <w:rPr>
                <w:rFonts w:hint="eastAsia"/>
                <w:color w:val="auto"/>
                <w:sz w:val="21"/>
                <w:szCs w:val="21"/>
                <w:highlight w:val="none"/>
              </w:rPr>
              <w:t>连续监测2天，每天2小时采样一次</w:t>
            </w:r>
          </w:p>
        </w:tc>
        <w:tc>
          <w:tcPr>
            <w:tcW w:w="1778" w:type="dxa"/>
            <w:vMerge w:val="restart"/>
            <w:vAlign w:val="center"/>
          </w:tcPr>
          <w:p>
            <w:pPr>
              <w:ind w:left="-60" w:leftChars="-25" w:right="-60" w:rightChars="-25"/>
              <w:jc w:val="center"/>
              <w:rPr>
                <w:color w:val="auto"/>
                <w:sz w:val="21"/>
                <w:szCs w:val="21"/>
                <w:highlight w:val="none"/>
              </w:rPr>
            </w:pPr>
            <w:r>
              <w:rPr>
                <w:rFonts w:hint="eastAsia"/>
                <w:color w:val="auto"/>
                <w:sz w:val="21"/>
                <w:szCs w:val="21"/>
                <w:highlight w:val="none"/>
              </w:rPr>
              <w:t>监测浓度均低于同等级地表水标准值或接近可忽略水平为止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2116" w:type="dxa"/>
            <w:vAlign w:val="center"/>
          </w:tcPr>
          <w:p>
            <w:pPr>
              <w:ind w:left="-60" w:leftChars="-25" w:right="-60" w:rightChars="-25"/>
              <w:jc w:val="center"/>
              <w:rPr>
                <w:color w:val="auto"/>
                <w:sz w:val="21"/>
                <w:szCs w:val="21"/>
                <w:highlight w:val="none"/>
              </w:rPr>
            </w:pPr>
            <w:r>
              <w:rPr>
                <w:rFonts w:hint="eastAsia"/>
                <w:color w:val="auto"/>
                <w:sz w:val="21"/>
                <w:szCs w:val="21"/>
                <w:highlight w:val="none"/>
              </w:rPr>
              <w:t>二级事故</w:t>
            </w:r>
          </w:p>
        </w:tc>
        <w:tc>
          <w:tcPr>
            <w:tcW w:w="3569" w:type="dxa"/>
            <w:vAlign w:val="center"/>
          </w:tcPr>
          <w:p>
            <w:pPr>
              <w:ind w:left="-60" w:leftChars="-25" w:right="-60" w:rightChars="-25"/>
              <w:jc w:val="center"/>
              <w:rPr>
                <w:color w:val="auto"/>
                <w:sz w:val="21"/>
                <w:szCs w:val="21"/>
                <w:highlight w:val="none"/>
              </w:rPr>
            </w:pPr>
            <w:r>
              <w:rPr>
                <w:rFonts w:hint="eastAsia"/>
                <w:color w:val="auto"/>
                <w:sz w:val="21"/>
                <w:szCs w:val="21"/>
                <w:highlight w:val="none"/>
              </w:rPr>
              <w:t>江、河事故发生地</w:t>
            </w:r>
          </w:p>
        </w:tc>
        <w:tc>
          <w:tcPr>
            <w:tcW w:w="1778" w:type="dxa"/>
            <w:vMerge w:val="continue"/>
            <w:vAlign w:val="center"/>
          </w:tcPr>
          <w:p>
            <w:pPr>
              <w:ind w:left="-60" w:leftChars="-25" w:right="-60" w:rightChars="-25"/>
              <w:jc w:val="center"/>
              <w:rPr>
                <w:color w:val="auto"/>
                <w:sz w:val="21"/>
                <w:szCs w:val="21"/>
                <w:highlight w:val="none"/>
              </w:rPr>
            </w:pPr>
          </w:p>
        </w:tc>
        <w:tc>
          <w:tcPr>
            <w:tcW w:w="1778" w:type="dxa"/>
            <w:vMerge w:val="continue"/>
            <w:vAlign w:val="center"/>
          </w:tcPr>
          <w:p>
            <w:pPr>
              <w:ind w:left="-60" w:leftChars="-25" w:right="-60" w:rightChars="-25"/>
              <w:jc w:val="center"/>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2116" w:type="dxa"/>
            <w:vAlign w:val="center"/>
          </w:tcPr>
          <w:p>
            <w:pPr>
              <w:ind w:left="-60" w:leftChars="-25" w:right="-60" w:rightChars="-25"/>
              <w:jc w:val="center"/>
              <w:rPr>
                <w:color w:val="auto"/>
                <w:sz w:val="21"/>
                <w:szCs w:val="21"/>
                <w:highlight w:val="none"/>
              </w:rPr>
            </w:pPr>
            <w:r>
              <w:rPr>
                <w:rFonts w:hint="eastAsia"/>
                <w:color w:val="auto"/>
                <w:sz w:val="21"/>
                <w:szCs w:val="21"/>
                <w:highlight w:val="none"/>
              </w:rPr>
              <w:t>一级事故</w:t>
            </w:r>
          </w:p>
        </w:tc>
        <w:tc>
          <w:tcPr>
            <w:tcW w:w="3569" w:type="dxa"/>
            <w:vAlign w:val="center"/>
          </w:tcPr>
          <w:p>
            <w:pPr>
              <w:ind w:left="-60" w:leftChars="-25" w:right="-60" w:rightChars="-25"/>
              <w:jc w:val="center"/>
              <w:rPr>
                <w:color w:val="auto"/>
                <w:sz w:val="21"/>
                <w:szCs w:val="21"/>
                <w:highlight w:val="none"/>
              </w:rPr>
            </w:pPr>
            <w:r>
              <w:rPr>
                <w:rFonts w:hint="eastAsia"/>
                <w:color w:val="auto"/>
                <w:sz w:val="21"/>
                <w:szCs w:val="21"/>
                <w:highlight w:val="none"/>
              </w:rPr>
              <w:t>江、河事故发生地</w:t>
            </w:r>
          </w:p>
          <w:p>
            <w:pPr>
              <w:ind w:left="-60" w:leftChars="-25" w:right="-60" w:rightChars="-25"/>
              <w:jc w:val="center"/>
              <w:rPr>
                <w:color w:val="auto"/>
                <w:sz w:val="21"/>
                <w:szCs w:val="21"/>
                <w:highlight w:val="none"/>
              </w:rPr>
            </w:pPr>
            <w:r>
              <w:rPr>
                <w:rFonts w:hint="eastAsia"/>
                <w:color w:val="auto"/>
                <w:sz w:val="21"/>
                <w:szCs w:val="21"/>
                <w:highlight w:val="none"/>
              </w:rPr>
              <w:t>事故发生地下游的混合处</w:t>
            </w:r>
          </w:p>
        </w:tc>
        <w:tc>
          <w:tcPr>
            <w:tcW w:w="1778" w:type="dxa"/>
            <w:vMerge w:val="continue"/>
            <w:vAlign w:val="center"/>
          </w:tcPr>
          <w:p>
            <w:pPr>
              <w:ind w:left="-60" w:leftChars="-25" w:right="-60" w:rightChars="-25"/>
              <w:jc w:val="center"/>
              <w:rPr>
                <w:color w:val="auto"/>
                <w:sz w:val="21"/>
                <w:szCs w:val="21"/>
                <w:highlight w:val="none"/>
              </w:rPr>
            </w:pPr>
          </w:p>
        </w:tc>
        <w:tc>
          <w:tcPr>
            <w:tcW w:w="1778" w:type="dxa"/>
            <w:vMerge w:val="continue"/>
            <w:vAlign w:val="center"/>
          </w:tcPr>
          <w:p>
            <w:pPr>
              <w:ind w:left="-60" w:leftChars="-25" w:right="-60" w:rightChars="-25"/>
              <w:jc w:val="center"/>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2116" w:type="dxa"/>
            <w:vAlign w:val="center"/>
          </w:tcPr>
          <w:p>
            <w:pPr>
              <w:ind w:left="-60" w:leftChars="-25" w:right="-60" w:rightChars="-25"/>
              <w:jc w:val="center"/>
              <w:rPr>
                <w:color w:val="auto"/>
                <w:sz w:val="21"/>
                <w:szCs w:val="21"/>
                <w:highlight w:val="none"/>
              </w:rPr>
            </w:pPr>
            <w:r>
              <w:rPr>
                <w:rFonts w:hint="eastAsia"/>
                <w:color w:val="auto"/>
                <w:sz w:val="21"/>
                <w:szCs w:val="21"/>
                <w:highlight w:val="none"/>
              </w:rPr>
              <w:t>事故结束后</w:t>
            </w:r>
          </w:p>
        </w:tc>
        <w:tc>
          <w:tcPr>
            <w:tcW w:w="3569" w:type="dxa"/>
            <w:vAlign w:val="center"/>
          </w:tcPr>
          <w:p>
            <w:pPr>
              <w:ind w:left="-60" w:leftChars="-25" w:right="-60" w:rightChars="-25"/>
              <w:jc w:val="center"/>
              <w:rPr>
                <w:color w:val="auto"/>
                <w:sz w:val="21"/>
                <w:szCs w:val="21"/>
                <w:highlight w:val="none"/>
              </w:rPr>
            </w:pPr>
            <w:r>
              <w:rPr>
                <w:rFonts w:hint="eastAsia"/>
                <w:color w:val="auto"/>
                <w:sz w:val="21"/>
                <w:szCs w:val="21"/>
                <w:highlight w:val="none"/>
              </w:rPr>
              <w:t>厂区雨水、污水排口、</w:t>
            </w:r>
          </w:p>
          <w:p>
            <w:pPr>
              <w:ind w:left="-60" w:leftChars="-25" w:right="-60" w:rightChars="-25"/>
              <w:jc w:val="center"/>
              <w:rPr>
                <w:color w:val="auto"/>
                <w:sz w:val="21"/>
                <w:szCs w:val="21"/>
                <w:highlight w:val="none"/>
              </w:rPr>
            </w:pPr>
            <w:r>
              <w:rPr>
                <w:rFonts w:hint="eastAsia"/>
                <w:color w:val="auto"/>
                <w:sz w:val="21"/>
                <w:szCs w:val="21"/>
                <w:highlight w:val="none"/>
              </w:rPr>
              <w:t>江、河事故发生地，上游的对照点</w:t>
            </w:r>
          </w:p>
        </w:tc>
        <w:tc>
          <w:tcPr>
            <w:tcW w:w="1778" w:type="dxa"/>
            <w:vAlign w:val="center"/>
          </w:tcPr>
          <w:p>
            <w:pPr>
              <w:ind w:left="-60" w:leftChars="-25" w:right="-60" w:rightChars="-25"/>
              <w:jc w:val="center"/>
              <w:rPr>
                <w:color w:val="auto"/>
                <w:sz w:val="21"/>
                <w:szCs w:val="21"/>
                <w:highlight w:val="none"/>
              </w:rPr>
            </w:pPr>
            <w:r>
              <w:rPr>
                <w:rFonts w:hint="eastAsia"/>
                <w:color w:val="auto"/>
                <w:sz w:val="21"/>
                <w:szCs w:val="21"/>
                <w:highlight w:val="none"/>
              </w:rPr>
              <w:t>1次/应急期间</w:t>
            </w:r>
          </w:p>
        </w:tc>
        <w:tc>
          <w:tcPr>
            <w:tcW w:w="1778" w:type="dxa"/>
            <w:vAlign w:val="center"/>
          </w:tcPr>
          <w:p>
            <w:pPr>
              <w:ind w:left="-60" w:leftChars="-25" w:right="-60" w:rightChars="-25"/>
              <w:jc w:val="center"/>
              <w:rPr>
                <w:color w:val="auto"/>
                <w:sz w:val="21"/>
                <w:szCs w:val="21"/>
                <w:highlight w:val="none"/>
              </w:rPr>
            </w:pPr>
            <w:r>
              <w:rPr>
                <w:rFonts w:hint="eastAsia"/>
                <w:color w:val="auto"/>
                <w:sz w:val="21"/>
                <w:szCs w:val="21"/>
                <w:highlight w:val="none"/>
              </w:rPr>
              <w:t>以平行双样数据为准</w:t>
            </w:r>
          </w:p>
        </w:tc>
      </w:tr>
    </w:tbl>
    <w:p>
      <w:pPr>
        <w:pStyle w:val="5"/>
        <w:rPr>
          <w:color w:val="auto"/>
          <w:highlight w:val="none"/>
        </w:rPr>
      </w:pPr>
      <w:bookmarkStart w:id="125" w:name="_Toc3074"/>
      <w:bookmarkStart w:id="126" w:name="_Toc28103283"/>
      <w:r>
        <w:rPr>
          <w:color w:val="auto"/>
          <w:highlight w:val="none"/>
        </w:rPr>
        <w:t>5.</w:t>
      </w:r>
      <w:r>
        <w:rPr>
          <w:rFonts w:hint="eastAsia"/>
          <w:color w:val="auto"/>
          <w:highlight w:val="none"/>
          <w:lang w:val="en-US" w:eastAsia="zh-CN"/>
        </w:rPr>
        <w:t>3</w:t>
      </w:r>
      <w:r>
        <w:rPr>
          <w:color w:val="auto"/>
          <w:highlight w:val="none"/>
        </w:rPr>
        <w:t xml:space="preserve"> 大气环境监测</w:t>
      </w:r>
      <w:bookmarkEnd w:id="125"/>
      <w:bookmarkEnd w:id="126"/>
    </w:p>
    <w:p>
      <w:pPr>
        <w:snapToGrid w:val="0"/>
        <w:spacing w:line="360" w:lineRule="auto"/>
        <w:ind w:firstLine="480" w:firstLineChars="200"/>
        <w:rPr>
          <w:color w:val="auto"/>
          <w:kern w:val="0"/>
          <w:szCs w:val="28"/>
          <w:highlight w:val="none"/>
        </w:rPr>
      </w:pPr>
      <w:r>
        <w:rPr>
          <w:color w:val="auto"/>
          <w:kern w:val="0"/>
          <w:szCs w:val="28"/>
          <w:highlight w:val="none"/>
        </w:rPr>
        <w:t>（1）监测因子</w:t>
      </w:r>
    </w:p>
    <w:p>
      <w:pPr>
        <w:snapToGrid w:val="0"/>
        <w:spacing w:line="360" w:lineRule="auto"/>
        <w:ind w:firstLine="480" w:firstLineChars="200"/>
        <w:rPr>
          <w:rFonts w:ascii="Times New Roman" w:hAnsi="Times New Roman" w:eastAsia="宋体" w:cs="Times New Roman"/>
          <w:color w:val="auto"/>
          <w:kern w:val="0"/>
          <w:szCs w:val="28"/>
          <w:highlight w:val="none"/>
        </w:rPr>
      </w:pPr>
      <w:r>
        <w:rPr>
          <w:rFonts w:ascii="Times New Roman" w:hAnsi="Times New Roman" w:eastAsia="宋体" w:cs="Times New Roman"/>
          <w:color w:val="auto"/>
          <w:kern w:val="0"/>
          <w:szCs w:val="28"/>
          <w:highlight w:val="none"/>
        </w:rPr>
        <w:t>根据事故范围选择适当的监测因子，若发生泄漏事故，则选择原料在生产、</w:t>
      </w:r>
      <w:r>
        <w:rPr>
          <w:rFonts w:hint="eastAsia" w:ascii="Times New Roman" w:hAnsi="Times New Roman" w:eastAsia="宋体" w:cs="Times New Roman"/>
          <w:color w:val="auto"/>
          <w:kern w:val="0"/>
          <w:szCs w:val="28"/>
          <w:highlight w:val="none"/>
        </w:rPr>
        <w:t>储存</w:t>
      </w:r>
      <w:r>
        <w:rPr>
          <w:rFonts w:ascii="Times New Roman" w:hAnsi="Times New Roman" w:eastAsia="宋体" w:cs="Times New Roman"/>
          <w:color w:val="auto"/>
          <w:kern w:val="0"/>
          <w:szCs w:val="28"/>
          <w:highlight w:val="none"/>
        </w:rPr>
        <w:t>过程中的挥发产物以及燃烧产物作为监测因子，见表5.2-1。</w:t>
      </w:r>
    </w:p>
    <w:p>
      <w:pPr>
        <w:snapToGrid w:val="0"/>
        <w:spacing w:line="360" w:lineRule="auto"/>
        <w:ind w:firstLine="480" w:firstLineChars="200"/>
        <w:rPr>
          <w:color w:val="auto"/>
          <w:kern w:val="0"/>
          <w:szCs w:val="28"/>
          <w:highlight w:val="none"/>
        </w:rPr>
      </w:pPr>
    </w:p>
    <w:p>
      <w:pPr>
        <w:pStyle w:val="2"/>
        <w:rPr>
          <w:color w:val="auto"/>
          <w:kern w:val="0"/>
          <w:szCs w:val="28"/>
          <w:highlight w:val="none"/>
        </w:rPr>
      </w:pPr>
    </w:p>
    <w:p>
      <w:pPr>
        <w:pStyle w:val="3"/>
        <w:numPr>
          <w:ilvl w:val="0"/>
          <w:numId w:val="0"/>
        </w:numPr>
        <w:ind w:left="1680" w:leftChars="0"/>
        <w:rPr>
          <w:color w:val="auto"/>
          <w:highlight w:val="none"/>
        </w:rPr>
      </w:pPr>
    </w:p>
    <w:p>
      <w:pPr>
        <w:jc w:val="center"/>
        <w:rPr>
          <w:b/>
          <w:color w:val="auto"/>
          <w:highlight w:val="none"/>
        </w:rPr>
      </w:pPr>
      <w:r>
        <w:rPr>
          <w:b/>
          <w:color w:val="auto"/>
          <w:highlight w:val="none"/>
        </w:rPr>
        <w:t>表</w:t>
      </w:r>
      <w:r>
        <w:rPr>
          <w:rFonts w:hint="eastAsia"/>
          <w:b/>
          <w:color w:val="auto"/>
          <w:highlight w:val="none"/>
        </w:rPr>
        <w:t>5.2</w:t>
      </w:r>
      <w:r>
        <w:rPr>
          <w:b/>
          <w:color w:val="auto"/>
          <w:highlight w:val="none"/>
        </w:rPr>
        <w:t>-</w:t>
      </w:r>
      <w:r>
        <w:rPr>
          <w:rFonts w:hint="eastAsia"/>
          <w:b/>
          <w:color w:val="auto"/>
          <w:highlight w:val="none"/>
        </w:rPr>
        <w:t>1</w:t>
      </w:r>
      <w:r>
        <w:rPr>
          <w:b/>
          <w:color w:val="auto"/>
          <w:highlight w:val="none"/>
        </w:rPr>
        <w:t xml:space="preserve">  大气环境监测因子</w:t>
      </w:r>
    </w:p>
    <w:tbl>
      <w:tblPr>
        <w:tblStyle w:val="20"/>
        <w:tblW w:w="932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3260"/>
        <w:gridCol w:w="1701"/>
        <w:gridCol w:w="170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1101" w:type="dxa"/>
            <w:vAlign w:val="center"/>
          </w:tcPr>
          <w:p>
            <w:pPr>
              <w:spacing w:before="120" w:beforeLines="50"/>
              <w:jc w:val="center"/>
              <w:rPr>
                <w:b/>
                <w:color w:val="auto"/>
                <w:sz w:val="21"/>
                <w:szCs w:val="21"/>
                <w:highlight w:val="none"/>
              </w:rPr>
            </w:pPr>
            <w:r>
              <w:rPr>
                <w:b/>
                <w:color w:val="auto"/>
                <w:sz w:val="21"/>
                <w:szCs w:val="21"/>
                <w:highlight w:val="none"/>
              </w:rPr>
              <w:t>类别</w:t>
            </w:r>
          </w:p>
        </w:tc>
        <w:tc>
          <w:tcPr>
            <w:tcW w:w="1559" w:type="dxa"/>
            <w:vAlign w:val="center"/>
          </w:tcPr>
          <w:p>
            <w:pPr>
              <w:spacing w:before="120" w:beforeLines="50"/>
              <w:jc w:val="center"/>
              <w:rPr>
                <w:b/>
                <w:color w:val="auto"/>
                <w:sz w:val="21"/>
                <w:szCs w:val="21"/>
                <w:highlight w:val="none"/>
              </w:rPr>
            </w:pPr>
            <w:r>
              <w:rPr>
                <w:b/>
                <w:color w:val="auto"/>
                <w:sz w:val="21"/>
                <w:szCs w:val="21"/>
                <w:highlight w:val="none"/>
              </w:rPr>
              <w:t>名称</w:t>
            </w:r>
          </w:p>
        </w:tc>
        <w:tc>
          <w:tcPr>
            <w:tcW w:w="3260" w:type="dxa"/>
            <w:vAlign w:val="center"/>
          </w:tcPr>
          <w:p>
            <w:pPr>
              <w:spacing w:before="120" w:beforeLines="50"/>
              <w:jc w:val="center"/>
              <w:rPr>
                <w:b/>
                <w:color w:val="auto"/>
                <w:sz w:val="21"/>
                <w:szCs w:val="21"/>
                <w:highlight w:val="none"/>
              </w:rPr>
            </w:pPr>
            <w:r>
              <w:rPr>
                <w:b/>
                <w:color w:val="auto"/>
                <w:sz w:val="21"/>
                <w:szCs w:val="21"/>
                <w:highlight w:val="none"/>
              </w:rPr>
              <w:t>涉及物质</w:t>
            </w:r>
          </w:p>
        </w:tc>
        <w:tc>
          <w:tcPr>
            <w:tcW w:w="1701" w:type="dxa"/>
            <w:vAlign w:val="center"/>
          </w:tcPr>
          <w:p>
            <w:pPr>
              <w:spacing w:before="120" w:beforeLines="50"/>
              <w:jc w:val="center"/>
              <w:rPr>
                <w:b/>
                <w:color w:val="auto"/>
                <w:sz w:val="21"/>
                <w:szCs w:val="21"/>
                <w:highlight w:val="none"/>
              </w:rPr>
            </w:pPr>
            <w:r>
              <w:rPr>
                <w:rFonts w:hint="eastAsia"/>
                <w:b/>
                <w:color w:val="auto"/>
                <w:sz w:val="21"/>
                <w:szCs w:val="21"/>
                <w:highlight w:val="none"/>
              </w:rPr>
              <w:t>事故类型</w:t>
            </w:r>
          </w:p>
        </w:tc>
        <w:tc>
          <w:tcPr>
            <w:tcW w:w="1701" w:type="dxa"/>
          </w:tcPr>
          <w:p>
            <w:pPr>
              <w:spacing w:before="120" w:beforeLines="50"/>
              <w:jc w:val="center"/>
              <w:rPr>
                <w:b/>
                <w:color w:val="auto"/>
                <w:sz w:val="21"/>
                <w:szCs w:val="21"/>
                <w:highlight w:val="none"/>
              </w:rPr>
            </w:pPr>
            <w:r>
              <w:rPr>
                <w:rFonts w:hint="eastAsia"/>
                <w:b/>
                <w:color w:val="auto"/>
                <w:sz w:val="21"/>
                <w:szCs w:val="21"/>
                <w:highlight w:val="none"/>
              </w:rPr>
              <w:t>监测因子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1101" w:type="dxa"/>
            <w:vMerge w:val="restart"/>
            <w:vAlign w:val="center"/>
          </w:tcPr>
          <w:p>
            <w:pPr>
              <w:ind w:left="-60" w:leftChars="-25" w:right="-60" w:rightChars="-25"/>
              <w:jc w:val="center"/>
              <w:rPr>
                <w:color w:val="auto"/>
                <w:sz w:val="21"/>
                <w:szCs w:val="21"/>
                <w:highlight w:val="none"/>
              </w:rPr>
            </w:pPr>
            <w:r>
              <w:rPr>
                <w:color w:val="auto"/>
                <w:spacing w:val="-20"/>
                <w:sz w:val="21"/>
                <w:szCs w:val="21"/>
                <w:highlight w:val="none"/>
              </w:rPr>
              <w:t>生产车间</w:t>
            </w:r>
          </w:p>
        </w:tc>
        <w:tc>
          <w:tcPr>
            <w:tcW w:w="1559"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lang w:val="en-US" w:eastAsia="zh-CN"/>
              </w:rPr>
              <w:t>镀铬生产线</w:t>
            </w:r>
          </w:p>
        </w:tc>
        <w:tc>
          <w:tcPr>
            <w:tcW w:w="3260"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lang w:val="en-US" w:eastAsia="zh-CN"/>
              </w:rPr>
              <w:t>镀铬起镀液</w:t>
            </w:r>
          </w:p>
        </w:tc>
        <w:tc>
          <w:tcPr>
            <w:tcW w:w="1701"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泄漏、环境污染</w:t>
            </w:r>
          </w:p>
        </w:tc>
        <w:tc>
          <w:tcPr>
            <w:tcW w:w="1701" w:type="dxa"/>
          </w:tcPr>
          <w:p>
            <w:pPr>
              <w:spacing w:before="120" w:beforeLines="50"/>
              <w:ind w:left="-60" w:leftChars="-25" w:right="-60" w:rightChars="-25"/>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铬酸雾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1101" w:type="dxa"/>
            <w:vMerge w:val="continue"/>
            <w:vAlign w:val="center"/>
          </w:tcPr>
          <w:p>
            <w:pPr>
              <w:ind w:left="-60" w:leftChars="-25" w:right="-60" w:rightChars="-25"/>
              <w:jc w:val="center"/>
              <w:rPr>
                <w:color w:val="auto"/>
                <w:spacing w:val="-20"/>
                <w:sz w:val="21"/>
                <w:szCs w:val="21"/>
                <w:highlight w:val="none"/>
              </w:rPr>
            </w:pPr>
          </w:p>
        </w:tc>
        <w:tc>
          <w:tcPr>
            <w:tcW w:w="1559" w:type="dxa"/>
            <w:vAlign w:val="center"/>
          </w:tcPr>
          <w:p>
            <w:pPr>
              <w:spacing w:before="120" w:beforeLines="50"/>
              <w:ind w:left="-60" w:leftChars="-25" w:right="-60" w:rightChars="-25"/>
              <w:jc w:val="center"/>
              <w:rPr>
                <w:rFonts w:hint="eastAsia"/>
                <w:color w:val="auto"/>
                <w:sz w:val="21"/>
                <w:szCs w:val="21"/>
                <w:highlight w:val="none"/>
                <w:lang w:val="en-US" w:eastAsia="zh-CN"/>
              </w:rPr>
            </w:pPr>
            <w:r>
              <w:rPr>
                <w:rFonts w:hint="eastAsia"/>
                <w:color w:val="auto"/>
                <w:sz w:val="21"/>
                <w:szCs w:val="21"/>
                <w:highlight w:val="none"/>
              </w:rPr>
              <w:t>实验室</w:t>
            </w:r>
          </w:p>
        </w:tc>
        <w:tc>
          <w:tcPr>
            <w:tcW w:w="3260" w:type="dxa"/>
            <w:vAlign w:val="center"/>
          </w:tcPr>
          <w:p>
            <w:pPr>
              <w:spacing w:before="120" w:beforeLines="50"/>
              <w:ind w:left="-60" w:leftChars="-25" w:right="-60" w:rightChars="-25"/>
              <w:jc w:val="center"/>
              <w:rPr>
                <w:rFonts w:hint="eastAsia"/>
                <w:color w:val="auto"/>
                <w:sz w:val="21"/>
                <w:szCs w:val="21"/>
                <w:highlight w:val="none"/>
                <w:lang w:val="en-US" w:eastAsia="zh-CN"/>
              </w:rPr>
            </w:pPr>
            <w:r>
              <w:rPr>
                <w:rFonts w:hint="eastAsia"/>
                <w:color w:val="auto"/>
                <w:sz w:val="21"/>
                <w:szCs w:val="21"/>
                <w:highlight w:val="none"/>
              </w:rPr>
              <w:t>硫酸、盐酸</w:t>
            </w:r>
          </w:p>
        </w:tc>
        <w:tc>
          <w:tcPr>
            <w:tcW w:w="1701" w:type="dxa"/>
            <w:vAlign w:val="center"/>
          </w:tcPr>
          <w:p>
            <w:pPr>
              <w:spacing w:before="120" w:beforeLines="50"/>
              <w:ind w:left="-60" w:leftChars="-25" w:right="-60" w:rightChars="-25"/>
              <w:jc w:val="center"/>
              <w:rPr>
                <w:rFonts w:hint="default" w:eastAsia="宋体"/>
                <w:color w:val="auto"/>
                <w:sz w:val="21"/>
                <w:szCs w:val="21"/>
                <w:highlight w:val="none"/>
                <w:lang w:val="en-US" w:eastAsia="zh-CN"/>
              </w:rPr>
            </w:pPr>
            <w:r>
              <w:rPr>
                <w:rFonts w:hint="eastAsia"/>
                <w:color w:val="auto"/>
                <w:sz w:val="21"/>
                <w:szCs w:val="21"/>
                <w:highlight w:val="none"/>
              </w:rPr>
              <w:t>泄漏、环境污染</w:t>
            </w:r>
            <w:r>
              <w:rPr>
                <w:rFonts w:hint="eastAsia"/>
                <w:color w:val="auto"/>
                <w:sz w:val="21"/>
                <w:szCs w:val="21"/>
                <w:highlight w:val="none"/>
                <w:lang w:eastAsia="zh-CN"/>
              </w:rPr>
              <w:t>、</w:t>
            </w:r>
            <w:r>
              <w:rPr>
                <w:rFonts w:hint="eastAsia"/>
                <w:color w:val="auto"/>
                <w:sz w:val="21"/>
                <w:szCs w:val="21"/>
                <w:highlight w:val="none"/>
                <w:lang w:val="en-US" w:eastAsia="zh-CN"/>
              </w:rPr>
              <w:t>火灾</w:t>
            </w:r>
          </w:p>
        </w:tc>
        <w:tc>
          <w:tcPr>
            <w:tcW w:w="1701" w:type="dxa"/>
          </w:tcPr>
          <w:p>
            <w:pPr>
              <w:spacing w:before="120" w:beforeLines="50"/>
              <w:ind w:left="-60" w:leftChars="-25" w:right="-60" w:rightChars="-25"/>
              <w:jc w:val="center"/>
              <w:rPr>
                <w:rFonts w:hint="eastAsia" w:eastAsia="宋体"/>
                <w:color w:val="auto"/>
                <w:sz w:val="21"/>
                <w:szCs w:val="21"/>
                <w:highlight w:val="none"/>
                <w:lang w:val="en-US" w:eastAsia="zh-CN"/>
              </w:rPr>
            </w:pPr>
            <w:r>
              <w:rPr>
                <w:rFonts w:hint="eastAsia"/>
                <w:color w:val="auto"/>
                <w:sz w:val="21"/>
                <w:szCs w:val="21"/>
                <w:highlight w:val="none"/>
              </w:rPr>
              <w:t>硫酸雾、氯化氢</w:t>
            </w:r>
            <w:r>
              <w:rPr>
                <w:rFonts w:hint="eastAsia"/>
                <w:color w:val="auto"/>
                <w:sz w:val="21"/>
                <w:szCs w:val="21"/>
                <w:highlight w:val="none"/>
                <w:lang w:eastAsia="zh-CN"/>
              </w:rPr>
              <w:t>、</w:t>
            </w:r>
            <w:r>
              <w:rPr>
                <w:rFonts w:hint="eastAsia"/>
                <w:color w:val="auto"/>
                <w:sz w:val="21"/>
                <w:szCs w:val="21"/>
                <w:highlight w:val="none"/>
              </w:rPr>
              <w:t>烟尘、二氧化硫、氮氧化物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1101" w:type="dxa"/>
            <w:vAlign w:val="center"/>
          </w:tcPr>
          <w:p>
            <w:pPr>
              <w:ind w:left="-60" w:leftChars="-25" w:right="-60" w:rightChars="-25"/>
              <w:jc w:val="center"/>
              <w:rPr>
                <w:color w:val="auto"/>
                <w:spacing w:val="-20"/>
                <w:sz w:val="21"/>
                <w:szCs w:val="21"/>
                <w:highlight w:val="none"/>
              </w:rPr>
            </w:pPr>
            <w:r>
              <w:rPr>
                <w:color w:val="auto"/>
                <w:spacing w:val="-20"/>
                <w:sz w:val="21"/>
                <w:szCs w:val="21"/>
                <w:highlight w:val="none"/>
              </w:rPr>
              <w:t>贮运工程</w:t>
            </w:r>
          </w:p>
        </w:tc>
        <w:tc>
          <w:tcPr>
            <w:tcW w:w="1559"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lang w:val="en-US" w:eastAsia="zh-CN"/>
              </w:rPr>
              <w:t>酸性库</w:t>
            </w:r>
          </w:p>
        </w:tc>
        <w:tc>
          <w:tcPr>
            <w:tcW w:w="3260"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lang w:val="en-US" w:eastAsia="zh-CN"/>
              </w:rPr>
              <w:t>镀铬起镀液、</w:t>
            </w:r>
            <w:r>
              <w:rPr>
                <w:rFonts w:hint="eastAsia"/>
                <w:color w:val="auto"/>
                <w:sz w:val="21"/>
                <w:szCs w:val="21"/>
                <w:highlight w:val="none"/>
              </w:rPr>
              <w:t>硫酸、盐酸</w:t>
            </w:r>
            <w:r>
              <w:rPr>
                <w:rFonts w:hint="eastAsia"/>
                <w:color w:val="auto"/>
                <w:sz w:val="21"/>
                <w:szCs w:val="21"/>
                <w:highlight w:val="none"/>
                <w:lang w:eastAsia="zh-CN"/>
              </w:rPr>
              <w:t>、</w:t>
            </w:r>
            <w:r>
              <w:rPr>
                <w:rFonts w:hint="eastAsia"/>
                <w:color w:val="auto"/>
                <w:sz w:val="21"/>
                <w:szCs w:val="21"/>
                <w:highlight w:val="none"/>
                <w:lang w:val="en-US" w:eastAsia="zh-CN"/>
              </w:rPr>
              <w:t>脱脂剂（喷淋清洗剂）</w:t>
            </w:r>
          </w:p>
        </w:tc>
        <w:tc>
          <w:tcPr>
            <w:tcW w:w="1701"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rPr>
              <w:t>泄漏、环境污染</w:t>
            </w:r>
            <w:r>
              <w:rPr>
                <w:rFonts w:hint="eastAsia"/>
                <w:color w:val="auto"/>
                <w:sz w:val="21"/>
                <w:szCs w:val="21"/>
                <w:highlight w:val="none"/>
                <w:lang w:eastAsia="zh-CN"/>
              </w:rPr>
              <w:t>、</w:t>
            </w:r>
            <w:r>
              <w:rPr>
                <w:rFonts w:hint="eastAsia"/>
                <w:color w:val="auto"/>
                <w:sz w:val="21"/>
                <w:szCs w:val="21"/>
                <w:highlight w:val="none"/>
                <w:lang w:val="en-US" w:eastAsia="zh-CN"/>
              </w:rPr>
              <w:t>火灾</w:t>
            </w:r>
          </w:p>
        </w:tc>
        <w:tc>
          <w:tcPr>
            <w:tcW w:w="1701" w:type="dxa"/>
            <w:vAlign w:val="center"/>
          </w:tcPr>
          <w:p>
            <w:pPr>
              <w:spacing w:before="120" w:beforeLines="50"/>
              <w:ind w:left="-60" w:leftChars="-25" w:right="-60" w:rightChars="-25"/>
              <w:jc w:val="center"/>
              <w:rPr>
                <w:color w:val="auto"/>
                <w:sz w:val="21"/>
                <w:szCs w:val="21"/>
                <w:highlight w:val="none"/>
              </w:rPr>
            </w:pPr>
            <w:r>
              <w:rPr>
                <w:rFonts w:hint="eastAsia"/>
                <w:color w:val="auto"/>
                <w:sz w:val="21"/>
                <w:szCs w:val="21"/>
                <w:highlight w:val="none"/>
                <w:lang w:val="en-US" w:eastAsia="zh-CN"/>
              </w:rPr>
              <w:t>铬酸雾、</w:t>
            </w:r>
            <w:r>
              <w:rPr>
                <w:rFonts w:hint="eastAsia"/>
                <w:color w:val="auto"/>
                <w:sz w:val="21"/>
                <w:szCs w:val="21"/>
                <w:highlight w:val="none"/>
              </w:rPr>
              <w:t>硫酸雾、氯化氢</w:t>
            </w:r>
            <w:r>
              <w:rPr>
                <w:rFonts w:hint="eastAsia"/>
                <w:color w:val="auto"/>
                <w:sz w:val="21"/>
                <w:szCs w:val="21"/>
                <w:highlight w:val="none"/>
                <w:lang w:eastAsia="zh-CN"/>
              </w:rPr>
              <w:t>、</w:t>
            </w:r>
            <w:r>
              <w:rPr>
                <w:rFonts w:hint="eastAsia"/>
                <w:color w:val="auto"/>
                <w:sz w:val="21"/>
                <w:szCs w:val="21"/>
                <w:highlight w:val="none"/>
              </w:rPr>
              <w:t>烟尘、二氧化硫、氮氧化物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1101" w:type="dxa"/>
            <w:vMerge w:val="restart"/>
            <w:vAlign w:val="center"/>
          </w:tcPr>
          <w:p>
            <w:pPr>
              <w:ind w:left="-60" w:leftChars="-25" w:right="-60" w:rightChars="-25"/>
              <w:jc w:val="center"/>
              <w:rPr>
                <w:rFonts w:hint="default" w:eastAsia="宋体"/>
                <w:color w:val="auto"/>
                <w:spacing w:val="-20"/>
                <w:sz w:val="21"/>
                <w:szCs w:val="21"/>
                <w:highlight w:val="none"/>
                <w:lang w:val="en-US" w:eastAsia="zh-CN"/>
              </w:rPr>
            </w:pPr>
            <w:r>
              <w:rPr>
                <w:rFonts w:hint="eastAsia"/>
                <w:color w:val="auto"/>
                <w:spacing w:val="-20"/>
                <w:sz w:val="21"/>
                <w:szCs w:val="21"/>
                <w:highlight w:val="none"/>
                <w:lang w:val="en-US" w:eastAsia="zh-CN"/>
              </w:rPr>
              <w:t>环保工程</w:t>
            </w:r>
          </w:p>
        </w:tc>
        <w:tc>
          <w:tcPr>
            <w:tcW w:w="1559" w:type="dxa"/>
            <w:vAlign w:val="center"/>
          </w:tcPr>
          <w:p>
            <w:pPr>
              <w:spacing w:before="120" w:beforeLines="50"/>
              <w:ind w:left="-60" w:leftChars="-25" w:right="-60" w:rightChars="-25"/>
              <w:jc w:val="center"/>
              <w:rPr>
                <w:rFonts w:hint="eastAsia"/>
                <w:color w:val="auto"/>
                <w:sz w:val="21"/>
                <w:szCs w:val="21"/>
                <w:highlight w:val="none"/>
              </w:rPr>
            </w:pPr>
            <w:r>
              <w:rPr>
                <w:rFonts w:hint="eastAsia"/>
                <w:color w:val="auto"/>
                <w:sz w:val="21"/>
                <w:szCs w:val="21"/>
                <w:highlight w:val="none"/>
                <w:lang w:val="en-US" w:eastAsia="zh-CN"/>
              </w:rPr>
              <w:t>废气处理</w:t>
            </w:r>
          </w:p>
        </w:tc>
        <w:tc>
          <w:tcPr>
            <w:tcW w:w="3260" w:type="dxa"/>
            <w:vAlign w:val="center"/>
          </w:tcPr>
          <w:p>
            <w:pPr>
              <w:spacing w:before="120" w:beforeLines="50"/>
              <w:ind w:left="-60" w:leftChars="-25" w:right="-60" w:rightChars="-25"/>
              <w:jc w:val="center"/>
              <w:rPr>
                <w:rFonts w:hint="eastAsia"/>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rPr>
              <w:t>铬酸雾、硫酸雾、氯化氢</w:t>
            </w:r>
          </w:p>
        </w:tc>
        <w:tc>
          <w:tcPr>
            <w:tcW w:w="1701" w:type="dxa"/>
            <w:vAlign w:val="center"/>
          </w:tcPr>
          <w:p>
            <w:pPr>
              <w:spacing w:before="120" w:beforeLines="50"/>
              <w:ind w:left="-60" w:leftChars="-25" w:right="-60" w:rightChars="-25"/>
              <w:jc w:val="center"/>
              <w:rPr>
                <w:rFonts w:hint="eastAsia"/>
                <w:color w:val="auto"/>
                <w:sz w:val="21"/>
                <w:szCs w:val="21"/>
                <w:highlight w:val="none"/>
              </w:rPr>
            </w:pPr>
            <w:r>
              <w:rPr>
                <w:rFonts w:hint="eastAsia"/>
                <w:color w:val="auto"/>
                <w:sz w:val="21"/>
                <w:szCs w:val="21"/>
                <w:highlight w:val="none"/>
              </w:rPr>
              <w:t>事故排放、环境污染</w:t>
            </w:r>
          </w:p>
        </w:tc>
        <w:tc>
          <w:tcPr>
            <w:tcW w:w="1701" w:type="dxa"/>
            <w:vAlign w:val="top"/>
          </w:tcPr>
          <w:p>
            <w:pPr>
              <w:spacing w:before="120" w:beforeLines="50"/>
              <w:ind w:left="-60" w:leftChars="-25" w:right="-60" w:rightChars="-25"/>
              <w:jc w:val="center"/>
              <w:rPr>
                <w:rFonts w:hint="eastAsia"/>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rPr>
              <w:t>铬酸雾、硫酸雾、氯化氢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1101" w:type="dxa"/>
            <w:vMerge w:val="continue"/>
            <w:vAlign w:val="center"/>
          </w:tcPr>
          <w:p>
            <w:pPr>
              <w:ind w:left="-60" w:leftChars="-25" w:right="-60" w:rightChars="-25"/>
              <w:jc w:val="center"/>
              <w:rPr>
                <w:rFonts w:hint="eastAsia"/>
                <w:color w:val="auto"/>
                <w:spacing w:val="-20"/>
                <w:sz w:val="21"/>
                <w:szCs w:val="21"/>
                <w:highlight w:val="none"/>
                <w:lang w:val="en-US" w:eastAsia="zh-CN"/>
              </w:rPr>
            </w:pPr>
          </w:p>
        </w:tc>
        <w:tc>
          <w:tcPr>
            <w:tcW w:w="1559" w:type="dxa"/>
            <w:vAlign w:val="center"/>
          </w:tcPr>
          <w:p>
            <w:pPr>
              <w:spacing w:before="120" w:beforeLines="50"/>
              <w:ind w:left="-60" w:leftChars="-25" w:right="-60" w:rightChars="-25"/>
              <w:jc w:val="center"/>
              <w:rPr>
                <w:rFonts w:hint="eastAsia"/>
                <w:color w:val="auto"/>
                <w:sz w:val="21"/>
                <w:szCs w:val="21"/>
                <w:highlight w:val="none"/>
                <w:lang w:val="en-US" w:eastAsia="zh-CN"/>
              </w:rPr>
            </w:pPr>
            <w:r>
              <w:rPr>
                <w:rFonts w:hint="eastAsia"/>
                <w:color w:val="auto"/>
                <w:sz w:val="21"/>
                <w:szCs w:val="21"/>
                <w:highlight w:val="none"/>
              </w:rPr>
              <w:t>危废仓库</w:t>
            </w:r>
          </w:p>
        </w:tc>
        <w:tc>
          <w:tcPr>
            <w:tcW w:w="3260" w:type="dxa"/>
            <w:vAlign w:val="center"/>
          </w:tcPr>
          <w:p>
            <w:pPr>
              <w:spacing w:before="120" w:beforeLines="50"/>
              <w:ind w:left="-60" w:leftChars="-25" w:right="-60" w:rightChars="-25"/>
              <w:jc w:val="center"/>
              <w:rPr>
                <w:rFonts w:hint="eastAsia"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废弃劳保用品</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废包装袋</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废机油</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废滤芯</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废水处理RO膜等</w:t>
            </w:r>
          </w:p>
        </w:tc>
        <w:tc>
          <w:tcPr>
            <w:tcW w:w="1701" w:type="dxa"/>
            <w:vAlign w:val="center"/>
          </w:tcPr>
          <w:p>
            <w:pPr>
              <w:spacing w:before="120" w:beforeLines="50"/>
              <w:ind w:left="-60" w:leftChars="-25" w:right="-60" w:rightChars="-25"/>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火灾</w:t>
            </w:r>
          </w:p>
        </w:tc>
        <w:tc>
          <w:tcPr>
            <w:tcW w:w="1701" w:type="dxa"/>
            <w:vAlign w:val="top"/>
          </w:tcPr>
          <w:p>
            <w:pPr>
              <w:spacing w:before="120" w:beforeLines="50"/>
              <w:ind w:left="-60" w:leftChars="-25" w:right="-60" w:rightChars="-25"/>
              <w:jc w:val="center"/>
              <w:rPr>
                <w:rFonts w:hint="default" w:ascii="Times New Roman" w:hAnsi="Times New Roman" w:eastAsia="宋体" w:cs="Times New Roman"/>
                <w:color w:val="auto"/>
                <w:kern w:val="0"/>
                <w:sz w:val="21"/>
                <w:szCs w:val="21"/>
                <w:highlight w:val="none"/>
                <w:lang w:val="en-US" w:eastAsia="zh-CN"/>
              </w:rPr>
            </w:pPr>
            <w:r>
              <w:rPr>
                <w:rFonts w:hint="eastAsia"/>
                <w:color w:val="auto"/>
                <w:sz w:val="21"/>
                <w:szCs w:val="21"/>
                <w:highlight w:val="none"/>
              </w:rPr>
              <w:t>烟尘、二氧化硫、氮氧化物</w:t>
            </w:r>
            <w:r>
              <w:rPr>
                <w:rFonts w:hint="eastAsia"/>
                <w:color w:val="auto"/>
                <w:sz w:val="21"/>
                <w:szCs w:val="21"/>
                <w:highlight w:val="none"/>
                <w:lang w:eastAsia="zh-CN"/>
              </w:rPr>
              <w:t>、</w:t>
            </w:r>
            <w:r>
              <w:rPr>
                <w:rFonts w:hint="eastAsia"/>
                <w:color w:val="auto"/>
                <w:sz w:val="21"/>
                <w:szCs w:val="21"/>
                <w:highlight w:val="none"/>
                <w:lang w:val="en-US" w:eastAsia="zh-CN"/>
              </w:rPr>
              <w:t>一氧化碳</w:t>
            </w:r>
          </w:p>
        </w:tc>
      </w:tr>
    </w:tbl>
    <w:p>
      <w:pPr>
        <w:numPr>
          <w:ilvl w:val="0"/>
          <w:numId w:val="5"/>
        </w:numPr>
        <w:snapToGrid w:val="0"/>
        <w:spacing w:before="120" w:beforeLines="50" w:line="360" w:lineRule="auto"/>
        <w:ind w:firstLine="480" w:firstLineChars="200"/>
        <w:rPr>
          <w:color w:val="auto"/>
          <w:kern w:val="0"/>
          <w:szCs w:val="28"/>
          <w:highlight w:val="none"/>
        </w:rPr>
      </w:pPr>
      <w:r>
        <w:rPr>
          <w:rFonts w:hint="eastAsia"/>
          <w:color w:val="auto"/>
          <w:kern w:val="0"/>
          <w:szCs w:val="28"/>
          <w:highlight w:val="none"/>
        </w:rPr>
        <w:t>大气监测点布设、</w:t>
      </w:r>
      <w:r>
        <w:rPr>
          <w:color w:val="auto"/>
          <w:kern w:val="0"/>
          <w:szCs w:val="28"/>
          <w:highlight w:val="none"/>
        </w:rPr>
        <w:t>监测时间和频次</w:t>
      </w:r>
    </w:p>
    <w:p>
      <w:pPr>
        <w:snapToGrid w:val="0"/>
        <w:spacing w:line="360" w:lineRule="auto"/>
        <w:ind w:firstLine="480" w:firstLineChars="200"/>
        <w:rPr>
          <w:rFonts w:ascii="Times New Roman" w:hAnsi="Times New Roman"/>
          <w:color w:val="auto"/>
          <w:kern w:val="0"/>
          <w:szCs w:val="28"/>
          <w:highlight w:val="none"/>
        </w:rPr>
      </w:pPr>
      <w:r>
        <w:rPr>
          <w:rFonts w:hint="default" w:ascii="Times New Roman" w:hAnsi="Times New Roman" w:cs="Times New Roman"/>
          <w:color w:val="auto"/>
          <w:kern w:val="0"/>
          <w:szCs w:val="28"/>
          <w:highlight w:val="none"/>
        </w:rPr>
        <w:t>按照事故持续时间决定监测时间，根据事故严重性决定监测频次</w:t>
      </w:r>
      <w:r>
        <w:rPr>
          <w:rFonts w:hint="eastAsia"/>
          <w:color w:val="auto"/>
          <w:kern w:val="0"/>
          <w:szCs w:val="28"/>
          <w:highlight w:val="none"/>
          <w:lang w:val="en-US" w:eastAsia="zh-CN"/>
        </w:rPr>
        <w:t>详见下表</w:t>
      </w:r>
      <w:r>
        <w:rPr>
          <w:rFonts w:ascii="Times New Roman" w:hAnsi="Times New Roman"/>
          <w:color w:val="auto"/>
          <w:kern w:val="0"/>
          <w:szCs w:val="28"/>
          <w:highlight w:val="none"/>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b/>
          <w:color w:val="auto"/>
          <w:highlight w:val="none"/>
          <w:lang w:val="en-US" w:eastAsia="zh-CN"/>
        </w:rPr>
      </w:pPr>
      <w:r>
        <w:rPr>
          <w:rFonts w:ascii="Times New Roman" w:hAnsi="Times New Roman"/>
          <w:b/>
          <w:color w:val="auto"/>
          <w:highlight w:val="none"/>
        </w:rPr>
        <w:t>表</w:t>
      </w:r>
      <w:r>
        <w:rPr>
          <w:rFonts w:hint="eastAsia" w:ascii="Times New Roman" w:hAnsi="Times New Roman"/>
          <w:b/>
          <w:color w:val="auto"/>
          <w:highlight w:val="none"/>
          <w:lang w:val="en-US" w:eastAsia="zh-CN"/>
        </w:rPr>
        <w:t>5.2-2</w:t>
      </w:r>
      <w:r>
        <w:rPr>
          <w:rFonts w:ascii="Times New Roman" w:hAnsi="Times New Roman"/>
          <w:b/>
          <w:color w:val="auto"/>
          <w:highlight w:val="none"/>
        </w:rPr>
        <w:t xml:space="preserve">  </w:t>
      </w:r>
      <w:r>
        <w:rPr>
          <w:rFonts w:hint="eastAsia"/>
          <w:b/>
          <w:color w:val="auto"/>
          <w:highlight w:val="none"/>
          <w:lang w:val="en-US" w:eastAsia="zh-CN"/>
        </w:rPr>
        <w:t>大气</w:t>
      </w:r>
      <w:r>
        <w:rPr>
          <w:rFonts w:ascii="Times New Roman" w:hAnsi="Times New Roman"/>
          <w:b/>
          <w:color w:val="auto"/>
          <w:highlight w:val="none"/>
        </w:rPr>
        <w:t>环境监测因子</w:t>
      </w:r>
      <w:r>
        <w:rPr>
          <w:rFonts w:hint="eastAsia"/>
          <w:b/>
          <w:color w:val="auto"/>
          <w:highlight w:val="none"/>
          <w:lang w:val="en-US" w:eastAsia="zh-CN"/>
        </w:rPr>
        <w:t>监测频次及点位</w:t>
      </w:r>
    </w:p>
    <w:tbl>
      <w:tblPr>
        <w:tblStyle w:val="20"/>
        <w:tblW w:w="4997"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3410"/>
        <w:gridCol w:w="2088"/>
        <w:gridCol w:w="208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893" w:type="pct"/>
            <w:vAlign w:val="center"/>
          </w:tcPr>
          <w:p>
            <w:pPr>
              <w:jc w:val="center"/>
              <w:rPr>
                <w:b/>
                <w:color w:val="auto"/>
                <w:sz w:val="21"/>
                <w:szCs w:val="21"/>
                <w:highlight w:val="none"/>
              </w:rPr>
            </w:pPr>
            <w:r>
              <w:rPr>
                <w:rFonts w:hint="eastAsia"/>
                <w:b/>
                <w:color w:val="auto"/>
                <w:sz w:val="21"/>
                <w:szCs w:val="21"/>
                <w:highlight w:val="none"/>
              </w:rPr>
              <w:t>事故等级</w:t>
            </w:r>
          </w:p>
        </w:tc>
        <w:tc>
          <w:tcPr>
            <w:tcW w:w="1845" w:type="pct"/>
            <w:vAlign w:val="center"/>
          </w:tcPr>
          <w:p>
            <w:pPr>
              <w:jc w:val="center"/>
              <w:rPr>
                <w:b/>
                <w:color w:val="auto"/>
                <w:sz w:val="21"/>
                <w:szCs w:val="21"/>
                <w:highlight w:val="none"/>
              </w:rPr>
            </w:pPr>
            <w:r>
              <w:rPr>
                <w:rFonts w:hint="eastAsia"/>
                <w:b/>
                <w:color w:val="auto"/>
                <w:sz w:val="21"/>
                <w:szCs w:val="21"/>
                <w:highlight w:val="none"/>
              </w:rPr>
              <w:t>监测点位</w:t>
            </w:r>
          </w:p>
        </w:tc>
        <w:tc>
          <w:tcPr>
            <w:tcW w:w="1130" w:type="pct"/>
            <w:vAlign w:val="center"/>
          </w:tcPr>
          <w:p>
            <w:pPr>
              <w:jc w:val="center"/>
              <w:rPr>
                <w:b/>
                <w:color w:val="auto"/>
                <w:sz w:val="21"/>
                <w:szCs w:val="21"/>
                <w:highlight w:val="none"/>
              </w:rPr>
            </w:pPr>
            <w:r>
              <w:rPr>
                <w:rFonts w:hint="eastAsia"/>
                <w:b/>
                <w:color w:val="auto"/>
                <w:sz w:val="21"/>
                <w:szCs w:val="21"/>
                <w:highlight w:val="none"/>
              </w:rPr>
              <w:t>监测频次</w:t>
            </w:r>
          </w:p>
        </w:tc>
        <w:tc>
          <w:tcPr>
            <w:tcW w:w="1130" w:type="pct"/>
            <w:vAlign w:val="center"/>
          </w:tcPr>
          <w:p>
            <w:pPr>
              <w:jc w:val="center"/>
              <w:rPr>
                <w:b/>
                <w:color w:val="auto"/>
                <w:sz w:val="21"/>
                <w:szCs w:val="21"/>
                <w:highlight w:val="none"/>
              </w:rPr>
            </w:pPr>
            <w:r>
              <w:rPr>
                <w:rFonts w:hint="eastAsia"/>
                <w:b/>
                <w:color w:val="auto"/>
                <w:sz w:val="21"/>
                <w:szCs w:val="21"/>
                <w:highlight w:val="none"/>
              </w:rPr>
              <w:t>追踪监测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893" w:type="pct"/>
            <w:vAlign w:val="center"/>
          </w:tcPr>
          <w:p>
            <w:pPr>
              <w:ind w:left="-60" w:leftChars="-25" w:right="-60" w:rightChars="-25"/>
              <w:jc w:val="center"/>
              <w:rPr>
                <w:color w:val="auto"/>
                <w:sz w:val="21"/>
                <w:szCs w:val="21"/>
                <w:highlight w:val="none"/>
              </w:rPr>
            </w:pPr>
            <w:r>
              <w:rPr>
                <w:rFonts w:hint="eastAsia"/>
                <w:color w:val="auto"/>
                <w:sz w:val="21"/>
                <w:szCs w:val="21"/>
                <w:highlight w:val="none"/>
              </w:rPr>
              <w:t>三级事故</w:t>
            </w:r>
          </w:p>
        </w:tc>
        <w:tc>
          <w:tcPr>
            <w:tcW w:w="1845" w:type="pct"/>
            <w:vAlign w:val="center"/>
          </w:tcPr>
          <w:p>
            <w:pPr>
              <w:ind w:left="-60" w:leftChars="-25" w:right="-60" w:rightChars="-25"/>
              <w:jc w:val="center"/>
              <w:rPr>
                <w:color w:val="auto"/>
                <w:sz w:val="21"/>
                <w:szCs w:val="21"/>
                <w:highlight w:val="none"/>
              </w:rPr>
            </w:pPr>
            <w:r>
              <w:rPr>
                <w:rFonts w:hint="eastAsia"/>
                <w:color w:val="auto"/>
                <w:sz w:val="21"/>
                <w:szCs w:val="21"/>
                <w:highlight w:val="none"/>
              </w:rPr>
              <w:t>废气排放口、事故发生地、污染物浓度最大处</w:t>
            </w:r>
          </w:p>
        </w:tc>
        <w:tc>
          <w:tcPr>
            <w:tcW w:w="1130" w:type="pct"/>
            <w:vMerge w:val="restart"/>
            <w:vAlign w:val="center"/>
          </w:tcPr>
          <w:p>
            <w:pPr>
              <w:ind w:left="-60" w:leftChars="-25" w:right="-60" w:rightChars="-25"/>
              <w:jc w:val="center"/>
              <w:rPr>
                <w:color w:val="auto"/>
                <w:sz w:val="21"/>
                <w:szCs w:val="21"/>
                <w:highlight w:val="none"/>
              </w:rPr>
            </w:pPr>
            <w:r>
              <w:rPr>
                <w:rFonts w:hint="eastAsia"/>
                <w:color w:val="auto"/>
                <w:sz w:val="21"/>
                <w:szCs w:val="21"/>
                <w:highlight w:val="none"/>
              </w:rPr>
              <w:t>连续监测2天，每天2小时采样一次</w:t>
            </w:r>
          </w:p>
        </w:tc>
        <w:tc>
          <w:tcPr>
            <w:tcW w:w="1130" w:type="pct"/>
            <w:vMerge w:val="restart"/>
            <w:vAlign w:val="center"/>
          </w:tcPr>
          <w:p>
            <w:pPr>
              <w:ind w:left="-60" w:leftChars="-25" w:right="-60" w:rightChars="-25"/>
              <w:jc w:val="center"/>
              <w:rPr>
                <w:color w:val="auto"/>
                <w:sz w:val="21"/>
                <w:szCs w:val="21"/>
                <w:highlight w:val="none"/>
              </w:rPr>
            </w:pPr>
            <w:r>
              <w:rPr>
                <w:rFonts w:hint="eastAsia"/>
                <w:color w:val="auto"/>
                <w:sz w:val="21"/>
                <w:szCs w:val="21"/>
                <w:highlight w:val="none"/>
              </w:rPr>
              <w:t>连续监测2次浓度低于环境空气质量标准值或已接近可忽略水平为止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893" w:type="pct"/>
            <w:vAlign w:val="center"/>
          </w:tcPr>
          <w:p>
            <w:pPr>
              <w:ind w:left="-60" w:leftChars="-25" w:right="-60" w:rightChars="-25"/>
              <w:jc w:val="center"/>
              <w:rPr>
                <w:color w:val="auto"/>
                <w:sz w:val="21"/>
                <w:szCs w:val="21"/>
                <w:highlight w:val="none"/>
              </w:rPr>
            </w:pPr>
            <w:r>
              <w:rPr>
                <w:rFonts w:hint="eastAsia"/>
                <w:color w:val="auto"/>
                <w:sz w:val="21"/>
                <w:szCs w:val="21"/>
                <w:highlight w:val="none"/>
              </w:rPr>
              <w:t>二级事故</w:t>
            </w:r>
          </w:p>
        </w:tc>
        <w:tc>
          <w:tcPr>
            <w:tcW w:w="1845" w:type="pct"/>
            <w:vAlign w:val="center"/>
          </w:tcPr>
          <w:p>
            <w:pPr>
              <w:ind w:left="-60" w:leftChars="-25" w:right="-60" w:rightChars="-25"/>
              <w:jc w:val="center"/>
              <w:rPr>
                <w:color w:val="auto"/>
                <w:sz w:val="21"/>
                <w:szCs w:val="21"/>
                <w:highlight w:val="none"/>
              </w:rPr>
            </w:pPr>
            <w:r>
              <w:rPr>
                <w:rFonts w:hint="eastAsia"/>
                <w:color w:val="auto"/>
                <w:sz w:val="21"/>
                <w:szCs w:val="21"/>
                <w:highlight w:val="none"/>
              </w:rPr>
              <w:t>事故发生地最近的居民居住区或其他敏感区</w:t>
            </w:r>
          </w:p>
        </w:tc>
        <w:tc>
          <w:tcPr>
            <w:tcW w:w="1130" w:type="pct"/>
            <w:vMerge w:val="continue"/>
            <w:vAlign w:val="center"/>
          </w:tcPr>
          <w:p>
            <w:pPr>
              <w:ind w:left="-60" w:leftChars="-25" w:right="-60" w:rightChars="-25"/>
              <w:jc w:val="center"/>
              <w:rPr>
                <w:color w:val="auto"/>
                <w:sz w:val="21"/>
                <w:szCs w:val="21"/>
                <w:highlight w:val="none"/>
              </w:rPr>
            </w:pPr>
          </w:p>
        </w:tc>
        <w:tc>
          <w:tcPr>
            <w:tcW w:w="1130" w:type="pct"/>
            <w:vMerge w:val="continue"/>
            <w:vAlign w:val="center"/>
          </w:tcPr>
          <w:p>
            <w:pPr>
              <w:ind w:left="-60" w:leftChars="-25" w:right="-60" w:rightChars="-25"/>
              <w:jc w:val="center"/>
              <w:rPr>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893" w:type="pct"/>
            <w:vAlign w:val="center"/>
          </w:tcPr>
          <w:p>
            <w:pPr>
              <w:ind w:left="-60" w:leftChars="-25" w:right="-60" w:rightChars="-25"/>
              <w:jc w:val="center"/>
              <w:rPr>
                <w:color w:val="auto"/>
                <w:sz w:val="21"/>
                <w:szCs w:val="21"/>
                <w:highlight w:val="none"/>
              </w:rPr>
            </w:pPr>
            <w:r>
              <w:rPr>
                <w:rFonts w:hint="eastAsia"/>
                <w:color w:val="auto"/>
                <w:sz w:val="21"/>
                <w:szCs w:val="21"/>
                <w:highlight w:val="none"/>
              </w:rPr>
              <w:t>一级事故</w:t>
            </w:r>
          </w:p>
        </w:tc>
        <w:tc>
          <w:tcPr>
            <w:tcW w:w="1845" w:type="pct"/>
            <w:vAlign w:val="center"/>
          </w:tcPr>
          <w:p>
            <w:pPr>
              <w:ind w:left="-60" w:leftChars="-25" w:right="-60" w:rightChars="-25"/>
              <w:jc w:val="center"/>
              <w:rPr>
                <w:color w:val="auto"/>
                <w:sz w:val="21"/>
                <w:szCs w:val="21"/>
                <w:highlight w:val="none"/>
              </w:rPr>
            </w:pPr>
            <w:r>
              <w:rPr>
                <w:rFonts w:hint="eastAsia"/>
                <w:color w:val="auto"/>
                <w:sz w:val="21"/>
                <w:szCs w:val="21"/>
                <w:highlight w:val="none"/>
              </w:rPr>
              <w:t>事故发生地的下风向</w:t>
            </w:r>
          </w:p>
        </w:tc>
        <w:tc>
          <w:tcPr>
            <w:tcW w:w="1130" w:type="pct"/>
            <w:vMerge w:val="continue"/>
            <w:vAlign w:val="center"/>
          </w:tcPr>
          <w:p>
            <w:pPr>
              <w:ind w:left="-60" w:leftChars="-25" w:right="-60" w:rightChars="-25"/>
              <w:jc w:val="center"/>
              <w:rPr>
                <w:color w:val="auto"/>
                <w:sz w:val="21"/>
                <w:szCs w:val="21"/>
                <w:highlight w:val="none"/>
              </w:rPr>
            </w:pPr>
          </w:p>
        </w:tc>
        <w:tc>
          <w:tcPr>
            <w:tcW w:w="1130" w:type="pct"/>
            <w:vAlign w:val="center"/>
          </w:tcPr>
          <w:p>
            <w:pPr>
              <w:ind w:left="-60" w:leftChars="-25" w:right="-60" w:rightChars="-25"/>
              <w:jc w:val="center"/>
              <w:rPr>
                <w:color w:val="auto"/>
                <w:sz w:val="21"/>
                <w:szCs w:val="21"/>
                <w:highlight w:val="none"/>
              </w:rPr>
            </w:pPr>
            <w:r>
              <w:rPr>
                <w:rFonts w:hint="eastAsia"/>
                <w:color w:val="auto"/>
                <w:sz w:val="21"/>
                <w:szCs w:val="21"/>
                <w:highlight w:val="none"/>
              </w:rPr>
              <w:t>连续监测2-3天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blHeader/>
        </w:trPr>
        <w:tc>
          <w:tcPr>
            <w:tcW w:w="893" w:type="pct"/>
            <w:vAlign w:val="center"/>
          </w:tcPr>
          <w:p>
            <w:pPr>
              <w:ind w:left="-60" w:leftChars="-25" w:right="-60" w:rightChars="-25"/>
              <w:jc w:val="center"/>
              <w:rPr>
                <w:color w:val="auto"/>
                <w:sz w:val="21"/>
                <w:szCs w:val="21"/>
                <w:highlight w:val="none"/>
              </w:rPr>
            </w:pPr>
            <w:r>
              <w:rPr>
                <w:rFonts w:hint="eastAsia"/>
                <w:color w:val="auto"/>
                <w:sz w:val="21"/>
                <w:szCs w:val="21"/>
                <w:highlight w:val="none"/>
              </w:rPr>
              <w:t>事故结束后</w:t>
            </w:r>
          </w:p>
        </w:tc>
        <w:tc>
          <w:tcPr>
            <w:tcW w:w="1845" w:type="pct"/>
            <w:vAlign w:val="center"/>
          </w:tcPr>
          <w:p>
            <w:pPr>
              <w:ind w:left="-60" w:leftChars="-25" w:right="-60" w:rightChars="-25"/>
              <w:jc w:val="center"/>
              <w:rPr>
                <w:color w:val="auto"/>
                <w:sz w:val="21"/>
                <w:szCs w:val="21"/>
                <w:highlight w:val="none"/>
              </w:rPr>
            </w:pPr>
            <w:r>
              <w:rPr>
                <w:rFonts w:hint="eastAsia"/>
                <w:color w:val="auto"/>
                <w:sz w:val="21"/>
                <w:szCs w:val="21"/>
                <w:highlight w:val="none"/>
              </w:rPr>
              <w:t>废气排放口、事故发生地上风向的对照点</w:t>
            </w:r>
          </w:p>
        </w:tc>
        <w:tc>
          <w:tcPr>
            <w:tcW w:w="1130" w:type="pct"/>
            <w:vAlign w:val="center"/>
          </w:tcPr>
          <w:p>
            <w:pPr>
              <w:ind w:left="-60" w:leftChars="-25" w:right="-60" w:rightChars="-25"/>
              <w:jc w:val="center"/>
              <w:rPr>
                <w:color w:val="auto"/>
                <w:sz w:val="21"/>
                <w:szCs w:val="21"/>
                <w:highlight w:val="none"/>
              </w:rPr>
            </w:pPr>
            <w:r>
              <w:rPr>
                <w:rFonts w:hint="eastAsia"/>
                <w:color w:val="auto"/>
                <w:sz w:val="21"/>
                <w:szCs w:val="21"/>
                <w:highlight w:val="none"/>
              </w:rPr>
              <w:t>2次/应急期间</w:t>
            </w:r>
          </w:p>
        </w:tc>
        <w:tc>
          <w:tcPr>
            <w:tcW w:w="1130" w:type="pct"/>
            <w:vAlign w:val="center"/>
          </w:tcPr>
          <w:p>
            <w:pPr>
              <w:ind w:left="-60" w:leftChars="-25" w:right="-60" w:rightChars="-25"/>
              <w:jc w:val="center"/>
              <w:rPr>
                <w:color w:val="auto"/>
                <w:sz w:val="21"/>
                <w:szCs w:val="21"/>
                <w:highlight w:val="none"/>
              </w:rPr>
            </w:pPr>
            <w:r>
              <w:rPr>
                <w:rFonts w:hint="eastAsia"/>
                <w:color w:val="auto"/>
                <w:sz w:val="21"/>
                <w:szCs w:val="21"/>
                <w:highlight w:val="none"/>
              </w:rPr>
              <w:t>/</w:t>
            </w:r>
          </w:p>
        </w:tc>
      </w:tr>
    </w:tbl>
    <w:p>
      <w:pPr>
        <w:adjustRightInd w:val="0"/>
        <w:snapToGrid w:val="0"/>
        <w:spacing w:line="360" w:lineRule="auto"/>
        <w:ind w:firstLine="480" w:firstLineChars="200"/>
        <w:rPr>
          <w:color w:val="auto"/>
          <w:kern w:val="0"/>
          <w:szCs w:val="28"/>
          <w:highlight w:val="none"/>
        </w:rPr>
      </w:pPr>
      <w:r>
        <w:rPr>
          <w:color w:val="auto"/>
          <w:kern w:val="0"/>
          <w:szCs w:val="28"/>
          <w:highlight w:val="none"/>
        </w:rPr>
        <w:t>（</w:t>
      </w:r>
      <w:r>
        <w:rPr>
          <w:rFonts w:hint="eastAsia"/>
          <w:color w:val="auto"/>
          <w:kern w:val="0"/>
          <w:szCs w:val="28"/>
          <w:highlight w:val="none"/>
        </w:rPr>
        <w:t>3</w:t>
      </w:r>
      <w:r>
        <w:rPr>
          <w:color w:val="auto"/>
          <w:kern w:val="0"/>
          <w:szCs w:val="28"/>
          <w:highlight w:val="none"/>
        </w:rPr>
        <w:t>）监测方法</w:t>
      </w:r>
    </w:p>
    <w:p>
      <w:pPr>
        <w:snapToGrid w:val="0"/>
        <w:spacing w:line="360" w:lineRule="auto"/>
        <w:ind w:firstLine="480" w:firstLineChars="200"/>
        <w:rPr>
          <w:color w:val="auto"/>
          <w:highlight w:val="none"/>
        </w:rPr>
      </w:pPr>
      <w:r>
        <w:rPr>
          <w:color w:val="auto"/>
          <w:highlight w:val="none"/>
        </w:rPr>
        <w:t>参见《突发环境事件应急监测技术规范》（HJ589-20</w:t>
      </w:r>
      <w:r>
        <w:rPr>
          <w:rFonts w:hint="eastAsia"/>
          <w:color w:val="auto"/>
          <w:highlight w:val="none"/>
          <w:lang w:val="en-US" w:eastAsia="zh-CN"/>
        </w:rPr>
        <w:t>21</w:t>
      </w:r>
      <w:r>
        <w:rPr>
          <w:color w:val="auto"/>
          <w:highlight w:val="none"/>
        </w:rPr>
        <w:t>），现场应急监测分析方法、实验室监测分析方法由监测单位根据泄漏物质按国家相关技术要求进行监测。</w:t>
      </w:r>
    </w:p>
    <w:p>
      <w:pPr>
        <w:jc w:val="center"/>
        <w:rPr>
          <w:b/>
          <w:color w:val="auto"/>
          <w:highlight w:val="none"/>
        </w:rPr>
      </w:pPr>
      <w:r>
        <w:rPr>
          <w:b/>
          <w:color w:val="auto"/>
          <w:highlight w:val="none"/>
        </w:rPr>
        <w:t>表</w:t>
      </w:r>
      <w:r>
        <w:rPr>
          <w:rFonts w:hint="eastAsia"/>
          <w:b/>
          <w:color w:val="auto"/>
          <w:highlight w:val="none"/>
        </w:rPr>
        <w:t>5.2-</w:t>
      </w:r>
      <w:r>
        <w:rPr>
          <w:rFonts w:hint="eastAsia"/>
          <w:b/>
          <w:color w:val="auto"/>
          <w:highlight w:val="none"/>
          <w:lang w:val="en-US" w:eastAsia="zh-CN"/>
        </w:rPr>
        <w:t>3</w:t>
      </w:r>
      <w:r>
        <w:rPr>
          <w:b/>
          <w:color w:val="auto"/>
          <w:highlight w:val="none"/>
        </w:rPr>
        <w:t xml:space="preserve">   现场应急监测分析方法及方法来源</w:t>
      </w:r>
    </w:p>
    <w:tbl>
      <w:tblPr>
        <w:tblStyle w:val="20"/>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566"/>
        <w:gridCol w:w="3663"/>
        <w:gridCol w:w="24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Align w:val="center"/>
          </w:tcPr>
          <w:p>
            <w:pPr>
              <w:jc w:val="center"/>
              <w:rPr>
                <w:b/>
                <w:color w:val="auto"/>
                <w:sz w:val="21"/>
                <w:szCs w:val="21"/>
                <w:highlight w:val="none"/>
              </w:rPr>
            </w:pPr>
            <w:r>
              <w:rPr>
                <w:b/>
                <w:color w:val="auto"/>
                <w:sz w:val="21"/>
                <w:szCs w:val="21"/>
                <w:highlight w:val="none"/>
              </w:rPr>
              <w:t>污染源类别</w:t>
            </w:r>
          </w:p>
        </w:tc>
        <w:tc>
          <w:tcPr>
            <w:tcW w:w="1566" w:type="dxa"/>
            <w:vAlign w:val="center"/>
          </w:tcPr>
          <w:p>
            <w:pPr>
              <w:jc w:val="center"/>
              <w:rPr>
                <w:b/>
                <w:color w:val="auto"/>
                <w:sz w:val="21"/>
                <w:szCs w:val="21"/>
                <w:highlight w:val="none"/>
              </w:rPr>
            </w:pPr>
            <w:r>
              <w:rPr>
                <w:b/>
                <w:color w:val="auto"/>
                <w:sz w:val="21"/>
                <w:szCs w:val="21"/>
                <w:highlight w:val="none"/>
              </w:rPr>
              <w:t>监测项目</w:t>
            </w:r>
          </w:p>
        </w:tc>
        <w:tc>
          <w:tcPr>
            <w:tcW w:w="3663" w:type="dxa"/>
            <w:vAlign w:val="center"/>
          </w:tcPr>
          <w:p>
            <w:pPr>
              <w:jc w:val="center"/>
              <w:rPr>
                <w:b/>
                <w:color w:val="auto"/>
                <w:sz w:val="21"/>
                <w:szCs w:val="21"/>
                <w:highlight w:val="none"/>
              </w:rPr>
            </w:pPr>
            <w:r>
              <w:rPr>
                <w:b/>
                <w:color w:val="auto"/>
                <w:sz w:val="21"/>
                <w:szCs w:val="21"/>
                <w:highlight w:val="none"/>
              </w:rPr>
              <w:t>现场应急监测分析方法或设备</w:t>
            </w:r>
          </w:p>
        </w:tc>
        <w:tc>
          <w:tcPr>
            <w:tcW w:w="2410" w:type="dxa"/>
            <w:vAlign w:val="center"/>
          </w:tcPr>
          <w:p>
            <w:pPr>
              <w:jc w:val="center"/>
              <w:rPr>
                <w:b/>
                <w:color w:val="auto"/>
                <w:sz w:val="21"/>
                <w:szCs w:val="21"/>
                <w:highlight w:val="none"/>
              </w:rPr>
            </w:pPr>
            <w:r>
              <w:rPr>
                <w:b/>
                <w:color w:val="auto"/>
                <w:sz w:val="21"/>
                <w:szCs w:val="21"/>
                <w:highlight w:val="none"/>
              </w:rPr>
              <w:t>方法来源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restart"/>
            <w:vAlign w:val="center"/>
          </w:tcPr>
          <w:p>
            <w:pPr>
              <w:jc w:val="center"/>
              <w:rPr>
                <w:color w:val="auto"/>
                <w:sz w:val="21"/>
                <w:szCs w:val="21"/>
                <w:highlight w:val="none"/>
              </w:rPr>
            </w:pPr>
            <w:r>
              <w:rPr>
                <w:color w:val="auto"/>
                <w:sz w:val="21"/>
                <w:szCs w:val="21"/>
                <w:highlight w:val="none"/>
              </w:rPr>
              <w:t>大气污染物</w:t>
            </w:r>
          </w:p>
        </w:tc>
        <w:tc>
          <w:tcPr>
            <w:tcW w:w="1566" w:type="dxa"/>
            <w:vAlign w:val="center"/>
          </w:tcPr>
          <w:p>
            <w:pPr>
              <w:jc w:val="center"/>
              <w:rPr>
                <w:color w:val="auto"/>
                <w:sz w:val="21"/>
                <w:szCs w:val="21"/>
                <w:highlight w:val="none"/>
              </w:rPr>
            </w:pPr>
            <w:r>
              <w:rPr>
                <w:rFonts w:hint="eastAsia"/>
                <w:color w:val="auto"/>
                <w:sz w:val="21"/>
                <w:szCs w:val="21"/>
                <w:highlight w:val="none"/>
              </w:rPr>
              <w:t>颗粒物</w:t>
            </w:r>
          </w:p>
        </w:tc>
        <w:tc>
          <w:tcPr>
            <w:tcW w:w="3663" w:type="dxa"/>
            <w:vAlign w:val="center"/>
          </w:tcPr>
          <w:p>
            <w:pPr>
              <w:jc w:val="center"/>
              <w:rPr>
                <w:color w:val="auto"/>
                <w:sz w:val="21"/>
                <w:szCs w:val="21"/>
                <w:highlight w:val="none"/>
              </w:rPr>
            </w:pPr>
            <w:r>
              <w:rPr>
                <w:rFonts w:hint="eastAsia"/>
                <w:color w:val="auto"/>
                <w:sz w:val="21"/>
                <w:szCs w:val="21"/>
                <w:highlight w:val="none"/>
              </w:rPr>
              <w:t>重量法</w:t>
            </w:r>
          </w:p>
        </w:tc>
        <w:tc>
          <w:tcPr>
            <w:tcW w:w="2410" w:type="dxa"/>
            <w:vAlign w:val="center"/>
          </w:tcPr>
          <w:p>
            <w:pPr>
              <w:jc w:val="center"/>
              <w:rPr>
                <w:color w:val="auto"/>
                <w:sz w:val="21"/>
                <w:szCs w:val="21"/>
                <w:highlight w:val="none"/>
              </w:rPr>
            </w:pPr>
            <w:r>
              <w:rPr>
                <w:color w:val="auto"/>
                <w:sz w:val="21"/>
                <w:szCs w:val="21"/>
                <w:highlight w:val="none"/>
              </w:rPr>
              <w:t>HJ618-2011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color w:val="auto"/>
                <w:sz w:val="21"/>
                <w:szCs w:val="21"/>
                <w:highlight w:val="none"/>
              </w:rPr>
            </w:pPr>
            <w:r>
              <w:rPr>
                <w:rFonts w:hint="eastAsia"/>
                <w:color w:val="auto"/>
                <w:sz w:val="21"/>
                <w:szCs w:val="21"/>
                <w:highlight w:val="none"/>
              </w:rPr>
              <w:t>二氧化硫</w:t>
            </w:r>
          </w:p>
        </w:tc>
        <w:tc>
          <w:tcPr>
            <w:tcW w:w="3663" w:type="dxa"/>
            <w:vAlign w:val="center"/>
          </w:tcPr>
          <w:p>
            <w:pPr>
              <w:jc w:val="center"/>
              <w:rPr>
                <w:color w:val="auto"/>
                <w:sz w:val="21"/>
                <w:szCs w:val="21"/>
                <w:highlight w:val="none"/>
              </w:rPr>
            </w:pPr>
            <w:r>
              <w:rPr>
                <w:color w:val="auto"/>
                <w:sz w:val="21"/>
                <w:szCs w:val="21"/>
                <w:highlight w:val="none"/>
              </w:rPr>
              <w:t>甲醛吸收</w:t>
            </w:r>
            <w:r>
              <w:rPr>
                <w:rFonts w:hint="eastAsia"/>
                <w:color w:val="auto"/>
                <w:sz w:val="21"/>
                <w:szCs w:val="21"/>
                <w:highlight w:val="none"/>
              </w:rPr>
              <w:t>—副玫瑰苯胺分光光度法</w:t>
            </w:r>
          </w:p>
        </w:tc>
        <w:tc>
          <w:tcPr>
            <w:tcW w:w="2410" w:type="dxa"/>
            <w:vAlign w:val="center"/>
          </w:tcPr>
          <w:p>
            <w:pPr>
              <w:jc w:val="center"/>
              <w:rPr>
                <w:color w:val="auto"/>
                <w:sz w:val="21"/>
                <w:szCs w:val="21"/>
                <w:highlight w:val="none"/>
              </w:rPr>
            </w:pPr>
            <w:r>
              <w:rPr>
                <w:rFonts w:hint="eastAsia"/>
                <w:color w:val="auto"/>
                <w:sz w:val="21"/>
                <w:szCs w:val="21"/>
                <w:highlight w:val="none"/>
              </w:rPr>
              <w:t>GB/T 15262-94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color w:val="auto"/>
                <w:sz w:val="21"/>
                <w:szCs w:val="21"/>
                <w:highlight w:val="none"/>
              </w:rPr>
            </w:pPr>
            <w:r>
              <w:rPr>
                <w:rFonts w:hint="eastAsia"/>
                <w:color w:val="auto"/>
                <w:sz w:val="21"/>
                <w:szCs w:val="21"/>
                <w:highlight w:val="none"/>
              </w:rPr>
              <w:t>氮氧化物</w:t>
            </w:r>
          </w:p>
        </w:tc>
        <w:tc>
          <w:tcPr>
            <w:tcW w:w="3663" w:type="dxa"/>
            <w:vAlign w:val="center"/>
          </w:tcPr>
          <w:p>
            <w:pPr>
              <w:jc w:val="center"/>
              <w:rPr>
                <w:color w:val="auto"/>
                <w:sz w:val="21"/>
                <w:szCs w:val="21"/>
                <w:highlight w:val="none"/>
              </w:rPr>
            </w:pPr>
            <w:r>
              <w:rPr>
                <w:rFonts w:hint="eastAsia"/>
                <w:color w:val="auto"/>
                <w:sz w:val="21"/>
                <w:szCs w:val="21"/>
                <w:highlight w:val="none"/>
              </w:rPr>
              <w:t>盐酸萘乙二胺分光光度法</w:t>
            </w:r>
          </w:p>
        </w:tc>
        <w:tc>
          <w:tcPr>
            <w:tcW w:w="2410" w:type="dxa"/>
            <w:vAlign w:val="center"/>
          </w:tcPr>
          <w:p>
            <w:pPr>
              <w:jc w:val="center"/>
              <w:rPr>
                <w:color w:val="auto"/>
                <w:sz w:val="21"/>
                <w:szCs w:val="21"/>
                <w:highlight w:val="none"/>
              </w:rPr>
            </w:pPr>
            <w:r>
              <w:rPr>
                <w:rFonts w:hint="eastAsia"/>
                <w:color w:val="auto"/>
                <w:sz w:val="21"/>
                <w:szCs w:val="21"/>
                <w:highlight w:val="none"/>
              </w:rPr>
              <w:t>HJ544-2016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color w:val="auto"/>
                <w:sz w:val="21"/>
                <w:szCs w:val="21"/>
                <w:highlight w:val="none"/>
              </w:rPr>
            </w:pPr>
            <w:r>
              <w:rPr>
                <w:rFonts w:hint="eastAsia"/>
                <w:color w:val="auto"/>
                <w:sz w:val="21"/>
                <w:szCs w:val="21"/>
                <w:highlight w:val="none"/>
              </w:rPr>
              <w:t>硫酸雾</w:t>
            </w:r>
          </w:p>
        </w:tc>
        <w:tc>
          <w:tcPr>
            <w:tcW w:w="3663" w:type="dxa"/>
            <w:vAlign w:val="center"/>
          </w:tcPr>
          <w:p>
            <w:pPr>
              <w:jc w:val="center"/>
              <w:rPr>
                <w:color w:val="auto"/>
                <w:sz w:val="21"/>
                <w:szCs w:val="21"/>
                <w:highlight w:val="none"/>
              </w:rPr>
            </w:pPr>
            <w:r>
              <w:rPr>
                <w:rFonts w:hint="eastAsia"/>
                <w:color w:val="auto"/>
                <w:sz w:val="21"/>
                <w:szCs w:val="21"/>
                <w:highlight w:val="none"/>
              </w:rPr>
              <w:t>离子色谱法</w:t>
            </w:r>
          </w:p>
        </w:tc>
        <w:tc>
          <w:tcPr>
            <w:tcW w:w="2410" w:type="dxa"/>
            <w:vAlign w:val="center"/>
          </w:tcPr>
          <w:p>
            <w:pPr>
              <w:jc w:val="center"/>
              <w:rPr>
                <w:color w:val="auto"/>
                <w:sz w:val="21"/>
                <w:szCs w:val="21"/>
                <w:highlight w:val="none"/>
              </w:rPr>
            </w:pPr>
            <w:r>
              <w:rPr>
                <w:rFonts w:hint="eastAsia"/>
                <w:color w:val="auto"/>
                <w:sz w:val="21"/>
                <w:szCs w:val="21"/>
                <w:highlight w:val="none"/>
              </w:rPr>
              <w:t>HJ544-2016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color w:val="auto"/>
                <w:sz w:val="21"/>
                <w:szCs w:val="21"/>
                <w:highlight w:val="none"/>
              </w:rPr>
            </w:pPr>
            <w:r>
              <w:rPr>
                <w:rFonts w:hint="eastAsia"/>
                <w:color w:val="auto"/>
                <w:sz w:val="21"/>
                <w:szCs w:val="21"/>
                <w:highlight w:val="none"/>
              </w:rPr>
              <w:t>氯化氢</w:t>
            </w:r>
          </w:p>
        </w:tc>
        <w:tc>
          <w:tcPr>
            <w:tcW w:w="3663" w:type="dxa"/>
            <w:vAlign w:val="center"/>
          </w:tcPr>
          <w:p>
            <w:pPr>
              <w:jc w:val="center"/>
              <w:rPr>
                <w:color w:val="auto"/>
                <w:sz w:val="21"/>
                <w:szCs w:val="21"/>
                <w:highlight w:val="none"/>
              </w:rPr>
            </w:pPr>
            <w:r>
              <w:rPr>
                <w:rFonts w:hint="eastAsia"/>
                <w:color w:val="auto"/>
                <w:sz w:val="21"/>
                <w:szCs w:val="21"/>
                <w:highlight w:val="none"/>
              </w:rPr>
              <w:t>离子色谱法</w:t>
            </w:r>
          </w:p>
        </w:tc>
        <w:tc>
          <w:tcPr>
            <w:tcW w:w="2410" w:type="dxa"/>
            <w:vAlign w:val="center"/>
          </w:tcPr>
          <w:p>
            <w:pPr>
              <w:jc w:val="center"/>
              <w:rPr>
                <w:color w:val="auto"/>
                <w:sz w:val="21"/>
                <w:szCs w:val="21"/>
                <w:highlight w:val="none"/>
              </w:rPr>
            </w:pPr>
            <w:r>
              <w:rPr>
                <w:rFonts w:hint="eastAsia"/>
                <w:color w:val="auto"/>
                <w:sz w:val="21"/>
                <w:szCs w:val="21"/>
                <w:highlight w:val="none"/>
              </w:rPr>
              <w:t>HJ549-2009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铬酸雾</w:t>
            </w:r>
          </w:p>
        </w:tc>
        <w:tc>
          <w:tcPr>
            <w:tcW w:w="3663"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二苯基碳酰二肼分光光度法 </w:t>
            </w:r>
          </w:p>
        </w:tc>
        <w:tc>
          <w:tcPr>
            <w:tcW w:w="2410" w:type="dxa"/>
            <w:vAlign w:val="center"/>
          </w:tcPr>
          <w:p>
            <w:pPr>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rPr>
              <w:t xml:space="preserve">HJ/T 29 </w:t>
            </w:r>
            <w:r>
              <w:rPr>
                <w:rFonts w:hint="eastAsia" w:ascii="Times New Roman" w:hAnsi="Times New Roman" w:eastAsia="宋体" w:cs="Times New Roman"/>
                <w:color w:val="auto"/>
                <w:sz w:val="21"/>
                <w:szCs w:val="21"/>
                <w:highlight w:val="none"/>
                <w:lang w:val="en-US" w:eastAsia="zh-CN"/>
              </w:rPr>
              <w:t>-1999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一氧化碳</w:t>
            </w:r>
          </w:p>
        </w:tc>
        <w:tc>
          <w:tcPr>
            <w:tcW w:w="3663"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 xml:space="preserve">非分散红外法 </w:t>
            </w:r>
          </w:p>
        </w:tc>
        <w:tc>
          <w:tcPr>
            <w:tcW w:w="2410"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HJ 965</w:t>
            </w:r>
            <w:r>
              <w:rPr>
                <w:rFonts w:hint="eastAsia" w:ascii="Times New Roman" w:hAnsi="Times New Roman" w:eastAsia="宋体" w:cs="Times New Roman"/>
                <w:color w:val="auto"/>
                <w:sz w:val="21"/>
                <w:szCs w:val="21"/>
                <w:highlight w:val="none"/>
                <w:lang w:val="en-US" w:eastAsia="zh-CN"/>
              </w:rPr>
              <w:t>-2018</w:t>
            </w:r>
            <w:r>
              <w:rPr>
                <w:rFonts w:hint="eastAsia" w:ascii="Times New Roman" w:hAnsi="Times New Roman" w:eastAsia="宋体" w:cs="Times New Roman"/>
                <w:color w:val="auto"/>
                <w:sz w:val="21"/>
                <w:szCs w:val="21"/>
                <w:highlight w:val="none"/>
              </w:rPr>
              <w:t xml:space="preserve">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restart"/>
            <w:vAlign w:val="center"/>
          </w:tcPr>
          <w:p>
            <w:pPr>
              <w:jc w:val="center"/>
              <w:rPr>
                <w:color w:val="auto"/>
                <w:sz w:val="21"/>
                <w:szCs w:val="21"/>
                <w:highlight w:val="none"/>
              </w:rPr>
            </w:pPr>
            <w:r>
              <w:rPr>
                <w:color w:val="auto"/>
                <w:sz w:val="21"/>
                <w:szCs w:val="21"/>
                <w:highlight w:val="none"/>
              </w:rPr>
              <w:t>水污染物</w:t>
            </w:r>
          </w:p>
        </w:tc>
        <w:tc>
          <w:tcPr>
            <w:tcW w:w="1566" w:type="dxa"/>
            <w:vAlign w:val="center"/>
          </w:tcPr>
          <w:p>
            <w:pPr>
              <w:jc w:val="center"/>
              <w:rPr>
                <w:color w:val="auto"/>
                <w:sz w:val="21"/>
                <w:szCs w:val="21"/>
                <w:highlight w:val="none"/>
              </w:rPr>
            </w:pPr>
            <w:r>
              <w:rPr>
                <w:color w:val="auto"/>
                <w:sz w:val="21"/>
                <w:szCs w:val="21"/>
                <w:highlight w:val="none"/>
              </w:rPr>
              <w:t>p</w:t>
            </w:r>
            <w:r>
              <w:rPr>
                <w:rFonts w:hint="eastAsia"/>
                <w:color w:val="auto"/>
                <w:sz w:val="21"/>
                <w:szCs w:val="21"/>
                <w:highlight w:val="none"/>
              </w:rPr>
              <w:t>H</w:t>
            </w:r>
          </w:p>
        </w:tc>
        <w:tc>
          <w:tcPr>
            <w:tcW w:w="3663" w:type="dxa"/>
            <w:vAlign w:val="center"/>
          </w:tcPr>
          <w:p>
            <w:pPr>
              <w:jc w:val="center"/>
              <w:rPr>
                <w:color w:val="auto"/>
                <w:sz w:val="21"/>
                <w:szCs w:val="21"/>
                <w:highlight w:val="none"/>
              </w:rPr>
            </w:pPr>
            <w:r>
              <w:rPr>
                <w:color w:val="auto"/>
                <w:sz w:val="21"/>
                <w:szCs w:val="21"/>
                <w:highlight w:val="none"/>
              </w:rPr>
              <w:t>p</w:t>
            </w:r>
            <w:r>
              <w:rPr>
                <w:rFonts w:hint="eastAsia"/>
                <w:color w:val="auto"/>
                <w:sz w:val="21"/>
                <w:szCs w:val="21"/>
                <w:highlight w:val="none"/>
              </w:rPr>
              <w:t>H计法</w:t>
            </w:r>
          </w:p>
        </w:tc>
        <w:tc>
          <w:tcPr>
            <w:tcW w:w="2410" w:type="dxa"/>
            <w:vAlign w:val="center"/>
          </w:tcPr>
          <w:p>
            <w:pPr>
              <w:jc w:val="center"/>
              <w:rPr>
                <w:color w:val="auto"/>
                <w:sz w:val="21"/>
                <w:szCs w:val="21"/>
                <w:highlight w:val="none"/>
              </w:rPr>
            </w:pPr>
            <w:r>
              <w:rPr>
                <w:rFonts w:hint="eastAsia"/>
                <w:color w:val="auto"/>
                <w:sz w:val="21"/>
                <w:szCs w:val="21"/>
                <w:highlight w:val="none"/>
              </w:rPr>
              <w:t>GB/T 6904-2008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COD</w:t>
            </w:r>
          </w:p>
        </w:tc>
        <w:tc>
          <w:tcPr>
            <w:tcW w:w="3663"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重铬酸盐法</w:t>
            </w:r>
          </w:p>
        </w:tc>
        <w:tc>
          <w:tcPr>
            <w:tcW w:w="2410"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GB/T11914-1989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SS</w:t>
            </w:r>
          </w:p>
        </w:tc>
        <w:tc>
          <w:tcPr>
            <w:tcW w:w="3663"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重量法</w:t>
            </w:r>
          </w:p>
        </w:tc>
        <w:tc>
          <w:tcPr>
            <w:tcW w:w="2410"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GB/T11901-1989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总铬</w:t>
            </w:r>
          </w:p>
        </w:tc>
        <w:tc>
          <w:tcPr>
            <w:tcW w:w="3663"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火焰原子吸收分光光度法</w:t>
            </w:r>
          </w:p>
        </w:tc>
        <w:tc>
          <w:tcPr>
            <w:tcW w:w="2410"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HJ757</w:t>
            </w:r>
            <w:r>
              <w:rPr>
                <w:rFonts w:hint="eastAsia"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rPr>
              <w:t>2015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铬</w:t>
            </w:r>
            <w:r>
              <w:rPr>
                <w:rFonts w:hint="eastAsia"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六价</w:t>
            </w:r>
            <w:r>
              <w:rPr>
                <w:rFonts w:hint="eastAsia" w:cs="Times New Roman"/>
                <w:color w:val="auto"/>
                <w:sz w:val="21"/>
                <w:szCs w:val="21"/>
                <w:highlight w:val="none"/>
                <w:lang w:val="en-US" w:eastAsia="zh-CN"/>
              </w:rPr>
              <w:t>）</w:t>
            </w:r>
          </w:p>
        </w:tc>
        <w:tc>
          <w:tcPr>
            <w:tcW w:w="3663"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二苯碳酰二肼分光光度法</w:t>
            </w:r>
          </w:p>
        </w:tc>
        <w:tc>
          <w:tcPr>
            <w:tcW w:w="2410"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GB7467-1987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97" w:hRule="atLeast"/>
        </w:trPr>
        <w:tc>
          <w:tcPr>
            <w:tcW w:w="1434" w:type="dxa"/>
            <w:vMerge w:val="continue"/>
            <w:vAlign w:val="center"/>
          </w:tcPr>
          <w:p>
            <w:pPr>
              <w:jc w:val="center"/>
              <w:rPr>
                <w:color w:val="auto"/>
                <w:sz w:val="21"/>
                <w:szCs w:val="21"/>
                <w:highlight w:val="none"/>
              </w:rPr>
            </w:pPr>
          </w:p>
        </w:tc>
        <w:tc>
          <w:tcPr>
            <w:tcW w:w="1566"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石油类</w:t>
            </w:r>
          </w:p>
        </w:tc>
        <w:tc>
          <w:tcPr>
            <w:tcW w:w="3663"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红外光度法</w:t>
            </w:r>
          </w:p>
        </w:tc>
        <w:tc>
          <w:tcPr>
            <w:tcW w:w="2410" w:type="dxa"/>
            <w:vAlign w:val="center"/>
          </w:tcPr>
          <w:p>
            <w:pPr>
              <w:jc w:val="center"/>
              <w:rPr>
                <w:rFonts w:hint="eastAsia"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HJ637-2012</w:t>
            </w:r>
          </w:p>
        </w:tc>
      </w:tr>
    </w:tbl>
    <w:p>
      <w:pPr>
        <w:snapToGrid w:val="0"/>
        <w:spacing w:before="120" w:beforeLines="50" w:line="360" w:lineRule="auto"/>
        <w:ind w:firstLine="480" w:firstLineChars="200"/>
        <w:rPr>
          <w:color w:val="auto"/>
          <w:kern w:val="0"/>
          <w:szCs w:val="28"/>
          <w:highlight w:val="none"/>
        </w:rPr>
      </w:pPr>
      <w:r>
        <w:rPr>
          <w:color w:val="auto"/>
          <w:kern w:val="0"/>
          <w:szCs w:val="28"/>
          <w:highlight w:val="none"/>
        </w:rPr>
        <w:t>（</w:t>
      </w:r>
      <w:r>
        <w:rPr>
          <w:rFonts w:hint="eastAsia"/>
          <w:color w:val="auto"/>
          <w:kern w:val="0"/>
          <w:szCs w:val="28"/>
          <w:highlight w:val="none"/>
          <w:lang w:val="en-US" w:eastAsia="zh-CN"/>
        </w:rPr>
        <w:t>4</w:t>
      </w:r>
      <w:r>
        <w:rPr>
          <w:color w:val="auto"/>
          <w:kern w:val="0"/>
          <w:szCs w:val="28"/>
          <w:highlight w:val="none"/>
        </w:rPr>
        <w:t>）监测人员的安全防护措施</w:t>
      </w:r>
    </w:p>
    <w:p>
      <w:pPr>
        <w:pStyle w:val="8"/>
        <w:snapToGrid w:val="0"/>
        <w:spacing w:line="360" w:lineRule="auto"/>
        <w:ind w:firstLine="480"/>
        <w:rPr>
          <w:color w:val="auto"/>
          <w:kern w:val="0"/>
          <w:szCs w:val="28"/>
          <w:highlight w:val="none"/>
        </w:rPr>
      </w:pPr>
      <w:r>
        <w:rPr>
          <w:color w:val="auto"/>
          <w:kern w:val="0"/>
          <w:szCs w:val="28"/>
          <w:highlight w:val="none"/>
        </w:rPr>
        <w:t>现场处置人员应根据不同类型环境事件的特点，配备相应的专业防护装备，采取安全防护措施，严格执行应急人员出入事发现场规定。现场监测、监察和处置人员根据需要配备过滤式或隔绝式防毒面具，在正确、完全配戴好防护用具后，方可进入事件现场，以确保自身安全。</w:t>
      </w:r>
    </w:p>
    <w:p>
      <w:pPr>
        <w:snapToGrid w:val="0"/>
        <w:spacing w:before="120" w:beforeLines="50" w:line="360" w:lineRule="auto"/>
        <w:ind w:firstLine="480" w:firstLineChars="200"/>
        <w:rPr>
          <w:color w:val="auto"/>
          <w:kern w:val="0"/>
          <w:szCs w:val="28"/>
          <w:highlight w:val="none"/>
        </w:rPr>
      </w:pPr>
      <w:r>
        <w:rPr>
          <w:rFonts w:hint="eastAsia"/>
          <w:color w:val="auto"/>
          <w:kern w:val="0"/>
          <w:szCs w:val="28"/>
          <w:highlight w:val="none"/>
          <w:lang w:eastAsia="zh-CN"/>
        </w:rPr>
        <w:t>（</w:t>
      </w:r>
      <w:r>
        <w:rPr>
          <w:rFonts w:hint="eastAsia"/>
          <w:color w:val="auto"/>
          <w:kern w:val="0"/>
          <w:szCs w:val="28"/>
          <w:highlight w:val="none"/>
          <w:lang w:val="en-US" w:eastAsia="zh-CN"/>
        </w:rPr>
        <w:t>5</w:t>
      </w:r>
      <w:r>
        <w:rPr>
          <w:rFonts w:hint="eastAsia"/>
          <w:color w:val="auto"/>
          <w:kern w:val="0"/>
          <w:szCs w:val="28"/>
          <w:highlight w:val="none"/>
          <w:lang w:eastAsia="zh-CN"/>
        </w:rPr>
        <w:t>）</w:t>
      </w:r>
      <w:r>
        <w:rPr>
          <w:rFonts w:hint="eastAsia"/>
          <w:color w:val="auto"/>
          <w:kern w:val="0"/>
          <w:szCs w:val="28"/>
          <w:highlight w:val="none"/>
        </w:rPr>
        <w:t>应急监测单位及其监测能力</w:t>
      </w:r>
    </w:p>
    <w:p>
      <w:pPr>
        <w:spacing w:line="360" w:lineRule="auto"/>
        <w:ind w:firstLine="480" w:firstLineChars="200"/>
        <w:jc w:val="left"/>
        <w:rPr>
          <w:color w:val="auto"/>
          <w:highlight w:val="none"/>
        </w:rPr>
      </w:pPr>
      <w:r>
        <w:rPr>
          <w:rFonts w:hint="eastAsia"/>
          <w:color w:val="auto"/>
          <w:kern w:val="0"/>
          <w:szCs w:val="28"/>
          <w:highlight w:val="none"/>
        </w:rPr>
        <w:t>公司已与</w:t>
      </w:r>
      <w:r>
        <w:rPr>
          <w:rFonts w:hint="eastAsia"/>
          <w:color w:val="auto"/>
          <w:kern w:val="0"/>
          <w:szCs w:val="28"/>
          <w:highlight w:val="none"/>
          <w:lang w:val="en-US" w:eastAsia="zh-CN"/>
        </w:rPr>
        <w:t>无锡青伟环保科技有限公司</w:t>
      </w:r>
      <w:r>
        <w:rPr>
          <w:rFonts w:hint="eastAsia"/>
          <w:color w:val="auto"/>
          <w:kern w:val="0"/>
          <w:szCs w:val="28"/>
          <w:highlight w:val="none"/>
        </w:rPr>
        <w:t>签订环境应急监测协议（附件6）。</w:t>
      </w:r>
      <w:r>
        <w:rPr>
          <w:rFonts w:hint="eastAsia"/>
          <w:color w:val="auto"/>
          <w:kern w:val="0"/>
          <w:szCs w:val="28"/>
          <w:highlight w:val="none"/>
          <w:lang w:val="en-US" w:eastAsia="zh-CN"/>
        </w:rPr>
        <w:t>无锡青伟环保科技有限公司</w:t>
      </w:r>
      <w:r>
        <w:rPr>
          <w:rFonts w:hint="eastAsia"/>
          <w:color w:val="auto"/>
          <w:highlight w:val="none"/>
        </w:rPr>
        <w:t>成立于20</w:t>
      </w:r>
      <w:r>
        <w:rPr>
          <w:rFonts w:hint="eastAsia"/>
          <w:color w:val="auto"/>
          <w:highlight w:val="none"/>
          <w:lang w:val="en-US" w:eastAsia="zh-CN"/>
        </w:rPr>
        <w:t>19</w:t>
      </w:r>
      <w:r>
        <w:rPr>
          <w:rFonts w:hint="eastAsia"/>
          <w:color w:val="auto"/>
          <w:highlight w:val="none"/>
        </w:rPr>
        <w:t>年，实验室按照相关标准进行规划、设计和建设，具有完善的水、电、气、抽风、空调系统、配备了紫外分光光度计、色谱、原子吸收仪等国内外最为先进的检测设备，实验室内部的管理严格按照国际实验室规范。</w:t>
      </w:r>
    </w:p>
    <w:p>
      <w:pPr>
        <w:pStyle w:val="5"/>
        <w:rPr>
          <w:color w:val="auto"/>
          <w:highlight w:val="none"/>
        </w:rPr>
      </w:pPr>
      <w:bookmarkStart w:id="127" w:name="_Toc123810133"/>
      <w:r>
        <w:rPr>
          <w:color w:val="auto"/>
          <w:highlight w:val="none"/>
        </w:rPr>
        <w:t xml:space="preserve">5.3 </w:t>
      </w:r>
      <w:r>
        <w:rPr>
          <w:rFonts w:hint="eastAsia"/>
          <w:color w:val="auto"/>
          <w:highlight w:val="none"/>
        </w:rPr>
        <w:t>土壤及地下水</w:t>
      </w:r>
      <w:r>
        <w:rPr>
          <w:color w:val="auto"/>
          <w:highlight w:val="none"/>
        </w:rPr>
        <w:t>环境监测</w:t>
      </w:r>
      <w:bookmarkEnd w:id="127"/>
    </w:p>
    <w:p>
      <w:pPr>
        <w:snapToGrid w:val="0"/>
        <w:spacing w:line="360" w:lineRule="auto"/>
        <w:ind w:firstLine="480" w:firstLineChars="200"/>
        <w:rPr>
          <w:color w:val="auto"/>
          <w:kern w:val="0"/>
          <w:szCs w:val="28"/>
          <w:highlight w:val="none"/>
        </w:rPr>
      </w:pPr>
      <w:r>
        <w:rPr>
          <w:color w:val="auto"/>
          <w:kern w:val="0"/>
          <w:szCs w:val="28"/>
          <w:highlight w:val="none"/>
        </w:rPr>
        <w:t>（1）监测因子</w:t>
      </w:r>
    </w:p>
    <w:p>
      <w:pPr>
        <w:snapToGrid w:val="0"/>
        <w:spacing w:line="360" w:lineRule="auto"/>
        <w:ind w:firstLine="480" w:firstLineChars="200"/>
        <w:rPr>
          <w:color w:val="auto"/>
          <w:kern w:val="0"/>
          <w:szCs w:val="28"/>
          <w:highlight w:val="none"/>
        </w:rPr>
      </w:pPr>
      <w:r>
        <w:rPr>
          <w:color w:val="auto"/>
          <w:kern w:val="0"/>
          <w:szCs w:val="28"/>
          <w:highlight w:val="none"/>
        </w:rPr>
        <w:t>根据事故范围选择适当的监测因子，若发生泄漏事故，则选择原料在生产、仓储过程中</w:t>
      </w:r>
      <w:r>
        <w:rPr>
          <w:rFonts w:hint="eastAsia"/>
          <w:color w:val="auto"/>
          <w:kern w:val="0"/>
          <w:szCs w:val="28"/>
          <w:highlight w:val="none"/>
          <w:lang w:val="en-US" w:eastAsia="zh-CN"/>
        </w:rPr>
        <w:t>泄漏的污染物</w:t>
      </w:r>
      <w:r>
        <w:rPr>
          <w:color w:val="auto"/>
          <w:kern w:val="0"/>
          <w:szCs w:val="28"/>
          <w:highlight w:val="none"/>
        </w:rPr>
        <w:t>作为监测因子，见表5.3-1。</w:t>
      </w:r>
    </w:p>
    <w:p>
      <w:pPr>
        <w:jc w:val="center"/>
        <w:rPr>
          <w:b/>
          <w:color w:val="auto"/>
          <w:highlight w:val="none"/>
        </w:rPr>
      </w:pPr>
      <w:r>
        <w:rPr>
          <w:b/>
          <w:color w:val="auto"/>
          <w:highlight w:val="none"/>
        </w:rPr>
        <w:t xml:space="preserve">表5.3-1  </w:t>
      </w:r>
      <w:r>
        <w:rPr>
          <w:rFonts w:hint="eastAsia"/>
          <w:b/>
          <w:color w:val="auto"/>
          <w:highlight w:val="none"/>
        </w:rPr>
        <w:t>土壤及地下水</w:t>
      </w:r>
      <w:r>
        <w:rPr>
          <w:b/>
          <w:color w:val="auto"/>
          <w:highlight w:val="none"/>
        </w:rPr>
        <w:t>环境监测因子</w:t>
      </w:r>
    </w:p>
    <w:tbl>
      <w:tblPr>
        <w:tblStyle w:val="20"/>
        <w:tblW w:w="494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891"/>
        <w:gridCol w:w="62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82" w:type="pct"/>
            <w:tcBorders>
              <w:tl2br w:val="nil"/>
              <w:tr2bl w:val="nil"/>
            </w:tcBorders>
            <w:vAlign w:val="center"/>
          </w:tcPr>
          <w:p>
            <w:pPr>
              <w:snapToGrid w:val="0"/>
              <w:jc w:val="center"/>
              <w:rPr>
                <w:b/>
                <w:color w:val="auto"/>
                <w:sz w:val="21"/>
                <w:szCs w:val="21"/>
                <w:highlight w:val="none"/>
              </w:rPr>
            </w:pPr>
            <w:r>
              <w:rPr>
                <w:b/>
                <w:color w:val="auto"/>
                <w:sz w:val="21"/>
                <w:szCs w:val="21"/>
                <w:highlight w:val="none"/>
              </w:rPr>
              <w:t>事故类型</w:t>
            </w:r>
          </w:p>
        </w:tc>
        <w:tc>
          <w:tcPr>
            <w:tcW w:w="3418" w:type="pct"/>
            <w:tcBorders>
              <w:tl2br w:val="nil"/>
              <w:tr2bl w:val="nil"/>
            </w:tcBorders>
            <w:vAlign w:val="center"/>
          </w:tcPr>
          <w:p>
            <w:pPr>
              <w:snapToGrid w:val="0"/>
              <w:jc w:val="center"/>
              <w:rPr>
                <w:b/>
                <w:color w:val="auto"/>
                <w:sz w:val="21"/>
                <w:szCs w:val="21"/>
                <w:highlight w:val="none"/>
              </w:rPr>
            </w:pPr>
            <w:r>
              <w:rPr>
                <w:b/>
                <w:color w:val="auto"/>
                <w:sz w:val="21"/>
                <w:szCs w:val="21"/>
                <w:highlight w:val="none"/>
              </w:rPr>
              <w:t>监测因子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1582" w:type="pct"/>
            <w:tcBorders>
              <w:tl2br w:val="nil"/>
              <w:tr2bl w:val="nil"/>
            </w:tcBorders>
            <w:vAlign w:val="center"/>
          </w:tcPr>
          <w:p>
            <w:pPr>
              <w:jc w:val="center"/>
              <w:rPr>
                <w:color w:val="auto"/>
                <w:sz w:val="21"/>
                <w:szCs w:val="21"/>
                <w:highlight w:val="none"/>
              </w:rPr>
            </w:pPr>
            <w:r>
              <w:rPr>
                <w:rFonts w:hint="eastAsia"/>
                <w:color w:val="auto"/>
                <w:sz w:val="21"/>
                <w:szCs w:val="21"/>
                <w:highlight w:val="none"/>
              </w:rPr>
              <w:t>泄漏事故</w:t>
            </w:r>
          </w:p>
        </w:tc>
        <w:tc>
          <w:tcPr>
            <w:tcW w:w="3418" w:type="pct"/>
            <w:tcBorders>
              <w:tl2br w:val="nil"/>
              <w:tr2bl w:val="nil"/>
            </w:tcBorders>
            <w:vAlign w:val="center"/>
          </w:tcPr>
          <w:p>
            <w:pPr>
              <w:jc w:val="center"/>
              <w:rPr>
                <w:color w:val="auto"/>
                <w:sz w:val="21"/>
                <w:szCs w:val="21"/>
                <w:highlight w:val="none"/>
              </w:rPr>
            </w:pPr>
            <w:r>
              <w:rPr>
                <w:color w:val="auto"/>
                <w:kern w:val="0"/>
                <w:sz w:val="21"/>
                <w:szCs w:val="21"/>
                <w:highlight w:val="none"/>
                <w:lang w:bidi="ar"/>
              </w:rPr>
              <w:t>pH值</w:t>
            </w:r>
            <w:r>
              <w:rPr>
                <w:rFonts w:hint="eastAsia"/>
                <w:color w:val="auto"/>
                <w:kern w:val="0"/>
                <w:sz w:val="21"/>
                <w:szCs w:val="21"/>
                <w:highlight w:val="none"/>
                <w:lang w:bidi="ar"/>
              </w:rPr>
              <w:t>、</w:t>
            </w:r>
            <w:r>
              <w:rPr>
                <w:rFonts w:hint="eastAsia"/>
                <w:color w:val="auto"/>
                <w:sz w:val="21"/>
                <w:szCs w:val="21"/>
                <w:highlight w:val="none"/>
                <w:lang w:val="en-US" w:eastAsia="zh-CN"/>
              </w:rPr>
              <w:t>铬（六价）</w:t>
            </w:r>
            <w:r>
              <w:rPr>
                <w:rFonts w:hint="eastAsia"/>
                <w:color w:val="auto"/>
                <w:kern w:val="0"/>
                <w:sz w:val="21"/>
                <w:szCs w:val="21"/>
                <w:highlight w:val="none"/>
                <w:lang w:val="en-US" w:eastAsia="zh-CN" w:bidi="ar"/>
              </w:rPr>
              <w:t>、总铬、</w:t>
            </w:r>
            <w:r>
              <w:rPr>
                <w:color w:val="auto"/>
                <w:kern w:val="0"/>
                <w:sz w:val="21"/>
                <w:szCs w:val="21"/>
                <w:highlight w:val="none"/>
              </w:rPr>
              <w:t>石油烃（C</w:t>
            </w:r>
            <w:r>
              <w:rPr>
                <w:color w:val="auto"/>
                <w:kern w:val="0"/>
                <w:sz w:val="21"/>
                <w:szCs w:val="21"/>
                <w:highlight w:val="none"/>
                <w:vertAlign w:val="subscript"/>
              </w:rPr>
              <w:t>10</w:t>
            </w:r>
            <w:r>
              <w:rPr>
                <w:color w:val="auto"/>
                <w:kern w:val="0"/>
                <w:sz w:val="21"/>
                <w:szCs w:val="21"/>
                <w:highlight w:val="none"/>
              </w:rPr>
              <w:t>-C</w:t>
            </w:r>
            <w:r>
              <w:rPr>
                <w:color w:val="auto"/>
                <w:kern w:val="0"/>
                <w:sz w:val="21"/>
                <w:szCs w:val="21"/>
                <w:highlight w:val="none"/>
                <w:vertAlign w:val="subscript"/>
              </w:rPr>
              <w:t>40</w:t>
            </w:r>
            <w:r>
              <w:rPr>
                <w:color w:val="auto"/>
                <w:kern w:val="0"/>
                <w:sz w:val="21"/>
                <w:szCs w:val="21"/>
                <w:highlight w:val="none"/>
              </w:rPr>
              <w:t>）</w:t>
            </w:r>
            <w:r>
              <w:rPr>
                <w:rFonts w:hint="eastAsia"/>
                <w:color w:val="auto"/>
                <w:kern w:val="0"/>
                <w:sz w:val="21"/>
                <w:szCs w:val="21"/>
                <w:highlight w:val="none"/>
              </w:rPr>
              <w:t>等</w:t>
            </w:r>
          </w:p>
        </w:tc>
      </w:tr>
    </w:tbl>
    <w:p>
      <w:pPr>
        <w:snapToGrid w:val="0"/>
        <w:spacing w:before="120" w:beforeLines="50" w:line="360" w:lineRule="auto"/>
        <w:ind w:firstLine="480" w:firstLineChars="200"/>
        <w:rPr>
          <w:color w:val="auto"/>
          <w:kern w:val="0"/>
          <w:szCs w:val="28"/>
          <w:highlight w:val="none"/>
        </w:rPr>
      </w:pPr>
      <w:r>
        <w:rPr>
          <w:color w:val="auto"/>
          <w:kern w:val="0"/>
          <w:szCs w:val="28"/>
          <w:highlight w:val="none"/>
        </w:rPr>
        <w:t>（2）监测频次</w:t>
      </w:r>
    </w:p>
    <w:p>
      <w:pPr>
        <w:snapToGrid w:val="0"/>
        <w:spacing w:line="360" w:lineRule="auto"/>
        <w:ind w:firstLine="480" w:firstLineChars="200"/>
        <w:rPr>
          <w:color w:val="auto"/>
          <w:kern w:val="0"/>
          <w:szCs w:val="28"/>
          <w:highlight w:val="none"/>
        </w:rPr>
      </w:pPr>
      <w:r>
        <w:rPr>
          <w:rFonts w:hint="eastAsia"/>
          <w:color w:val="auto"/>
          <w:kern w:val="0"/>
          <w:szCs w:val="28"/>
          <w:highlight w:val="none"/>
        </w:rPr>
        <w:t>监测频次主要根据现场污染状况确定。事件刚发生时，可适当增加待摸清变化规律后，可适当减少监测频次。依据不同的环境区域功能和现场具体污染状况，力求以最合理减少监测频次，取得具有足够时空代表性的监测结果，做到既有代表性、能满足应急工作要求又切实可行。</w:t>
      </w:r>
    </w:p>
    <w:p>
      <w:pPr>
        <w:snapToGrid w:val="0"/>
        <w:spacing w:line="360" w:lineRule="auto"/>
        <w:ind w:firstLine="480" w:firstLineChars="200"/>
        <w:rPr>
          <w:color w:val="auto"/>
          <w:kern w:val="0"/>
          <w:szCs w:val="28"/>
          <w:highlight w:val="none"/>
        </w:rPr>
      </w:pPr>
      <w:r>
        <w:rPr>
          <w:color w:val="auto"/>
          <w:kern w:val="0"/>
          <w:szCs w:val="28"/>
          <w:highlight w:val="none"/>
        </w:rPr>
        <w:t>（3）监测点布设</w:t>
      </w:r>
    </w:p>
    <w:p>
      <w:pPr>
        <w:adjustRightInd w:val="0"/>
        <w:snapToGrid w:val="0"/>
        <w:spacing w:line="360" w:lineRule="auto"/>
        <w:ind w:firstLine="480" w:firstLineChars="200"/>
        <w:rPr>
          <w:color w:val="auto"/>
          <w:kern w:val="0"/>
          <w:szCs w:val="28"/>
          <w:highlight w:val="none"/>
        </w:rPr>
      </w:pPr>
      <w:r>
        <w:rPr>
          <w:rFonts w:hint="eastAsia"/>
          <w:color w:val="auto"/>
          <w:kern w:val="0"/>
          <w:szCs w:val="28"/>
          <w:highlight w:val="none"/>
        </w:rPr>
        <w:t>土壤监测点位的布设方法参照《土壤环境监测技术规范》（</w:t>
      </w:r>
      <w:r>
        <w:rPr>
          <w:color w:val="auto"/>
          <w:kern w:val="0"/>
          <w:szCs w:val="28"/>
          <w:highlight w:val="none"/>
        </w:rPr>
        <w:t>HJ/T 166</w:t>
      </w:r>
      <w:r>
        <w:rPr>
          <w:rFonts w:hint="eastAsia"/>
          <w:color w:val="auto"/>
          <w:kern w:val="0"/>
          <w:szCs w:val="28"/>
          <w:highlight w:val="none"/>
        </w:rPr>
        <w:t>）确定；地下水监测点位的布设方法参照《地下水环境监测技术规范》（</w:t>
      </w:r>
      <w:r>
        <w:rPr>
          <w:color w:val="auto"/>
          <w:kern w:val="0"/>
          <w:szCs w:val="28"/>
          <w:highlight w:val="none"/>
        </w:rPr>
        <w:t>HJ 164</w:t>
      </w:r>
      <w:r>
        <w:rPr>
          <w:rFonts w:hint="eastAsia"/>
          <w:color w:val="auto"/>
          <w:kern w:val="0"/>
          <w:szCs w:val="28"/>
          <w:highlight w:val="none"/>
        </w:rPr>
        <w:t>）确定。</w:t>
      </w:r>
    </w:p>
    <w:p>
      <w:pPr>
        <w:adjustRightInd w:val="0"/>
        <w:snapToGrid w:val="0"/>
        <w:spacing w:line="360" w:lineRule="auto"/>
        <w:ind w:firstLine="480" w:firstLineChars="200"/>
        <w:rPr>
          <w:color w:val="auto"/>
          <w:kern w:val="0"/>
          <w:szCs w:val="28"/>
          <w:highlight w:val="none"/>
        </w:rPr>
      </w:pPr>
      <w:r>
        <w:rPr>
          <w:color w:val="auto"/>
          <w:kern w:val="0"/>
          <w:szCs w:val="28"/>
          <w:highlight w:val="none"/>
        </w:rPr>
        <w:t>（4）监测方法</w:t>
      </w:r>
    </w:p>
    <w:p>
      <w:pPr>
        <w:snapToGrid w:val="0"/>
        <w:spacing w:line="360" w:lineRule="auto"/>
        <w:ind w:firstLine="480" w:firstLineChars="200"/>
        <w:rPr>
          <w:color w:val="auto"/>
          <w:highlight w:val="none"/>
        </w:rPr>
      </w:pPr>
      <w:r>
        <w:rPr>
          <w:color w:val="auto"/>
          <w:highlight w:val="none"/>
        </w:rPr>
        <w:t>参见《突发环境事件应急监测技术规范》（HJ589-2010），现场应急监测分析方法、实验室监测分析方法由监测单位根据泄漏物质按国家相关技术要求进行监测。</w:t>
      </w:r>
    </w:p>
    <w:p>
      <w:pPr>
        <w:jc w:val="center"/>
        <w:rPr>
          <w:b/>
          <w:color w:val="auto"/>
          <w:highlight w:val="none"/>
        </w:rPr>
      </w:pPr>
      <w:r>
        <w:rPr>
          <w:b/>
          <w:color w:val="auto"/>
          <w:highlight w:val="none"/>
        </w:rPr>
        <w:t>表5.3-2  现场应急监测分析方法及方法来源</w:t>
      </w:r>
    </w:p>
    <w:tbl>
      <w:tblPr>
        <w:tblStyle w:val="20"/>
        <w:tblW w:w="4891" w:type="pct"/>
        <w:tblInd w:w="101"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955"/>
        <w:gridCol w:w="2758"/>
        <w:gridCol w:w="305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pct"/>
            <w:vAlign w:val="center"/>
          </w:tcPr>
          <w:p>
            <w:pPr>
              <w:jc w:val="center"/>
              <w:rPr>
                <w:b/>
                <w:color w:val="auto"/>
                <w:sz w:val="21"/>
                <w:szCs w:val="21"/>
                <w:highlight w:val="none"/>
              </w:rPr>
            </w:pPr>
            <w:r>
              <w:rPr>
                <w:b/>
                <w:color w:val="auto"/>
                <w:sz w:val="21"/>
                <w:szCs w:val="21"/>
                <w:highlight w:val="none"/>
              </w:rPr>
              <w:t>污染源类别</w:t>
            </w:r>
          </w:p>
        </w:tc>
        <w:tc>
          <w:tcPr>
            <w:tcW w:w="1081" w:type="pct"/>
            <w:vAlign w:val="center"/>
          </w:tcPr>
          <w:p>
            <w:pPr>
              <w:jc w:val="center"/>
              <w:rPr>
                <w:b/>
                <w:color w:val="auto"/>
                <w:sz w:val="21"/>
                <w:szCs w:val="21"/>
                <w:highlight w:val="none"/>
              </w:rPr>
            </w:pPr>
            <w:r>
              <w:rPr>
                <w:b/>
                <w:color w:val="auto"/>
                <w:sz w:val="21"/>
                <w:szCs w:val="21"/>
                <w:highlight w:val="none"/>
              </w:rPr>
              <w:t>监测项目</w:t>
            </w:r>
          </w:p>
        </w:tc>
        <w:tc>
          <w:tcPr>
            <w:tcW w:w="1525" w:type="pct"/>
            <w:vAlign w:val="center"/>
          </w:tcPr>
          <w:p>
            <w:pPr>
              <w:jc w:val="center"/>
              <w:rPr>
                <w:b/>
                <w:color w:val="auto"/>
                <w:sz w:val="21"/>
                <w:szCs w:val="21"/>
                <w:highlight w:val="none"/>
              </w:rPr>
            </w:pPr>
            <w:r>
              <w:rPr>
                <w:b/>
                <w:color w:val="auto"/>
                <w:sz w:val="21"/>
                <w:szCs w:val="21"/>
                <w:highlight w:val="none"/>
              </w:rPr>
              <w:t>现场应急监测分析方法或设备</w:t>
            </w:r>
          </w:p>
        </w:tc>
        <w:tc>
          <w:tcPr>
            <w:tcW w:w="1686" w:type="pct"/>
            <w:vAlign w:val="center"/>
          </w:tcPr>
          <w:p>
            <w:pPr>
              <w:jc w:val="center"/>
              <w:rPr>
                <w:b/>
                <w:color w:val="auto"/>
                <w:sz w:val="21"/>
                <w:szCs w:val="21"/>
                <w:highlight w:val="none"/>
              </w:rPr>
            </w:pPr>
            <w:r>
              <w:rPr>
                <w:b/>
                <w:color w:val="auto"/>
                <w:sz w:val="21"/>
                <w:szCs w:val="21"/>
                <w:highlight w:val="none"/>
              </w:rPr>
              <w:t>方法来源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pct"/>
            <w:vMerge w:val="restart"/>
            <w:vAlign w:val="center"/>
          </w:tcPr>
          <w:p>
            <w:pPr>
              <w:jc w:val="center"/>
              <w:rPr>
                <w:color w:val="auto"/>
                <w:sz w:val="21"/>
                <w:szCs w:val="21"/>
                <w:highlight w:val="none"/>
              </w:rPr>
            </w:pPr>
            <w:r>
              <w:rPr>
                <w:rFonts w:hint="eastAsia"/>
                <w:color w:val="auto"/>
                <w:sz w:val="21"/>
                <w:szCs w:val="21"/>
                <w:highlight w:val="none"/>
              </w:rPr>
              <w:t>土壤</w:t>
            </w:r>
          </w:p>
        </w:tc>
        <w:tc>
          <w:tcPr>
            <w:tcW w:w="1081" w:type="pct"/>
            <w:vAlign w:val="center"/>
          </w:tcPr>
          <w:p>
            <w:pPr>
              <w:jc w:val="center"/>
              <w:rPr>
                <w:color w:val="auto"/>
                <w:sz w:val="21"/>
                <w:szCs w:val="21"/>
                <w:highlight w:val="none"/>
              </w:rPr>
            </w:pPr>
            <w:r>
              <w:rPr>
                <w:rFonts w:hint="eastAsia"/>
                <w:color w:val="auto"/>
                <w:sz w:val="21"/>
                <w:szCs w:val="21"/>
                <w:highlight w:val="none"/>
              </w:rPr>
              <w:t>pH值</w:t>
            </w:r>
          </w:p>
        </w:tc>
        <w:tc>
          <w:tcPr>
            <w:tcW w:w="1525" w:type="pct"/>
            <w:vAlign w:val="center"/>
          </w:tcPr>
          <w:p>
            <w:pPr>
              <w:jc w:val="center"/>
              <w:rPr>
                <w:color w:val="auto"/>
                <w:sz w:val="21"/>
                <w:szCs w:val="21"/>
                <w:highlight w:val="none"/>
              </w:rPr>
            </w:pPr>
            <w:r>
              <w:rPr>
                <w:color w:val="auto"/>
                <w:sz w:val="21"/>
                <w:szCs w:val="21"/>
                <w:highlight w:val="none"/>
                <w:lang w:bidi="ar"/>
              </w:rPr>
              <w:t>电位法</w:t>
            </w:r>
          </w:p>
        </w:tc>
        <w:tc>
          <w:tcPr>
            <w:tcW w:w="1686" w:type="pct"/>
            <w:vAlign w:val="center"/>
          </w:tcPr>
          <w:p>
            <w:pPr>
              <w:jc w:val="center"/>
              <w:rPr>
                <w:color w:val="auto"/>
                <w:sz w:val="21"/>
                <w:szCs w:val="21"/>
                <w:highlight w:val="none"/>
              </w:rPr>
            </w:pPr>
            <w:r>
              <w:rPr>
                <w:color w:val="auto"/>
                <w:sz w:val="21"/>
                <w:szCs w:val="21"/>
                <w:highlight w:val="none"/>
                <w:lang w:bidi="ar"/>
              </w:rPr>
              <w:t>HJ 962-2018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pct"/>
            <w:vMerge w:val="continue"/>
            <w:vAlign w:val="center"/>
          </w:tcPr>
          <w:p>
            <w:pPr>
              <w:jc w:val="center"/>
              <w:rPr>
                <w:color w:val="auto"/>
                <w:sz w:val="21"/>
                <w:szCs w:val="21"/>
                <w:highlight w:val="none"/>
              </w:rPr>
            </w:pPr>
          </w:p>
        </w:tc>
        <w:tc>
          <w:tcPr>
            <w:tcW w:w="1081" w:type="pct"/>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总铬</w:t>
            </w:r>
          </w:p>
        </w:tc>
        <w:tc>
          <w:tcPr>
            <w:tcW w:w="1525" w:type="pct"/>
            <w:vAlign w:val="center"/>
          </w:tcPr>
          <w:p>
            <w:pPr>
              <w:jc w:val="center"/>
              <w:rPr>
                <w:rFonts w:hint="default" w:eastAsia="宋体"/>
                <w:color w:val="auto"/>
                <w:sz w:val="21"/>
                <w:szCs w:val="21"/>
                <w:highlight w:val="none"/>
                <w:lang w:val="en-US" w:eastAsia="zh-CN"/>
              </w:rPr>
            </w:pPr>
            <w:r>
              <w:rPr>
                <w:rFonts w:hint="eastAsia" w:cs="Times New Roman"/>
                <w:color w:val="auto"/>
                <w:sz w:val="21"/>
                <w:szCs w:val="21"/>
                <w:highlight w:val="none"/>
                <w:lang w:val="en-US" w:eastAsia="zh-CN"/>
              </w:rPr>
              <w:t>火焰原子吸收</w:t>
            </w:r>
            <w:r>
              <w:rPr>
                <w:rFonts w:hint="eastAsia" w:ascii="Times New Roman" w:hAnsi="Times New Roman" w:eastAsia="宋体" w:cs="Times New Roman"/>
                <w:color w:val="auto"/>
                <w:sz w:val="21"/>
                <w:szCs w:val="21"/>
                <w:highlight w:val="none"/>
              </w:rPr>
              <w:t>分光光度法</w:t>
            </w:r>
          </w:p>
        </w:tc>
        <w:tc>
          <w:tcPr>
            <w:tcW w:w="1686" w:type="pct"/>
            <w:vAlign w:val="center"/>
          </w:tcPr>
          <w:p>
            <w:pPr>
              <w:jc w:val="center"/>
              <w:rPr>
                <w:rFonts w:hint="eastAsia" w:eastAsia="宋体"/>
                <w:color w:val="auto"/>
                <w:sz w:val="21"/>
                <w:szCs w:val="21"/>
                <w:highlight w:val="none"/>
                <w:lang w:eastAsia="zh-CN"/>
              </w:rPr>
            </w:pPr>
            <w:r>
              <w:rPr>
                <w:color w:val="auto"/>
                <w:sz w:val="21"/>
                <w:szCs w:val="21"/>
                <w:highlight w:val="none"/>
                <w:lang w:bidi="ar"/>
              </w:rPr>
              <w:t>HJ</w:t>
            </w:r>
            <w:r>
              <w:rPr>
                <w:rFonts w:hint="eastAsia"/>
                <w:color w:val="auto"/>
                <w:sz w:val="21"/>
                <w:szCs w:val="21"/>
                <w:highlight w:val="none"/>
                <w:lang w:val="en-US" w:eastAsia="zh-CN" w:bidi="ar"/>
              </w:rPr>
              <w:t>491</w:t>
            </w:r>
            <w:r>
              <w:rPr>
                <w:color w:val="auto"/>
                <w:sz w:val="21"/>
                <w:szCs w:val="21"/>
                <w:highlight w:val="none"/>
                <w:lang w:bidi="ar"/>
              </w:rPr>
              <w:t>-201</w:t>
            </w:r>
            <w:r>
              <w:rPr>
                <w:rFonts w:hint="eastAsia"/>
                <w:color w:val="auto"/>
                <w:sz w:val="21"/>
                <w:szCs w:val="21"/>
                <w:highlight w:val="none"/>
                <w:lang w:val="en-US" w:eastAsia="zh-CN" w:bidi="ar"/>
              </w:rPr>
              <w:t>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pct"/>
            <w:vMerge w:val="continue"/>
            <w:vAlign w:val="center"/>
          </w:tcPr>
          <w:p>
            <w:pPr>
              <w:widowControl/>
              <w:jc w:val="center"/>
              <w:rPr>
                <w:color w:val="auto"/>
                <w:sz w:val="21"/>
                <w:szCs w:val="21"/>
                <w:highlight w:val="none"/>
              </w:rPr>
            </w:pPr>
          </w:p>
        </w:tc>
        <w:tc>
          <w:tcPr>
            <w:tcW w:w="1081" w:type="pct"/>
            <w:vAlign w:val="center"/>
          </w:tcPr>
          <w:p>
            <w:pPr>
              <w:jc w:val="center"/>
              <w:rPr>
                <w:color w:val="auto"/>
                <w:sz w:val="21"/>
                <w:szCs w:val="21"/>
                <w:highlight w:val="none"/>
              </w:rPr>
            </w:pPr>
            <w:r>
              <w:rPr>
                <w:color w:val="auto"/>
                <w:kern w:val="0"/>
                <w:sz w:val="21"/>
                <w:szCs w:val="21"/>
                <w:highlight w:val="none"/>
              </w:rPr>
              <w:t>石油烃（C</w:t>
            </w:r>
            <w:r>
              <w:rPr>
                <w:color w:val="auto"/>
                <w:kern w:val="0"/>
                <w:sz w:val="21"/>
                <w:szCs w:val="21"/>
                <w:highlight w:val="none"/>
                <w:vertAlign w:val="subscript"/>
              </w:rPr>
              <w:t>10</w:t>
            </w:r>
            <w:r>
              <w:rPr>
                <w:color w:val="auto"/>
                <w:kern w:val="0"/>
                <w:sz w:val="21"/>
                <w:szCs w:val="21"/>
                <w:highlight w:val="none"/>
              </w:rPr>
              <w:t>-C</w:t>
            </w:r>
            <w:r>
              <w:rPr>
                <w:color w:val="auto"/>
                <w:kern w:val="0"/>
                <w:sz w:val="21"/>
                <w:szCs w:val="21"/>
                <w:highlight w:val="none"/>
                <w:vertAlign w:val="subscript"/>
              </w:rPr>
              <w:t>40</w:t>
            </w:r>
            <w:r>
              <w:rPr>
                <w:color w:val="auto"/>
                <w:kern w:val="0"/>
                <w:sz w:val="21"/>
                <w:szCs w:val="21"/>
                <w:highlight w:val="none"/>
              </w:rPr>
              <w:t>）</w:t>
            </w:r>
          </w:p>
        </w:tc>
        <w:tc>
          <w:tcPr>
            <w:tcW w:w="1525" w:type="pct"/>
            <w:vAlign w:val="center"/>
          </w:tcPr>
          <w:p>
            <w:pPr>
              <w:jc w:val="center"/>
              <w:rPr>
                <w:color w:val="auto"/>
                <w:sz w:val="21"/>
                <w:szCs w:val="21"/>
                <w:highlight w:val="none"/>
              </w:rPr>
            </w:pPr>
            <w:r>
              <w:rPr>
                <w:color w:val="auto"/>
                <w:kern w:val="0"/>
                <w:sz w:val="21"/>
                <w:szCs w:val="21"/>
                <w:highlight w:val="none"/>
              </w:rPr>
              <w:t>气相色谱法</w:t>
            </w:r>
          </w:p>
        </w:tc>
        <w:tc>
          <w:tcPr>
            <w:tcW w:w="1686" w:type="pct"/>
            <w:vAlign w:val="center"/>
          </w:tcPr>
          <w:p>
            <w:pPr>
              <w:jc w:val="center"/>
              <w:rPr>
                <w:color w:val="auto"/>
                <w:sz w:val="21"/>
                <w:szCs w:val="21"/>
                <w:highlight w:val="none"/>
              </w:rPr>
            </w:pPr>
            <w:r>
              <w:rPr>
                <w:color w:val="auto"/>
                <w:kern w:val="0"/>
                <w:sz w:val="21"/>
                <w:szCs w:val="21"/>
                <w:highlight w:val="none"/>
              </w:rPr>
              <w:t>HJ 1021-2019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pct"/>
            <w:vMerge w:val="restart"/>
            <w:vAlign w:val="center"/>
          </w:tcPr>
          <w:p>
            <w:pPr>
              <w:widowControl/>
              <w:jc w:val="center"/>
              <w:rPr>
                <w:color w:val="auto"/>
                <w:sz w:val="21"/>
                <w:szCs w:val="21"/>
                <w:highlight w:val="none"/>
              </w:rPr>
            </w:pPr>
            <w:r>
              <w:rPr>
                <w:rFonts w:hint="eastAsia"/>
                <w:color w:val="auto"/>
                <w:sz w:val="21"/>
                <w:szCs w:val="21"/>
                <w:highlight w:val="none"/>
              </w:rPr>
              <w:t>地下水</w:t>
            </w:r>
          </w:p>
        </w:tc>
        <w:tc>
          <w:tcPr>
            <w:tcW w:w="1081" w:type="pct"/>
            <w:vAlign w:val="center"/>
          </w:tcPr>
          <w:p>
            <w:pPr>
              <w:jc w:val="center"/>
              <w:rPr>
                <w:color w:val="auto"/>
                <w:kern w:val="0"/>
                <w:sz w:val="21"/>
                <w:szCs w:val="21"/>
                <w:highlight w:val="none"/>
              </w:rPr>
            </w:pPr>
            <w:r>
              <w:rPr>
                <w:rFonts w:hint="eastAsia"/>
                <w:color w:val="auto"/>
                <w:sz w:val="21"/>
                <w:szCs w:val="21"/>
                <w:highlight w:val="none"/>
              </w:rPr>
              <w:t>pH值</w:t>
            </w:r>
          </w:p>
        </w:tc>
        <w:tc>
          <w:tcPr>
            <w:tcW w:w="1525" w:type="pct"/>
            <w:vAlign w:val="center"/>
          </w:tcPr>
          <w:p>
            <w:pPr>
              <w:jc w:val="center"/>
              <w:rPr>
                <w:color w:val="auto"/>
                <w:sz w:val="21"/>
                <w:szCs w:val="21"/>
                <w:highlight w:val="none"/>
              </w:rPr>
            </w:pPr>
            <w:r>
              <w:rPr>
                <w:rFonts w:hint="eastAsia"/>
                <w:color w:val="auto"/>
                <w:sz w:val="21"/>
                <w:szCs w:val="21"/>
                <w:highlight w:val="none"/>
              </w:rPr>
              <w:t>便携式pH计法</w:t>
            </w:r>
          </w:p>
        </w:tc>
        <w:tc>
          <w:tcPr>
            <w:tcW w:w="1686" w:type="pct"/>
            <w:vAlign w:val="center"/>
          </w:tcPr>
          <w:p>
            <w:pPr>
              <w:jc w:val="center"/>
              <w:rPr>
                <w:color w:val="auto"/>
                <w:sz w:val="21"/>
                <w:szCs w:val="21"/>
                <w:highlight w:val="none"/>
              </w:rPr>
            </w:pPr>
            <w:r>
              <w:rPr>
                <w:rFonts w:hint="eastAsia"/>
                <w:color w:val="auto"/>
                <w:sz w:val="21"/>
                <w:szCs w:val="21"/>
                <w:highlight w:val="none"/>
              </w:rPr>
              <w:t>《水和废水监测分析方法》（第四版增补版）国家环境保护总局2002年3.1.6.2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pct"/>
            <w:vMerge w:val="continue"/>
            <w:vAlign w:val="center"/>
          </w:tcPr>
          <w:p>
            <w:pPr>
              <w:widowControl/>
              <w:jc w:val="center"/>
              <w:rPr>
                <w:color w:val="auto"/>
                <w:sz w:val="21"/>
                <w:szCs w:val="21"/>
                <w:highlight w:val="none"/>
              </w:rPr>
            </w:pPr>
          </w:p>
        </w:tc>
        <w:tc>
          <w:tcPr>
            <w:tcW w:w="1081" w:type="pct"/>
            <w:vAlign w:val="center"/>
          </w:tcPr>
          <w:p>
            <w:pPr>
              <w:jc w:val="center"/>
              <w:rPr>
                <w:rFonts w:hint="default"/>
                <w:color w:val="auto"/>
                <w:kern w:val="0"/>
                <w:sz w:val="21"/>
                <w:szCs w:val="21"/>
                <w:highlight w:val="none"/>
                <w:lang w:val="en-US"/>
              </w:rPr>
            </w:pPr>
            <w:r>
              <w:rPr>
                <w:rFonts w:hint="eastAsia"/>
                <w:color w:val="auto"/>
                <w:sz w:val="21"/>
                <w:szCs w:val="21"/>
                <w:highlight w:val="none"/>
                <w:lang w:val="en-US" w:eastAsia="zh-CN"/>
              </w:rPr>
              <w:t>铬（六价）、总铬</w:t>
            </w:r>
          </w:p>
        </w:tc>
        <w:tc>
          <w:tcPr>
            <w:tcW w:w="1525" w:type="pct"/>
            <w:vAlign w:val="center"/>
          </w:tcPr>
          <w:p>
            <w:pPr>
              <w:jc w:val="center"/>
              <w:rPr>
                <w:color w:val="auto"/>
                <w:sz w:val="21"/>
                <w:szCs w:val="21"/>
                <w:highlight w:val="none"/>
              </w:rPr>
            </w:pPr>
            <w:r>
              <w:rPr>
                <w:rFonts w:hint="eastAsia" w:ascii="Times New Roman" w:hAnsi="Times New Roman" w:eastAsia="宋体" w:cs="Times New Roman"/>
                <w:color w:val="auto"/>
                <w:sz w:val="21"/>
                <w:szCs w:val="21"/>
                <w:highlight w:val="none"/>
              </w:rPr>
              <w:t>二苯碳酰二肼分光光度法</w:t>
            </w:r>
          </w:p>
        </w:tc>
        <w:tc>
          <w:tcPr>
            <w:tcW w:w="1686" w:type="pct"/>
            <w:vAlign w:val="center"/>
          </w:tcPr>
          <w:p>
            <w:pPr>
              <w:jc w:val="center"/>
              <w:rPr>
                <w:color w:val="auto"/>
                <w:sz w:val="21"/>
                <w:szCs w:val="21"/>
                <w:highlight w:val="none"/>
              </w:rPr>
            </w:pPr>
            <w:r>
              <w:rPr>
                <w:color w:val="auto"/>
                <w:sz w:val="21"/>
                <w:szCs w:val="21"/>
                <w:highlight w:val="none"/>
              </w:rPr>
              <w:t>DZ/T 0064.17-2021 地下水质分析方法</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pct"/>
            <w:vMerge w:val="continue"/>
            <w:vAlign w:val="center"/>
          </w:tcPr>
          <w:p>
            <w:pPr>
              <w:widowControl/>
              <w:jc w:val="center"/>
              <w:rPr>
                <w:color w:val="auto"/>
                <w:sz w:val="21"/>
                <w:szCs w:val="21"/>
                <w:highlight w:val="none"/>
              </w:rPr>
            </w:pPr>
          </w:p>
        </w:tc>
        <w:tc>
          <w:tcPr>
            <w:tcW w:w="1081" w:type="pct"/>
            <w:vAlign w:val="center"/>
          </w:tcPr>
          <w:p>
            <w:pPr>
              <w:jc w:val="center"/>
              <w:rPr>
                <w:color w:val="auto"/>
                <w:kern w:val="0"/>
                <w:sz w:val="21"/>
                <w:szCs w:val="21"/>
                <w:highlight w:val="none"/>
              </w:rPr>
            </w:pPr>
            <w:r>
              <w:rPr>
                <w:color w:val="auto"/>
                <w:kern w:val="0"/>
                <w:sz w:val="21"/>
                <w:szCs w:val="21"/>
                <w:highlight w:val="none"/>
              </w:rPr>
              <w:t>石油烃（C</w:t>
            </w:r>
            <w:r>
              <w:rPr>
                <w:color w:val="auto"/>
                <w:kern w:val="0"/>
                <w:sz w:val="21"/>
                <w:szCs w:val="21"/>
                <w:highlight w:val="none"/>
                <w:vertAlign w:val="subscript"/>
              </w:rPr>
              <w:t>10</w:t>
            </w:r>
            <w:r>
              <w:rPr>
                <w:color w:val="auto"/>
                <w:kern w:val="0"/>
                <w:sz w:val="21"/>
                <w:szCs w:val="21"/>
                <w:highlight w:val="none"/>
              </w:rPr>
              <w:t>-C</w:t>
            </w:r>
            <w:r>
              <w:rPr>
                <w:color w:val="auto"/>
                <w:kern w:val="0"/>
                <w:sz w:val="21"/>
                <w:szCs w:val="21"/>
                <w:highlight w:val="none"/>
                <w:vertAlign w:val="subscript"/>
              </w:rPr>
              <w:t>40</w:t>
            </w:r>
            <w:r>
              <w:rPr>
                <w:color w:val="auto"/>
                <w:kern w:val="0"/>
                <w:sz w:val="21"/>
                <w:szCs w:val="21"/>
                <w:highlight w:val="none"/>
              </w:rPr>
              <w:t>）</w:t>
            </w:r>
          </w:p>
        </w:tc>
        <w:tc>
          <w:tcPr>
            <w:tcW w:w="1525" w:type="pct"/>
            <w:vAlign w:val="center"/>
          </w:tcPr>
          <w:p>
            <w:pPr>
              <w:jc w:val="center"/>
              <w:rPr>
                <w:color w:val="auto"/>
                <w:sz w:val="21"/>
                <w:szCs w:val="21"/>
                <w:highlight w:val="none"/>
              </w:rPr>
            </w:pPr>
            <w:r>
              <w:rPr>
                <w:color w:val="auto"/>
                <w:sz w:val="21"/>
                <w:szCs w:val="21"/>
                <w:highlight w:val="none"/>
              </w:rPr>
              <w:t>气相色谱法</w:t>
            </w:r>
          </w:p>
        </w:tc>
        <w:tc>
          <w:tcPr>
            <w:tcW w:w="1686" w:type="pct"/>
            <w:vAlign w:val="center"/>
          </w:tcPr>
          <w:p>
            <w:pPr>
              <w:jc w:val="center"/>
              <w:rPr>
                <w:color w:val="auto"/>
                <w:sz w:val="21"/>
                <w:szCs w:val="21"/>
                <w:highlight w:val="none"/>
              </w:rPr>
            </w:pPr>
            <w:r>
              <w:rPr>
                <w:color w:val="auto"/>
                <w:sz w:val="21"/>
                <w:szCs w:val="21"/>
                <w:highlight w:val="none"/>
              </w:rPr>
              <w:t>HJ 894-2017</w:t>
            </w:r>
          </w:p>
        </w:tc>
      </w:tr>
    </w:tbl>
    <w:p>
      <w:pPr>
        <w:snapToGrid w:val="0"/>
        <w:spacing w:before="120" w:beforeLines="50" w:line="360" w:lineRule="auto"/>
        <w:ind w:firstLine="480" w:firstLineChars="200"/>
        <w:rPr>
          <w:color w:val="auto"/>
          <w:kern w:val="0"/>
          <w:szCs w:val="28"/>
          <w:highlight w:val="none"/>
        </w:rPr>
      </w:pPr>
      <w:r>
        <w:rPr>
          <w:color w:val="auto"/>
          <w:kern w:val="0"/>
          <w:szCs w:val="28"/>
          <w:highlight w:val="none"/>
        </w:rPr>
        <w:t>（5）监测人员的安全防护措施</w:t>
      </w:r>
    </w:p>
    <w:p>
      <w:pPr>
        <w:pStyle w:val="8"/>
        <w:snapToGrid w:val="0"/>
        <w:spacing w:line="360" w:lineRule="auto"/>
        <w:ind w:firstLine="480"/>
        <w:rPr>
          <w:color w:val="auto"/>
          <w:kern w:val="0"/>
          <w:szCs w:val="28"/>
          <w:highlight w:val="none"/>
        </w:rPr>
      </w:pPr>
      <w:r>
        <w:rPr>
          <w:color w:val="auto"/>
          <w:kern w:val="0"/>
          <w:szCs w:val="28"/>
          <w:highlight w:val="none"/>
        </w:rPr>
        <w:t>现场处置人员应根据不同类型环境事件的特点，配备相应的专业防护装备，采取安全防护措施，严格执行应急人员出入事发现场规定。现场监测、监察和处置人员根据需要配备过滤式或隔绝式防毒面具，在正确、完全配戴好防护用具后，方可进入事件现场，以确保自身安全。</w:t>
      </w:r>
    </w:p>
    <w:p>
      <w:pPr>
        <w:pStyle w:val="8"/>
        <w:snapToGrid w:val="0"/>
        <w:spacing w:line="360" w:lineRule="auto"/>
        <w:ind w:firstLine="480"/>
        <w:rPr>
          <w:color w:val="auto"/>
          <w:kern w:val="0"/>
          <w:szCs w:val="28"/>
          <w:highlight w:val="none"/>
        </w:rPr>
      </w:pPr>
    </w:p>
    <w:p>
      <w:pPr>
        <w:pStyle w:val="8"/>
        <w:snapToGrid w:val="0"/>
        <w:spacing w:line="360" w:lineRule="auto"/>
        <w:ind w:firstLine="480"/>
        <w:rPr>
          <w:color w:val="auto"/>
          <w:kern w:val="0"/>
          <w:szCs w:val="28"/>
          <w:highlight w:val="none"/>
        </w:rPr>
      </w:pPr>
    </w:p>
    <w:p>
      <w:pPr>
        <w:pStyle w:val="4"/>
        <w:rPr>
          <w:color w:val="auto"/>
          <w:highlight w:val="none"/>
        </w:rPr>
        <w:sectPr>
          <w:pgSz w:w="11907" w:h="16840"/>
          <w:pgMar w:top="1402" w:right="1440" w:bottom="1402" w:left="1440" w:header="851" w:footer="992" w:gutter="0"/>
          <w:pgBorders>
            <w:top w:val="none" w:sz="0" w:space="0"/>
            <w:left w:val="none" w:sz="0" w:space="0"/>
            <w:bottom w:val="none" w:sz="0" w:space="0"/>
            <w:right w:val="none" w:sz="0" w:space="0"/>
          </w:pgBorders>
          <w:pgNumType w:fmt="decimal"/>
          <w:cols w:space="720" w:num="1"/>
        </w:sectPr>
      </w:pPr>
    </w:p>
    <w:p>
      <w:pPr>
        <w:pStyle w:val="4"/>
        <w:rPr>
          <w:color w:val="auto"/>
          <w:highlight w:val="none"/>
        </w:rPr>
      </w:pPr>
      <w:bookmarkStart w:id="128" w:name="_Toc20942"/>
      <w:r>
        <w:rPr>
          <w:color w:val="auto"/>
          <w:highlight w:val="none"/>
        </w:rPr>
        <w:t>6 环境应急响应</w:t>
      </w:r>
      <w:bookmarkEnd w:id="119"/>
      <w:bookmarkEnd w:id="120"/>
      <w:bookmarkEnd w:id="121"/>
      <w:bookmarkEnd w:id="128"/>
    </w:p>
    <w:p>
      <w:pPr>
        <w:pStyle w:val="5"/>
        <w:rPr>
          <w:color w:val="auto"/>
          <w:highlight w:val="none"/>
        </w:rPr>
      </w:pPr>
      <w:bookmarkStart w:id="129" w:name="_Toc273391337"/>
      <w:bookmarkStart w:id="130" w:name="_Toc273391661"/>
      <w:bookmarkStart w:id="131" w:name="_Toc32135"/>
      <w:bookmarkStart w:id="132" w:name="_Toc28103269"/>
      <w:r>
        <w:rPr>
          <w:color w:val="auto"/>
          <w:highlight w:val="none"/>
        </w:rPr>
        <w:t xml:space="preserve">6.1 </w:t>
      </w:r>
      <w:bookmarkEnd w:id="129"/>
      <w:bookmarkEnd w:id="130"/>
      <w:r>
        <w:rPr>
          <w:color w:val="auto"/>
          <w:highlight w:val="none"/>
        </w:rPr>
        <w:t>响应程序</w:t>
      </w:r>
      <w:bookmarkEnd w:id="131"/>
    </w:p>
    <w:p>
      <w:pPr>
        <w:pStyle w:val="8"/>
        <w:adjustRightInd w:val="0"/>
        <w:snapToGrid w:val="0"/>
        <w:spacing w:line="360" w:lineRule="auto"/>
        <w:ind w:firstLine="480"/>
        <w:rPr>
          <w:color w:val="auto"/>
          <w:kern w:val="0"/>
          <w:szCs w:val="28"/>
          <w:highlight w:val="none"/>
        </w:rPr>
      </w:pPr>
      <w:r>
        <w:rPr>
          <w:color w:val="auto"/>
          <w:kern w:val="0"/>
          <w:szCs w:val="28"/>
          <w:highlight w:val="none"/>
        </w:rPr>
        <w:t>明确突发环境事件发生后，各应急组织机构应当采取具体行动措施，包括响应分级、应急启动、应急处置等程序。</w:t>
      </w:r>
    </w:p>
    <w:p>
      <w:pPr>
        <w:pStyle w:val="5"/>
        <w:rPr>
          <w:color w:val="auto"/>
          <w:highlight w:val="none"/>
        </w:rPr>
      </w:pPr>
      <w:bookmarkStart w:id="133" w:name="_Toc6066"/>
      <w:r>
        <w:rPr>
          <w:color w:val="auto"/>
          <w:highlight w:val="none"/>
        </w:rPr>
        <w:t>6.2 响应分级</w:t>
      </w:r>
      <w:bookmarkEnd w:id="132"/>
      <w:bookmarkEnd w:id="133"/>
    </w:p>
    <w:p>
      <w:pPr>
        <w:autoSpaceDE w:val="0"/>
        <w:autoSpaceDN w:val="0"/>
        <w:adjustRightInd w:val="0"/>
        <w:spacing w:line="360" w:lineRule="auto"/>
        <w:ind w:firstLine="480" w:firstLineChars="200"/>
        <w:rPr>
          <w:color w:val="auto"/>
          <w:highlight w:val="none"/>
        </w:rPr>
      </w:pPr>
      <w:r>
        <w:rPr>
          <w:color w:val="auto"/>
          <w:highlight w:val="none"/>
        </w:rPr>
        <w:t>环境污染事故响应按照分级负责的原则，根据企业可能发生的环境风险事故危害程度、影响范围、公司控制事故能力、应急物资状况，将企业的突发环境污染事故分为三个不同等级。因此，本预案应急响应分为三级应急响应，即：Ⅲ级（车间级）应急响应、Ⅱ级（厂区级）应急响应、Ⅰ级（厂外级）应急响应。</w:t>
      </w:r>
    </w:p>
    <w:p>
      <w:pPr>
        <w:pStyle w:val="29"/>
        <w:rPr>
          <w:rFonts w:ascii="Times New Roman" w:hAnsi="Times New Roman"/>
          <w:color w:val="auto"/>
          <w:highlight w:val="none"/>
        </w:rPr>
      </w:pPr>
      <w:r>
        <w:rPr>
          <w:rFonts w:ascii="Times New Roman" w:hAnsi="Times New Roman"/>
          <w:color w:val="auto"/>
          <w:highlight w:val="none"/>
        </w:rPr>
        <w:t>①Ⅰ级（厂外级）：重大环境污染事件；</w:t>
      </w:r>
      <w:r>
        <w:rPr>
          <w:rFonts w:ascii="Times New Roman" w:hAnsi="Times New Roman"/>
          <w:color w:val="auto"/>
          <w:kern w:val="0"/>
          <w:highlight w:val="none"/>
        </w:rPr>
        <w:t>发生物料泄漏管控不及时，燃烧废气、泄漏废液或消防废水流出厂区，进入外环境。</w:t>
      </w:r>
      <w:r>
        <w:rPr>
          <w:rFonts w:ascii="Times New Roman" w:hAnsi="Times New Roman"/>
          <w:color w:val="auto"/>
          <w:highlight w:val="none"/>
        </w:rPr>
        <w:t>Ⅰ级（厂外级）响应是指事故超出企业可控状态，或可能波及到周边企业，超出企业可控状态，而做出一级响应。</w:t>
      </w:r>
    </w:p>
    <w:p>
      <w:pPr>
        <w:pStyle w:val="29"/>
        <w:rPr>
          <w:rFonts w:ascii="Times New Roman" w:hAnsi="Times New Roman"/>
          <w:color w:val="auto"/>
          <w:highlight w:val="none"/>
        </w:rPr>
      </w:pPr>
      <w:r>
        <w:rPr>
          <w:rFonts w:ascii="Times New Roman" w:hAnsi="Times New Roman"/>
          <w:color w:val="auto"/>
          <w:highlight w:val="none"/>
        </w:rPr>
        <w:t>②Ⅱ级（厂区级）：一般环境污染事件；</w:t>
      </w:r>
      <w:r>
        <w:rPr>
          <w:rFonts w:ascii="Times New Roman" w:hAnsi="Times New Roman"/>
          <w:color w:val="auto"/>
          <w:kern w:val="0"/>
          <w:highlight w:val="none"/>
        </w:rPr>
        <w:t>根据预测结果，泄漏时导致的有毒有害物质影响范围较小，基本可控制在厂区内。</w:t>
      </w:r>
      <w:r>
        <w:rPr>
          <w:rFonts w:ascii="Times New Roman" w:hAnsi="Times New Roman"/>
          <w:color w:val="auto"/>
          <w:highlight w:val="none"/>
        </w:rPr>
        <w:t>Ⅱ级（厂区级）响应是指事故超出现场可控状态，或可能波及到其他现场，尚处于公司可控状态，未波及相邻企业的状态，而做出二级响应。</w:t>
      </w:r>
    </w:p>
    <w:p>
      <w:pPr>
        <w:adjustRightInd w:val="0"/>
        <w:snapToGrid w:val="0"/>
        <w:spacing w:line="360" w:lineRule="auto"/>
        <w:ind w:firstLine="480" w:firstLineChars="200"/>
        <w:rPr>
          <w:color w:val="auto"/>
          <w:kern w:val="0"/>
          <w:highlight w:val="none"/>
        </w:rPr>
      </w:pPr>
      <w:r>
        <w:rPr>
          <w:color w:val="auto"/>
          <w:highlight w:val="none"/>
        </w:rPr>
        <w:t>③Ⅲ级（车间级）：轻微环境污染事件。如</w:t>
      </w:r>
      <w:r>
        <w:rPr>
          <w:color w:val="auto"/>
          <w:kern w:val="0"/>
          <w:highlight w:val="none"/>
        </w:rPr>
        <w:t>液体原料发生物料泄漏事故。泄漏后在车间内，及时堵漏、收集，可控制在车间内。</w:t>
      </w:r>
      <w:r>
        <w:rPr>
          <w:color w:val="auto"/>
          <w:highlight w:val="none"/>
        </w:rPr>
        <w:t>Ⅲ级（车间级）响应是指事故发生的初期，事故尚处于现场可控状态，未波及到其它现场，而做出三级响应。</w:t>
      </w:r>
    </w:p>
    <w:p>
      <w:pPr>
        <w:pStyle w:val="29"/>
        <w:rPr>
          <w:rFonts w:ascii="Times New Roman" w:hAnsi="Times New Roman"/>
          <w:bCs w:val="0"/>
          <w:color w:val="auto"/>
          <w:kern w:val="0"/>
          <w:szCs w:val="24"/>
          <w:highlight w:val="none"/>
        </w:rPr>
      </w:pPr>
      <w:r>
        <w:rPr>
          <w:rFonts w:ascii="Times New Roman" w:hAnsi="Times New Roman"/>
          <w:bCs w:val="0"/>
          <w:color w:val="auto"/>
          <w:kern w:val="0"/>
          <w:szCs w:val="24"/>
          <w:highlight w:val="none"/>
        </w:rPr>
        <w:t>按照事故的大小和发展态势，并根据分级负责的原则，各级指挥机构及对应的预案见表6.2-1。</w:t>
      </w:r>
    </w:p>
    <w:p>
      <w:pPr>
        <w:pStyle w:val="30"/>
        <w:rPr>
          <w:color w:val="auto"/>
          <w:highlight w:val="none"/>
        </w:rPr>
      </w:pPr>
      <w:r>
        <w:rPr>
          <w:color w:val="auto"/>
          <w:highlight w:val="none"/>
        </w:rPr>
        <w:t>表6.2</w:t>
      </w:r>
      <w:r>
        <w:rPr>
          <w:color w:val="auto"/>
          <w:highlight w:val="none"/>
        </w:rPr>
        <w:noBreakHyphen/>
      </w:r>
      <w:r>
        <w:rPr>
          <w:color w:val="auto"/>
          <w:highlight w:val="none"/>
        </w:rPr>
        <w:t>1  预警、响应、指挥机构、预案对应表</w:t>
      </w:r>
    </w:p>
    <w:tbl>
      <w:tblPr>
        <w:tblStyle w:val="20"/>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96"/>
        <w:gridCol w:w="1040"/>
        <w:gridCol w:w="1074"/>
        <w:gridCol w:w="1486"/>
        <w:gridCol w:w="1905"/>
        <w:gridCol w:w="1515"/>
        <w:gridCol w:w="151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34" w:hRule="atLeast"/>
          <w:tblHeader/>
          <w:jc w:val="center"/>
        </w:trPr>
        <w:tc>
          <w:tcPr>
            <w:tcW w:w="496" w:type="dxa"/>
            <w:tcBorders>
              <w:top w:val="single" w:color="000000" w:sz="12" w:space="0"/>
              <w:left w:val="nil"/>
              <w:bottom w:val="single" w:color="000000" w:sz="6" w:space="0"/>
              <w:right w:val="single" w:color="000000" w:sz="6" w:space="0"/>
            </w:tcBorders>
            <w:vAlign w:val="center"/>
          </w:tcPr>
          <w:p>
            <w:pPr>
              <w:pStyle w:val="31"/>
              <w:textAlignment w:val="center"/>
              <w:rPr>
                <w:rFonts w:ascii="Times New Roman" w:hAnsi="Times New Roman" w:eastAsia="宋体"/>
                <w:b/>
                <w:bCs/>
                <w:color w:val="auto"/>
                <w:spacing w:val="0"/>
                <w:sz w:val="21"/>
                <w:szCs w:val="21"/>
                <w:highlight w:val="none"/>
              </w:rPr>
            </w:pPr>
            <w:r>
              <w:rPr>
                <w:rFonts w:ascii="Times New Roman" w:hAnsi="Times New Roman" w:eastAsia="宋体"/>
                <w:b/>
                <w:bCs/>
                <w:color w:val="auto"/>
                <w:spacing w:val="0"/>
                <w:sz w:val="21"/>
                <w:szCs w:val="21"/>
                <w:highlight w:val="none"/>
              </w:rPr>
              <w:t>序号</w:t>
            </w:r>
          </w:p>
        </w:tc>
        <w:tc>
          <w:tcPr>
            <w:tcW w:w="1040" w:type="dxa"/>
            <w:tcBorders>
              <w:top w:val="single" w:color="000000" w:sz="12" w:space="0"/>
              <w:left w:val="single" w:color="000000" w:sz="6" w:space="0"/>
              <w:bottom w:val="single" w:color="000000" w:sz="6" w:space="0"/>
              <w:right w:val="single" w:color="000000" w:sz="6" w:space="0"/>
            </w:tcBorders>
            <w:vAlign w:val="center"/>
          </w:tcPr>
          <w:p>
            <w:pPr>
              <w:pStyle w:val="31"/>
              <w:textAlignment w:val="center"/>
              <w:rPr>
                <w:rFonts w:ascii="Times New Roman" w:hAnsi="Times New Roman" w:eastAsia="宋体"/>
                <w:b/>
                <w:bCs/>
                <w:color w:val="auto"/>
                <w:spacing w:val="0"/>
                <w:sz w:val="21"/>
                <w:szCs w:val="21"/>
                <w:highlight w:val="none"/>
              </w:rPr>
            </w:pPr>
            <w:r>
              <w:rPr>
                <w:rFonts w:ascii="Times New Roman" w:hAnsi="Times New Roman" w:eastAsia="宋体"/>
                <w:b/>
                <w:bCs/>
                <w:color w:val="auto"/>
                <w:spacing w:val="0"/>
                <w:sz w:val="21"/>
                <w:szCs w:val="21"/>
                <w:highlight w:val="none"/>
              </w:rPr>
              <w:t>预警分级</w:t>
            </w:r>
          </w:p>
        </w:tc>
        <w:tc>
          <w:tcPr>
            <w:tcW w:w="1074" w:type="dxa"/>
            <w:tcBorders>
              <w:top w:val="single" w:color="000000" w:sz="12" w:space="0"/>
              <w:left w:val="single" w:color="000000" w:sz="6" w:space="0"/>
              <w:bottom w:val="single" w:color="000000" w:sz="6" w:space="0"/>
              <w:right w:val="single" w:color="000000" w:sz="6" w:space="0"/>
            </w:tcBorders>
            <w:vAlign w:val="center"/>
          </w:tcPr>
          <w:p>
            <w:pPr>
              <w:pStyle w:val="31"/>
              <w:textAlignment w:val="center"/>
              <w:rPr>
                <w:rFonts w:ascii="Times New Roman" w:hAnsi="Times New Roman" w:eastAsia="宋体"/>
                <w:b/>
                <w:bCs/>
                <w:color w:val="auto"/>
                <w:spacing w:val="0"/>
                <w:sz w:val="21"/>
                <w:szCs w:val="21"/>
                <w:highlight w:val="none"/>
              </w:rPr>
            </w:pPr>
            <w:r>
              <w:rPr>
                <w:rFonts w:ascii="Times New Roman" w:hAnsi="Times New Roman" w:eastAsia="宋体"/>
                <w:b/>
                <w:bCs/>
                <w:color w:val="auto"/>
                <w:spacing w:val="0"/>
                <w:sz w:val="21"/>
                <w:szCs w:val="21"/>
                <w:highlight w:val="none"/>
              </w:rPr>
              <w:t>响应分级</w:t>
            </w:r>
          </w:p>
        </w:tc>
        <w:tc>
          <w:tcPr>
            <w:tcW w:w="1486" w:type="dxa"/>
            <w:tcBorders>
              <w:top w:val="single" w:color="000000" w:sz="12" w:space="0"/>
              <w:left w:val="single" w:color="000000" w:sz="6" w:space="0"/>
              <w:bottom w:val="single" w:color="000000" w:sz="6" w:space="0"/>
              <w:right w:val="single" w:color="000000" w:sz="6" w:space="0"/>
            </w:tcBorders>
            <w:vAlign w:val="center"/>
          </w:tcPr>
          <w:p>
            <w:pPr>
              <w:pStyle w:val="31"/>
              <w:textAlignment w:val="center"/>
              <w:rPr>
                <w:rFonts w:ascii="Times New Roman" w:hAnsi="Times New Roman" w:eastAsia="宋体"/>
                <w:b/>
                <w:bCs/>
                <w:color w:val="auto"/>
                <w:spacing w:val="0"/>
                <w:sz w:val="21"/>
                <w:szCs w:val="21"/>
                <w:highlight w:val="none"/>
              </w:rPr>
            </w:pPr>
            <w:r>
              <w:rPr>
                <w:rFonts w:ascii="Times New Roman" w:hAnsi="Times New Roman" w:eastAsia="宋体"/>
                <w:b/>
                <w:bCs/>
                <w:color w:val="auto"/>
                <w:spacing w:val="0"/>
                <w:sz w:val="21"/>
                <w:szCs w:val="21"/>
                <w:highlight w:val="none"/>
              </w:rPr>
              <w:t>指挥机构分级</w:t>
            </w:r>
          </w:p>
        </w:tc>
        <w:tc>
          <w:tcPr>
            <w:tcW w:w="1905" w:type="dxa"/>
            <w:tcBorders>
              <w:top w:val="single" w:color="000000" w:sz="12" w:space="0"/>
              <w:left w:val="single" w:color="000000" w:sz="6" w:space="0"/>
              <w:bottom w:val="single" w:color="000000" w:sz="6" w:space="0"/>
              <w:right w:val="nil"/>
            </w:tcBorders>
            <w:vAlign w:val="center"/>
          </w:tcPr>
          <w:p>
            <w:pPr>
              <w:pStyle w:val="31"/>
              <w:textAlignment w:val="center"/>
              <w:rPr>
                <w:rFonts w:ascii="Times New Roman" w:hAnsi="Times New Roman" w:eastAsia="宋体"/>
                <w:b/>
                <w:bCs/>
                <w:color w:val="auto"/>
                <w:spacing w:val="0"/>
                <w:sz w:val="21"/>
                <w:szCs w:val="21"/>
                <w:highlight w:val="none"/>
              </w:rPr>
            </w:pPr>
            <w:r>
              <w:rPr>
                <w:rFonts w:ascii="Times New Roman" w:hAnsi="Times New Roman" w:eastAsia="宋体"/>
                <w:b/>
                <w:bCs/>
                <w:color w:val="auto"/>
                <w:spacing w:val="0"/>
                <w:sz w:val="21"/>
                <w:szCs w:val="21"/>
                <w:highlight w:val="none"/>
              </w:rPr>
              <w:t>预案体系分级</w:t>
            </w:r>
          </w:p>
        </w:tc>
        <w:tc>
          <w:tcPr>
            <w:tcW w:w="1515" w:type="dxa"/>
            <w:tcBorders>
              <w:top w:val="single" w:color="000000" w:sz="12" w:space="0"/>
              <w:left w:val="single" w:color="000000" w:sz="6" w:space="0"/>
              <w:bottom w:val="single" w:color="000000" w:sz="6" w:space="0"/>
              <w:right w:val="nil"/>
            </w:tcBorders>
            <w:vAlign w:val="center"/>
          </w:tcPr>
          <w:p>
            <w:pPr>
              <w:pStyle w:val="31"/>
              <w:textAlignment w:val="center"/>
              <w:rPr>
                <w:rFonts w:ascii="Times New Roman" w:hAnsi="Times New Roman" w:eastAsia="宋体"/>
                <w:b/>
                <w:bCs/>
                <w:color w:val="auto"/>
                <w:spacing w:val="0"/>
                <w:sz w:val="21"/>
                <w:szCs w:val="21"/>
                <w:highlight w:val="none"/>
              </w:rPr>
            </w:pPr>
            <w:r>
              <w:rPr>
                <w:rFonts w:hint="eastAsia" w:ascii="Times New Roman" w:hAnsi="Times New Roman" w:eastAsia="宋体"/>
                <w:b/>
                <w:bCs/>
                <w:color w:val="auto"/>
                <w:spacing w:val="0"/>
                <w:sz w:val="21"/>
                <w:szCs w:val="21"/>
                <w:highlight w:val="none"/>
                <w:lang w:eastAsia="zh-CN"/>
              </w:rPr>
              <w:t>预警</w:t>
            </w:r>
            <w:r>
              <w:rPr>
                <w:rFonts w:ascii="Times New Roman" w:hAnsi="Times New Roman" w:eastAsia="宋体"/>
                <w:b/>
                <w:bCs/>
                <w:color w:val="auto"/>
                <w:spacing w:val="0"/>
                <w:sz w:val="21"/>
                <w:szCs w:val="21"/>
                <w:highlight w:val="none"/>
              </w:rPr>
              <w:t>发布人</w:t>
            </w:r>
          </w:p>
        </w:tc>
        <w:tc>
          <w:tcPr>
            <w:tcW w:w="1511" w:type="dxa"/>
            <w:tcBorders>
              <w:top w:val="single" w:color="000000" w:sz="12" w:space="0"/>
              <w:left w:val="single" w:color="000000" w:sz="6" w:space="0"/>
              <w:bottom w:val="single" w:color="000000" w:sz="6" w:space="0"/>
              <w:right w:val="nil"/>
            </w:tcBorders>
            <w:vAlign w:val="center"/>
          </w:tcPr>
          <w:p>
            <w:pPr>
              <w:pStyle w:val="31"/>
              <w:textAlignment w:val="center"/>
              <w:rPr>
                <w:rFonts w:ascii="Times New Roman" w:hAnsi="Times New Roman" w:eastAsia="宋体"/>
                <w:b/>
                <w:bCs/>
                <w:color w:val="auto"/>
                <w:spacing w:val="0"/>
                <w:sz w:val="21"/>
                <w:szCs w:val="21"/>
                <w:highlight w:val="none"/>
              </w:rPr>
            </w:pPr>
            <w:r>
              <w:rPr>
                <w:rFonts w:ascii="Times New Roman" w:hAnsi="Times New Roman" w:eastAsia="宋体"/>
                <w:b/>
                <w:bCs/>
                <w:color w:val="auto"/>
                <w:spacing w:val="0"/>
                <w:sz w:val="21"/>
                <w:szCs w:val="21"/>
                <w:highlight w:val="none"/>
              </w:rPr>
              <w:t>现场负责人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6" w:type="dxa"/>
            <w:tcBorders>
              <w:top w:val="single" w:color="000000" w:sz="6" w:space="0"/>
              <w:left w:val="nil"/>
              <w:bottom w:val="single" w:color="000000" w:sz="6"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1</w:t>
            </w:r>
          </w:p>
        </w:tc>
        <w:tc>
          <w:tcPr>
            <w:tcW w:w="10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三级预警</w:t>
            </w:r>
          </w:p>
        </w:tc>
        <w:tc>
          <w:tcPr>
            <w:tcW w:w="10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三级响应</w:t>
            </w:r>
          </w:p>
        </w:tc>
        <w:tc>
          <w:tcPr>
            <w:tcW w:w="148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现场应急小组</w:t>
            </w:r>
          </w:p>
        </w:tc>
        <w:tc>
          <w:tcPr>
            <w:tcW w:w="1905" w:type="dxa"/>
            <w:tcBorders>
              <w:top w:val="single" w:color="000000" w:sz="6" w:space="0"/>
              <w:left w:val="single" w:color="000000" w:sz="6" w:space="0"/>
              <w:bottom w:val="single" w:color="000000" w:sz="6" w:space="0"/>
              <w:right w:val="nil"/>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专项、现场处置预案</w:t>
            </w:r>
          </w:p>
        </w:tc>
        <w:tc>
          <w:tcPr>
            <w:tcW w:w="1515" w:type="dxa"/>
            <w:tcBorders>
              <w:top w:val="single" w:color="000000" w:sz="6" w:space="0"/>
              <w:left w:val="single" w:color="000000" w:sz="6" w:space="0"/>
              <w:bottom w:val="single" w:color="000000" w:sz="6" w:space="0"/>
              <w:right w:val="nil"/>
            </w:tcBorders>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陈海</w:t>
            </w:r>
          </w:p>
        </w:tc>
        <w:tc>
          <w:tcPr>
            <w:tcW w:w="1511" w:type="dxa"/>
            <w:tcBorders>
              <w:top w:val="single" w:color="000000" w:sz="6" w:space="0"/>
              <w:left w:val="single" w:color="000000" w:sz="6" w:space="0"/>
              <w:bottom w:val="single" w:color="000000" w:sz="6" w:space="0"/>
              <w:right w:val="nil"/>
            </w:tcBorders>
            <w:vAlign w:val="center"/>
          </w:tcPr>
          <w:p>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吴科飞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6" w:type="dxa"/>
            <w:tcBorders>
              <w:top w:val="single" w:color="000000" w:sz="6" w:space="0"/>
              <w:left w:val="nil"/>
              <w:bottom w:val="single" w:color="000000" w:sz="6"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2</w:t>
            </w:r>
          </w:p>
        </w:tc>
        <w:tc>
          <w:tcPr>
            <w:tcW w:w="1040"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二级预警</w:t>
            </w:r>
          </w:p>
        </w:tc>
        <w:tc>
          <w:tcPr>
            <w:tcW w:w="1074"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二级响应</w:t>
            </w:r>
          </w:p>
        </w:tc>
        <w:tc>
          <w:tcPr>
            <w:tcW w:w="1486" w:type="dxa"/>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应急指挥中心</w:t>
            </w:r>
          </w:p>
        </w:tc>
        <w:tc>
          <w:tcPr>
            <w:tcW w:w="1905" w:type="dxa"/>
            <w:tcBorders>
              <w:top w:val="single" w:color="000000" w:sz="6" w:space="0"/>
              <w:left w:val="single" w:color="000000" w:sz="6" w:space="0"/>
              <w:bottom w:val="single" w:color="000000" w:sz="6" w:space="0"/>
              <w:right w:val="nil"/>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综合应急预案</w:t>
            </w:r>
          </w:p>
        </w:tc>
        <w:tc>
          <w:tcPr>
            <w:tcW w:w="1515" w:type="dxa"/>
            <w:tcBorders>
              <w:top w:val="single" w:color="000000" w:sz="6" w:space="0"/>
              <w:left w:val="single" w:color="000000" w:sz="6" w:space="0"/>
              <w:bottom w:val="single" w:color="000000" w:sz="6" w:space="0"/>
              <w:right w:val="nil"/>
            </w:tcBorders>
            <w:vAlign w:val="center"/>
          </w:tcPr>
          <w:p>
            <w:pPr>
              <w:jc w:val="center"/>
              <w:rPr>
                <w:color w:val="auto"/>
                <w:sz w:val="21"/>
                <w:szCs w:val="21"/>
                <w:highlight w:val="none"/>
              </w:rPr>
            </w:pPr>
            <w:r>
              <w:rPr>
                <w:rFonts w:hint="eastAsia"/>
                <w:color w:val="auto"/>
                <w:sz w:val="21"/>
                <w:szCs w:val="21"/>
                <w:highlight w:val="none"/>
                <w:lang w:val="en-US" w:eastAsia="zh-CN"/>
              </w:rPr>
              <w:t>陈海</w:t>
            </w:r>
          </w:p>
        </w:tc>
        <w:tc>
          <w:tcPr>
            <w:tcW w:w="1511" w:type="dxa"/>
            <w:tcBorders>
              <w:top w:val="single" w:color="000000" w:sz="6" w:space="0"/>
              <w:left w:val="single" w:color="000000" w:sz="6" w:space="0"/>
              <w:bottom w:val="single" w:color="000000" w:sz="6" w:space="0"/>
              <w:right w:val="nil"/>
            </w:tcBorders>
            <w:vAlign w:val="center"/>
          </w:tcPr>
          <w:p>
            <w:pPr>
              <w:jc w:val="center"/>
              <w:rPr>
                <w:color w:val="auto"/>
                <w:sz w:val="21"/>
                <w:szCs w:val="21"/>
                <w:highlight w:val="none"/>
              </w:rPr>
            </w:pPr>
            <w:r>
              <w:rPr>
                <w:rFonts w:hint="eastAsia"/>
                <w:color w:val="auto"/>
                <w:sz w:val="21"/>
                <w:szCs w:val="21"/>
                <w:highlight w:val="none"/>
                <w:lang w:val="en-US" w:eastAsia="zh-CN"/>
              </w:rPr>
              <w:t>陈海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40" w:hRule="atLeast"/>
          <w:jc w:val="center"/>
        </w:trPr>
        <w:tc>
          <w:tcPr>
            <w:tcW w:w="496" w:type="dxa"/>
            <w:tcBorders>
              <w:top w:val="single" w:color="000000" w:sz="6" w:space="0"/>
              <w:left w:val="nil"/>
              <w:bottom w:val="single" w:color="000000" w:sz="12"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3</w:t>
            </w:r>
          </w:p>
        </w:tc>
        <w:tc>
          <w:tcPr>
            <w:tcW w:w="1040" w:type="dxa"/>
            <w:tcBorders>
              <w:top w:val="single" w:color="000000" w:sz="6" w:space="0"/>
              <w:left w:val="single" w:color="000000" w:sz="6" w:space="0"/>
              <w:bottom w:val="single" w:color="000000" w:sz="12"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一级预警</w:t>
            </w:r>
          </w:p>
        </w:tc>
        <w:tc>
          <w:tcPr>
            <w:tcW w:w="1074" w:type="dxa"/>
            <w:tcBorders>
              <w:top w:val="single" w:color="000000" w:sz="6" w:space="0"/>
              <w:left w:val="single" w:color="000000" w:sz="6" w:space="0"/>
              <w:bottom w:val="single" w:color="000000" w:sz="12" w:space="0"/>
              <w:right w:val="single" w:color="000000" w:sz="6" w:space="0"/>
            </w:tcBorders>
            <w:vAlign w:val="center"/>
          </w:tcPr>
          <w:p>
            <w:pPr>
              <w:autoSpaceDE w:val="0"/>
              <w:autoSpaceDN w:val="0"/>
              <w:adjustRightInd w:val="0"/>
              <w:snapToGrid w:val="0"/>
              <w:jc w:val="center"/>
              <w:rPr>
                <w:color w:val="auto"/>
                <w:sz w:val="21"/>
                <w:szCs w:val="21"/>
                <w:highlight w:val="none"/>
              </w:rPr>
            </w:pPr>
            <w:r>
              <w:rPr>
                <w:color w:val="auto"/>
                <w:sz w:val="21"/>
                <w:szCs w:val="21"/>
                <w:highlight w:val="none"/>
              </w:rPr>
              <w:t>一级响应</w:t>
            </w:r>
          </w:p>
        </w:tc>
        <w:tc>
          <w:tcPr>
            <w:tcW w:w="1486" w:type="dxa"/>
            <w:tcBorders>
              <w:top w:val="single" w:color="000000" w:sz="6" w:space="0"/>
              <w:left w:val="single" w:color="000000" w:sz="6" w:space="0"/>
              <w:bottom w:val="single" w:color="000000" w:sz="12" w:space="0"/>
              <w:right w:val="single" w:color="000000" w:sz="6" w:space="0"/>
            </w:tcBorders>
            <w:vAlign w:val="center"/>
          </w:tcPr>
          <w:p>
            <w:pPr>
              <w:autoSpaceDE w:val="0"/>
              <w:autoSpaceDN w:val="0"/>
              <w:adjustRightInd w:val="0"/>
              <w:snapToGrid w:val="0"/>
              <w:jc w:val="center"/>
              <w:rPr>
                <w:color w:val="auto"/>
                <w:sz w:val="21"/>
                <w:szCs w:val="21"/>
                <w:highlight w:val="none"/>
              </w:rPr>
            </w:pPr>
            <w:r>
              <w:rPr>
                <w:rFonts w:hint="eastAsia"/>
                <w:color w:val="auto"/>
                <w:sz w:val="21"/>
                <w:szCs w:val="21"/>
                <w:highlight w:val="none"/>
              </w:rPr>
              <w:t>惠山</w:t>
            </w:r>
            <w:r>
              <w:rPr>
                <w:color w:val="auto"/>
                <w:sz w:val="21"/>
                <w:szCs w:val="21"/>
                <w:highlight w:val="none"/>
              </w:rPr>
              <w:t>区指挥中心</w:t>
            </w:r>
          </w:p>
        </w:tc>
        <w:tc>
          <w:tcPr>
            <w:tcW w:w="1905" w:type="dxa"/>
            <w:tcBorders>
              <w:top w:val="single" w:color="000000" w:sz="6" w:space="0"/>
              <w:left w:val="single" w:color="000000" w:sz="6" w:space="0"/>
              <w:bottom w:val="single" w:color="000000" w:sz="12" w:space="0"/>
              <w:right w:val="nil"/>
            </w:tcBorders>
            <w:vAlign w:val="center"/>
          </w:tcPr>
          <w:p>
            <w:pPr>
              <w:autoSpaceDE w:val="0"/>
              <w:autoSpaceDN w:val="0"/>
              <w:adjustRightInd w:val="0"/>
              <w:snapToGrid w:val="0"/>
              <w:jc w:val="center"/>
              <w:rPr>
                <w:color w:val="auto"/>
                <w:sz w:val="21"/>
                <w:szCs w:val="21"/>
                <w:highlight w:val="none"/>
              </w:rPr>
            </w:pPr>
            <w:r>
              <w:rPr>
                <w:rFonts w:hint="eastAsia"/>
                <w:color w:val="auto"/>
                <w:sz w:val="21"/>
                <w:szCs w:val="21"/>
                <w:highlight w:val="none"/>
              </w:rPr>
              <w:t>无锡金属表面处理科技工业园</w:t>
            </w:r>
            <w:r>
              <w:rPr>
                <w:rFonts w:hint="eastAsia"/>
                <w:color w:val="auto"/>
                <w:sz w:val="21"/>
                <w:szCs w:val="21"/>
                <w:highlight w:val="none"/>
                <w:lang w:val="en-US" w:eastAsia="zh-CN"/>
              </w:rPr>
              <w:t>区</w:t>
            </w:r>
          </w:p>
        </w:tc>
        <w:tc>
          <w:tcPr>
            <w:tcW w:w="1515" w:type="dxa"/>
            <w:tcBorders>
              <w:top w:val="single" w:color="000000" w:sz="6" w:space="0"/>
              <w:left w:val="single" w:color="000000" w:sz="6" w:space="0"/>
              <w:bottom w:val="single" w:color="000000" w:sz="12" w:space="0"/>
              <w:right w:val="nil"/>
            </w:tcBorders>
            <w:vAlign w:val="center"/>
          </w:tcPr>
          <w:p>
            <w:pPr>
              <w:jc w:val="center"/>
              <w:rPr>
                <w:color w:val="auto"/>
                <w:sz w:val="21"/>
                <w:szCs w:val="21"/>
                <w:highlight w:val="none"/>
              </w:rPr>
            </w:pPr>
            <w:r>
              <w:rPr>
                <w:rFonts w:hint="eastAsia"/>
                <w:color w:val="auto"/>
                <w:sz w:val="21"/>
                <w:szCs w:val="21"/>
                <w:highlight w:val="none"/>
                <w:lang w:val="en-US" w:eastAsia="zh-CN"/>
              </w:rPr>
              <w:t>陈海</w:t>
            </w:r>
          </w:p>
        </w:tc>
        <w:tc>
          <w:tcPr>
            <w:tcW w:w="1511" w:type="dxa"/>
            <w:tcBorders>
              <w:top w:val="single" w:color="000000" w:sz="6" w:space="0"/>
              <w:left w:val="single" w:color="000000" w:sz="6" w:space="0"/>
              <w:bottom w:val="single" w:color="000000" w:sz="12" w:space="0"/>
              <w:right w:val="nil"/>
            </w:tcBorders>
            <w:vAlign w:val="center"/>
          </w:tcPr>
          <w:p>
            <w:pPr>
              <w:autoSpaceDE w:val="0"/>
              <w:autoSpaceDN w:val="0"/>
              <w:adjustRightInd w:val="0"/>
              <w:snapToGrid w:val="0"/>
              <w:jc w:val="center"/>
              <w:rPr>
                <w:color w:val="auto"/>
                <w:sz w:val="21"/>
                <w:szCs w:val="21"/>
                <w:highlight w:val="none"/>
              </w:rPr>
            </w:pPr>
            <w:r>
              <w:rPr>
                <w:rFonts w:hint="eastAsia"/>
                <w:color w:val="auto"/>
                <w:sz w:val="21"/>
                <w:szCs w:val="21"/>
                <w:highlight w:val="none"/>
              </w:rPr>
              <w:t>无锡金属表面处理科技工业园</w:t>
            </w:r>
            <w:r>
              <w:rPr>
                <w:rFonts w:hint="eastAsia"/>
                <w:color w:val="auto"/>
                <w:sz w:val="21"/>
                <w:szCs w:val="21"/>
                <w:highlight w:val="none"/>
                <w:lang w:val="en-US" w:eastAsia="zh-CN"/>
              </w:rPr>
              <w:t>区</w:t>
            </w:r>
            <w:r>
              <w:rPr>
                <w:rFonts w:hint="default" w:ascii="Times New Roman" w:hAnsi="Times New Roman" w:cs="Times New Roman"/>
                <w:color w:val="auto"/>
                <w:sz w:val="21"/>
                <w:szCs w:val="21"/>
                <w:highlight w:val="none"/>
              </w:rPr>
              <w:t>应急救援指挥</w:t>
            </w:r>
          </w:p>
        </w:tc>
      </w:tr>
    </w:tbl>
    <w:p>
      <w:pPr>
        <w:pStyle w:val="32"/>
        <w:rPr>
          <w:rFonts w:eastAsia="宋体"/>
          <w:color w:val="auto"/>
          <w:highlight w:val="none"/>
        </w:rPr>
      </w:pPr>
    </w:p>
    <w:p>
      <w:pPr>
        <w:pStyle w:val="32"/>
        <w:jc w:val="center"/>
        <w:rPr>
          <w:rFonts w:eastAsia="宋体"/>
          <w:color w:val="auto"/>
          <w:highlight w:val="none"/>
        </w:rPr>
      </w:pPr>
      <w:r>
        <w:rPr>
          <w:color w:val="auto"/>
          <w:highlight w:val="none"/>
        </w:rPr>
        <w:drawing>
          <wp:inline distT="0" distB="0" distL="114300" distR="114300">
            <wp:extent cx="5200650" cy="5553075"/>
            <wp:effectExtent l="0" t="0" r="0" b="9525"/>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pic:cNvPicPr>
                  </pic:nvPicPr>
                  <pic:blipFill>
                    <a:blip r:embed="rId10"/>
                    <a:stretch>
                      <a:fillRect/>
                    </a:stretch>
                  </pic:blipFill>
                  <pic:spPr>
                    <a:xfrm>
                      <a:off x="0" y="0"/>
                      <a:ext cx="5200650" cy="5553075"/>
                    </a:xfrm>
                    <a:prstGeom prst="rect">
                      <a:avLst/>
                    </a:prstGeom>
                    <a:noFill/>
                    <a:ln>
                      <a:noFill/>
                    </a:ln>
                  </pic:spPr>
                </pic:pic>
              </a:graphicData>
            </a:graphic>
          </wp:inline>
        </w:drawing>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3389630</wp:posOffset>
                </wp:positionH>
                <wp:positionV relativeFrom="paragraph">
                  <wp:posOffset>1918335</wp:posOffset>
                </wp:positionV>
                <wp:extent cx="911225" cy="292735"/>
                <wp:effectExtent l="4445" t="5080" r="17780" b="6985"/>
                <wp:wrapNone/>
                <wp:docPr id="12" name="文本框 12"/>
                <wp:cNvGraphicFramePr/>
                <a:graphic xmlns:a="http://schemas.openxmlformats.org/drawingml/2006/main">
                  <a:graphicData uri="http://schemas.microsoft.com/office/word/2010/wordprocessingShape">
                    <wps:wsp>
                      <wps:cNvSpPr txBox="1"/>
                      <wps:spPr>
                        <a:xfrm>
                          <a:off x="4304030" y="2808605"/>
                          <a:ext cx="911225" cy="292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b/>
                                <w:bCs/>
                                <w:sz w:val="21"/>
                                <w:szCs w:val="21"/>
                              </w:rPr>
                            </w:pPr>
                            <w:r>
                              <w:rPr>
                                <w:rFonts w:hint="eastAsia"/>
                                <w:b/>
                                <w:bCs/>
                                <w:sz w:val="21"/>
                                <w:szCs w:val="21"/>
                              </w:rPr>
                              <w:t>三级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9pt;margin-top:151.05pt;height:23.05pt;width:71.75pt;z-index:251662336;mso-width-relative:page;mso-height-relative:page;" fillcolor="#FFFFFF [3201]" filled="t" stroked="t" coordsize="21600,21600" o:gfxdata="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QICzR2AAAAAsBAAAPAAAAAAAAAAEAIAAAACIAAABkcnMvZG93bnJldi54bWxQSwEC&#10;FAAUAAAACACHTuJAQD6lM2YCAADEBAAADgAAAAAAAAABACAAAAAnAQAAZHJzL2Uyb0RvYy54bWxQ&#10;SwUGAAAAAAYABgBZAQAA/wUAAAAA&#10;">
                <v:fill on="t" focussize="0,0"/>
                <v:stroke weight="0.5pt" color="#000000 [3204]" joinstyle="round"/>
                <v:imagedata o:title=""/>
                <o:lock v:ext="edit" aspectratio="f"/>
                <v:textbox>
                  <w:txbxContent>
                    <w:p>
                      <w:pPr>
                        <w:rPr>
                          <w:b/>
                          <w:bCs/>
                          <w:sz w:val="21"/>
                          <w:szCs w:val="21"/>
                        </w:rPr>
                      </w:pPr>
                      <w:r>
                        <w:rPr>
                          <w:rFonts w:hint="eastAsia"/>
                          <w:b/>
                          <w:bCs/>
                          <w:sz w:val="21"/>
                          <w:szCs w:val="21"/>
                        </w:rPr>
                        <w:t>三级</w:t>
                      </w:r>
                    </w:p>
                  </w:txbxContent>
                </v:textbox>
              </v:shape>
            </w:pict>
          </mc:Fallback>
        </mc:AlternateContent>
      </w:r>
    </w:p>
    <w:p>
      <w:pPr>
        <w:autoSpaceDE w:val="0"/>
        <w:autoSpaceDN w:val="0"/>
        <w:adjustRightInd w:val="0"/>
        <w:spacing w:line="360" w:lineRule="auto"/>
        <w:ind w:firstLine="482" w:firstLineChars="200"/>
        <w:jc w:val="center"/>
        <w:rPr>
          <w:b/>
          <w:bCs/>
          <w:color w:val="auto"/>
          <w:highlight w:val="none"/>
        </w:rPr>
      </w:pPr>
      <w:r>
        <w:rPr>
          <w:b/>
          <w:bCs/>
          <w:color w:val="auto"/>
          <w:highlight w:val="none"/>
        </w:rPr>
        <w:t>图6.2-1  应急响应流程示意图</w:t>
      </w:r>
    </w:p>
    <w:p>
      <w:pPr>
        <w:pStyle w:val="5"/>
        <w:rPr>
          <w:color w:val="auto"/>
          <w:highlight w:val="none"/>
        </w:rPr>
      </w:pPr>
      <w:bookmarkStart w:id="134" w:name="_Toc29466"/>
      <w:bookmarkStart w:id="135" w:name="_Toc28103271"/>
      <w:r>
        <w:rPr>
          <w:color w:val="auto"/>
          <w:highlight w:val="none"/>
        </w:rPr>
        <w:t>6.3 应急启动</w:t>
      </w:r>
      <w:bookmarkEnd w:id="134"/>
    </w:p>
    <w:p>
      <w:pPr>
        <w:pStyle w:val="6"/>
        <w:rPr>
          <w:color w:val="auto"/>
          <w:highlight w:val="none"/>
        </w:rPr>
      </w:pPr>
      <w:r>
        <w:rPr>
          <w:color w:val="auto"/>
          <w:highlight w:val="none"/>
        </w:rPr>
        <w:t>6.3.1 分级</w:t>
      </w:r>
      <w:bookmarkEnd w:id="135"/>
      <w:r>
        <w:rPr>
          <w:color w:val="auto"/>
          <w:highlight w:val="none"/>
        </w:rPr>
        <w:t>响应启动</w:t>
      </w:r>
    </w:p>
    <w:p>
      <w:pPr>
        <w:autoSpaceDE w:val="0"/>
        <w:autoSpaceDN w:val="0"/>
        <w:adjustRightInd w:val="0"/>
        <w:spacing w:line="360" w:lineRule="auto"/>
        <w:ind w:firstLine="482" w:firstLineChars="200"/>
        <w:rPr>
          <w:b/>
          <w:color w:val="auto"/>
          <w:highlight w:val="none"/>
        </w:rPr>
      </w:pPr>
      <w:r>
        <w:rPr>
          <w:b/>
          <w:color w:val="auto"/>
          <w:highlight w:val="none"/>
        </w:rPr>
        <w:t>（1）Ⅰ级突发环境污染事件应急响应启动</w:t>
      </w:r>
    </w:p>
    <w:p>
      <w:pPr>
        <w:autoSpaceDE w:val="0"/>
        <w:autoSpaceDN w:val="0"/>
        <w:adjustRightInd w:val="0"/>
        <w:spacing w:line="360" w:lineRule="auto"/>
        <w:ind w:firstLine="480" w:firstLineChars="200"/>
        <w:rPr>
          <w:color w:val="auto"/>
          <w:highlight w:val="none"/>
        </w:rPr>
      </w:pPr>
      <w:r>
        <w:rPr>
          <w:color w:val="auto"/>
          <w:highlight w:val="none"/>
        </w:rPr>
        <w:t>Ⅰ级突发环境污染事件是对企业的生产和人员安全造成重大危害和威胁，严重影响到周围环境和人员安全，造成或可能造成人员伤亡、财产损失和环境破坏，需要动用外部应急救援力量和资源进行应急处置的环境污染事件。当重大环境污染事件发生时，企业内部应急力量予以先期处置，并由应急救援指挥部第</w:t>
      </w:r>
      <w:r>
        <w:rPr>
          <w:rFonts w:hint="eastAsia" w:ascii="Times New Roman" w:hAnsi="Times New Roman" w:eastAsia="宋体" w:cs="Times New Roman"/>
          <w:color w:val="auto"/>
          <w:highlight w:val="none"/>
        </w:rPr>
        <w:t>一时间请求无锡金属表面处理科技工业园</w:t>
      </w:r>
      <w:r>
        <w:rPr>
          <w:rFonts w:hint="eastAsia" w:ascii="Times New Roman" w:hAnsi="Times New Roman" w:eastAsia="宋体" w:cs="Times New Roman"/>
          <w:color w:val="auto"/>
          <w:highlight w:val="none"/>
          <w:lang w:val="en-US" w:eastAsia="zh-CN"/>
        </w:rPr>
        <w:t>区</w:t>
      </w:r>
      <w:r>
        <w:rPr>
          <w:rFonts w:hint="default" w:ascii="Times New Roman" w:hAnsi="Times New Roman" w:eastAsia="宋体" w:cs="Times New Roman"/>
          <w:color w:val="auto"/>
          <w:highlight w:val="none"/>
        </w:rPr>
        <w:t>应急救援指挥</w:t>
      </w:r>
      <w:r>
        <w:rPr>
          <w:rFonts w:hint="eastAsia" w:ascii="Times New Roman" w:hAnsi="Times New Roman" w:eastAsia="宋体" w:cs="Times New Roman"/>
          <w:color w:val="auto"/>
          <w:highlight w:val="none"/>
          <w:lang w:val="en-US" w:eastAsia="zh-CN"/>
        </w:rPr>
        <w:t>中心以及</w:t>
      </w:r>
      <w:r>
        <w:rPr>
          <w:rFonts w:hint="eastAsia" w:ascii="Times New Roman" w:hAnsi="Times New Roman" w:eastAsia="宋体" w:cs="Times New Roman"/>
          <w:color w:val="auto"/>
          <w:highlight w:val="none"/>
        </w:rPr>
        <w:t>惠山区环保、消防、公安和医疗等相关力量协助</w:t>
      </w:r>
      <w:r>
        <w:rPr>
          <w:color w:val="auto"/>
          <w:highlight w:val="none"/>
        </w:rPr>
        <w:t>。待外部应急力量到达现场后，与企业内部应急力量共同处置事故。具体应急响应措施如下：</w:t>
      </w:r>
    </w:p>
    <w:p>
      <w:pPr>
        <w:autoSpaceDE w:val="0"/>
        <w:autoSpaceDN w:val="0"/>
        <w:adjustRightInd w:val="0"/>
        <w:spacing w:line="360" w:lineRule="auto"/>
        <w:ind w:firstLine="480" w:firstLineChars="200"/>
        <w:rPr>
          <w:color w:val="auto"/>
          <w:highlight w:val="none"/>
        </w:rPr>
      </w:pPr>
      <w:r>
        <w:rPr>
          <w:color w:val="auto"/>
          <w:highlight w:val="none"/>
        </w:rPr>
        <w:t>①启动Ⅰ级应急响应程序，企业内部应急力量予以先期处置，控制事故危险源，及时进行人员疏散和转移，同时开展抢险救援，防止扩大事故范围和事故程度。如当节假日、夜班发生紧急情况，应急领导小组成员不在现场时报警负责人在领导小组成员未到达之前应当担任临时总指挥职务，履行总指挥职责。</w:t>
      </w:r>
    </w:p>
    <w:p>
      <w:pPr>
        <w:autoSpaceDE w:val="0"/>
        <w:autoSpaceDN w:val="0"/>
        <w:adjustRightInd w:val="0"/>
        <w:spacing w:line="360" w:lineRule="auto"/>
        <w:ind w:firstLine="480" w:firstLineChars="200"/>
        <w:rPr>
          <w:color w:val="auto"/>
          <w:sz w:val="24"/>
          <w:szCs w:val="24"/>
          <w:highlight w:val="none"/>
        </w:rPr>
      </w:pPr>
      <w:r>
        <w:rPr>
          <w:color w:val="auto"/>
          <w:sz w:val="24"/>
          <w:szCs w:val="24"/>
          <w:highlight w:val="none"/>
        </w:rPr>
        <w:t>②事故上报给</w:t>
      </w:r>
      <w:r>
        <w:rPr>
          <w:rFonts w:hint="eastAsia"/>
          <w:color w:val="auto"/>
          <w:sz w:val="24"/>
          <w:szCs w:val="24"/>
          <w:highlight w:val="none"/>
        </w:rPr>
        <w:t>无锡金属表面处理科技工业园</w:t>
      </w:r>
      <w:r>
        <w:rPr>
          <w:rFonts w:hint="eastAsia"/>
          <w:color w:val="auto"/>
          <w:sz w:val="24"/>
          <w:szCs w:val="24"/>
          <w:highlight w:val="none"/>
          <w:lang w:val="en-US" w:eastAsia="zh-CN"/>
        </w:rPr>
        <w:t>区</w:t>
      </w:r>
      <w:r>
        <w:rPr>
          <w:color w:val="auto"/>
          <w:sz w:val="24"/>
          <w:szCs w:val="24"/>
          <w:highlight w:val="none"/>
        </w:rPr>
        <w:t>，指挥权转到</w:t>
      </w:r>
      <w:r>
        <w:rPr>
          <w:rFonts w:hint="eastAsia"/>
          <w:color w:val="auto"/>
          <w:sz w:val="24"/>
          <w:szCs w:val="24"/>
          <w:highlight w:val="none"/>
        </w:rPr>
        <w:t>无锡金属表面处理科技工业园</w:t>
      </w:r>
      <w:r>
        <w:rPr>
          <w:rFonts w:hint="eastAsia"/>
          <w:color w:val="auto"/>
          <w:sz w:val="24"/>
          <w:szCs w:val="24"/>
          <w:highlight w:val="none"/>
          <w:lang w:val="en-US" w:eastAsia="zh-CN"/>
        </w:rPr>
        <w:t>区</w:t>
      </w:r>
      <w:r>
        <w:rPr>
          <w:color w:val="auto"/>
          <w:sz w:val="24"/>
          <w:szCs w:val="24"/>
          <w:highlight w:val="none"/>
        </w:rPr>
        <w:t>，</w:t>
      </w:r>
      <w:r>
        <w:rPr>
          <w:rFonts w:hint="eastAsia"/>
          <w:color w:val="auto"/>
          <w:sz w:val="24"/>
          <w:szCs w:val="24"/>
          <w:highlight w:val="none"/>
        </w:rPr>
        <w:t>无锡金属表面处理科技工业园</w:t>
      </w:r>
      <w:r>
        <w:rPr>
          <w:rFonts w:hint="eastAsia"/>
          <w:color w:val="auto"/>
          <w:sz w:val="24"/>
          <w:szCs w:val="24"/>
          <w:highlight w:val="none"/>
          <w:lang w:val="en-US" w:eastAsia="zh-CN"/>
        </w:rPr>
        <w:t>区</w:t>
      </w:r>
      <w:r>
        <w:rPr>
          <w:color w:val="auto"/>
          <w:sz w:val="24"/>
          <w:szCs w:val="24"/>
          <w:highlight w:val="none"/>
        </w:rPr>
        <w:t>接到事件报告后，立即通知</w:t>
      </w:r>
      <w:r>
        <w:rPr>
          <w:rFonts w:hint="eastAsia"/>
          <w:color w:val="auto"/>
          <w:sz w:val="24"/>
          <w:szCs w:val="24"/>
          <w:highlight w:val="none"/>
        </w:rPr>
        <w:t>无锡金属表面处理科技工业园</w:t>
      </w:r>
      <w:r>
        <w:rPr>
          <w:rFonts w:hint="eastAsia"/>
          <w:color w:val="auto"/>
          <w:sz w:val="24"/>
          <w:szCs w:val="24"/>
          <w:highlight w:val="none"/>
          <w:lang w:val="en-US" w:eastAsia="zh-CN"/>
        </w:rPr>
        <w:t>区</w:t>
      </w:r>
      <w:r>
        <w:rPr>
          <w:color w:val="auto"/>
          <w:sz w:val="24"/>
          <w:szCs w:val="24"/>
          <w:highlight w:val="none"/>
        </w:rPr>
        <w:t>突发环境事件应急指挥中心，并联系相关救援专家，同时向发生事件的企业单位应急救援指挥部了解事件情况，并调出指挥中心储存的与时间有关的资料（环境风险源、危险物质、敏感保护目标等），为指挥中心分析事件提供依据；视情由指挥中心总指挥或副总指挥、区值班领导、相关专家和指挥通信人员，根据事件级别，组成现场指挥部，迅速奔赴事件现场，会同发生事件的企业单位应急救援指挥部实施现场指挥调度，按照事件应急救援预案，做好指挥、领导工作。积极配合政府领导及专家的救援工作，Ⅰ级环境污染事件责任人：唐伟。</w:t>
      </w:r>
    </w:p>
    <w:p>
      <w:pPr>
        <w:autoSpaceDE w:val="0"/>
        <w:autoSpaceDN w:val="0"/>
        <w:adjustRightInd w:val="0"/>
        <w:spacing w:line="360" w:lineRule="auto"/>
        <w:ind w:firstLine="480" w:firstLineChars="200"/>
        <w:rPr>
          <w:color w:val="auto"/>
          <w:sz w:val="24"/>
          <w:szCs w:val="24"/>
          <w:highlight w:val="none"/>
        </w:rPr>
      </w:pPr>
      <w:r>
        <w:rPr>
          <w:color w:val="auto"/>
          <w:sz w:val="24"/>
          <w:szCs w:val="24"/>
          <w:highlight w:val="none"/>
        </w:rPr>
        <w:t>③根据事故时污染物的性质，事件类型、可控性、严重程度和影响范围，结合事件发生企业单位的应急预案作出应急响应工作，可及时启用区应急设施和应急物资，必要时可调度园区内其他单位的应急救援队伍，对危险区进行设定、隔离。</w:t>
      </w:r>
    </w:p>
    <w:p>
      <w:pPr>
        <w:autoSpaceDE w:val="0"/>
        <w:autoSpaceDN w:val="0"/>
        <w:adjustRightInd w:val="0"/>
        <w:spacing w:line="360" w:lineRule="auto"/>
        <w:ind w:firstLine="480" w:firstLineChars="200"/>
        <w:rPr>
          <w:color w:val="auto"/>
          <w:sz w:val="24"/>
          <w:szCs w:val="24"/>
          <w:highlight w:val="none"/>
        </w:rPr>
      </w:pPr>
      <w:r>
        <w:rPr>
          <w:color w:val="auto"/>
          <w:sz w:val="24"/>
          <w:szCs w:val="24"/>
          <w:highlight w:val="none"/>
        </w:rPr>
        <w:t>④根据事故发展形势，上报给</w:t>
      </w:r>
      <w:r>
        <w:rPr>
          <w:rFonts w:hint="eastAsia"/>
          <w:color w:val="auto"/>
          <w:sz w:val="24"/>
          <w:szCs w:val="24"/>
          <w:highlight w:val="none"/>
        </w:rPr>
        <w:t>惠山</w:t>
      </w:r>
      <w:r>
        <w:rPr>
          <w:color w:val="auto"/>
          <w:sz w:val="24"/>
          <w:szCs w:val="24"/>
          <w:highlight w:val="none"/>
        </w:rPr>
        <w:t>区政府、</w:t>
      </w:r>
      <w:r>
        <w:rPr>
          <w:rFonts w:hint="eastAsia"/>
          <w:color w:val="auto"/>
          <w:sz w:val="24"/>
          <w:szCs w:val="24"/>
          <w:highlight w:val="none"/>
        </w:rPr>
        <w:t>惠山</w:t>
      </w:r>
      <w:r>
        <w:rPr>
          <w:color w:val="auto"/>
          <w:sz w:val="24"/>
          <w:szCs w:val="24"/>
          <w:highlight w:val="none"/>
        </w:rPr>
        <w:t>生态环境局、</w:t>
      </w:r>
      <w:r>
        <w:rPr>
          <w:rFonts w:hint="eastAsia"/>
          <w:color w:val="auto"/>
          <w:sz w:val="24"/>
          <w:szCs w:val="24"/>
          <w:highlight w:val="none"/>
        </w:rPr>
        <w:t>惠山</w:t>
      </w:r>
      <w:r>
        <w:rPr>
          <w:color w:val="auto"/>
          <w:sz w:val="24"/>
          <w:szCs w:val="24"/>
          <w:highlight w:val="none"/>
        </w:rPr>
        <w:t>区应急管理局等单位。</w:t>
      </w:r>
    </w:p>
    <w:p>
      <w:pPr>
        <w:autoSpaceDE w:val="0"/>
        <w:autoSpaceDN w:val="0"/>
        <w:adjustRightInd w:val="0"/>
        <w:spacing w:line="360" w:lineRule="auto"/>
        <w:ind w:firstLine="480" w:firstLineChars="200"/>
        <w:rPr>
          <w:color w:val="auto"/>
          <w:sz w:val="24"/>
          <w:szCs w:val="24"/>
          <w:highlight w:val="none"/>
        </w:rPr>
      </w:pPr>
      <w:r>
        <w:rPr>
          <w:color w:val="auto"/>
          <w:sz w:val="24"/>
          <w:szCs w:val="24"/>
          <w:highlight w:val="none"/>
        </w:rPr>
        <w:t>⑤立即联系</w:t>
      </w:r>
      <w:r>
        <w:rPr>
          <w:rFonts w:hint="eastAsia"/>
          <w:color w:val="auto"/>
          <w:sz w:val="24"/>
          <w:szCs w:val="24"/>
          <w:highlight w:val="none"/>
        </w:rPr>
        <w:t>惠山</w:t>
      </w:r>
      <w:r>
        <w:rPr>
          <w:color w:val="auto"/>
          <w:sz w:val="24"/>
          <w:szCs w:val="24"/>
          <w:highlight w:val="none"/>
        </w:rPr>
        <w:t>区环保、消防、公安和医疗等，并接应外部应急求援力量，配合其进行全力抢救抢险。</w:t>
      </w:r>
    </w:p>
    <w:p>
      <w:pPr>
        <w:autoSpaceDE w:val="0"/>
        <w:autoSpaceDN w:val="0"/>
        <w:adjustRightInd w:val="0"/>
        <w:spacing w:line="360" w:lineRule="auto"/>
        <w:ind w:firstLine="480" w:firstLineChars="200"/>
        <w:rPr>
          <w:color w:val="auto"/>
          <w:spacing w:val="-8"/>
          <w:sz w:val="24"/>
          <w:szCs w:val="24"/>
          <w:highlight w:val="none"/>
        </w:rPr>
      </w:pPr>
      <w:r>
        <w:rPr>
          <w:color w:val="auto"/>
          <w:sz w:val="24"/>
          <w:szCs w:val="24"/>
          <w:highlight w:val="none"/>
        </w:rPr>
        <w:t>⑥</w:t>
      </w:r>
      <w:r>
        <w:rPr>
          <w:color w:val="auto"/>
          <w:spacing w:val="-8"/>
          <w:sz w:val="24"/>
          <w:szCs w:val="24"/>
          <w:highlight w:val="none"/>
        </w:rPr>
        <w:t>事故后现场恢复和清理，消防废水收集处理后由相关单位处理。</w:t>
      </w:r>
    </w:p>
    <w:p>
      <w:pPr>
        <w:autoSpaceDE w:val="0"/>
        <w:autoSpaceDN w:val="0"/>
        <w:adjustRightInd w:val="0"/>
        <w:spacing w:line="360" w:lineRule="auto"/>
        <w:ind w:firstLine="480" w:firstLineChars="200"/>
        <w:rPr>
          <w:color w:val="auto"/>
          <w:sz w:val="24"/>
          <w:szCs w:val="24"/>
          <w:highlight w:val="none"/>
        </w:rPr>
      </w:pPr>
      <w:r>
        <w:rPr>
          <w:color w:val="auto"/>
          <w:sz w:val="24"/>
          <w:szCs w:val="24"/>
          <w:highlight w:val="none"/>
        </w:rPr>
        <w:t>⑦事故原因调查、事故总结，事故信息最终报告惠山区政府、生态环境局和应急管理局。</w:t>
      </w:r>
    </w:p>
    <w:p>
      <w:pPr>
        <w:autoSpaceDE w:val="0"/>
        <w:autoSpaceDN w:val="0"/>
        <w:adjustRightInd w:val="0"/>
        <w:spacing w:line="360" w:lineRule="auto"/>
        <w:ind w:firstLine="480" w:firstLineChars="200"/>
        <w:rPr>
          <w:color w:val="auto"/>
          <w:sz w:val="24"/>
          <w:szCs w:val="24"/>
          <w:highlight w:val="none"/>
        </w:rPr>
      </w:pPr>
      <w:r>
        <w:rPr>
          <w:color w:val="auto"/>
          <w:sz w:val="24"/>
          <w:szCs w:val="24"/>
          <w:highlight w:val="none"/>
        </w:rPr>
        <w:t>⑧针对事故原因，进行生产、储存环节改进，加强事故预防，并对应急预案进行改进完善，提高应急效率。</w:t>
      </w:r>
    </w:p>
    <w:p>
      <w:pPr>
        <w:pStyle w:val="2"/>
        <w:rPr>
          <w:color w:val="auto"/>
          <w:highlight w:val="none"/>
        </w:rPr>
      </w:pPr>
      <w:r>
        <w:rPr>
          <w:rFonts w:hint="eastAsia"/>
          <w:color w:val="auto"/>
          <w:highlight w:val="none"/>
        </w:rPr>
        <w:t xml:space="preserve">        </w:t>
      </w:r>
      <w:r>
        <w:rPr>
          <w:color w:val="auto"/>
          <w:highlight w:val="none"/>
        </w:rPr>
        <mc:AlternateContent>
          <mc:Choice Requires="wpg">
            <w:drawing>
              <wp:inline distT="0" distB="0" distL="114300" distR="114300">
                <wp:extent cx="4546600" cy="5783580"/>
                <wp:effectExtent l="5080" t="4445" r="20320" b="22225"/>
                <wp:docPr id="1" name="组合 1"/>
                <wp:cNvGraphicFramePr/>
                <a:graphic xmlns:a="http://schemas.openxmlformats.org/drawingml/2006/main">
                  <a:graphicData uri="http://schemas.microsoft.com/office/word/2010/wordprocessingGroup">
                    <wpg:wgp>
                      <wpg:cNvGrpSpPr>
                        <a:grpSpLocks noRot="1"/>
                      </wpg:cNvGrpSpPr>
                      <wpg:grpSpPr>
                        <a:xfrm>
                          <a:off x="0" y="0"/>
                          <a:ext cx="4546600" cy="5783580"/>
                          <a:chOff x="0" y="0"/>
                          <a:chExt cx="5760" cy="8112"/>
                        </a:xfrm>
                      </wpg:grpSpPr>
                      <wpg:grpSp>
                        <wpg:cNvPr id="2" name="组合 469"/>
                        <wpg:cNvGrpSpPr/>
                        <wpg:grpSpPr>
                          <a:xfrm>
                            <a:off x="0" y="3624"/>
                            <a:ext cx="1762" cy="1635"/>
                            <a:chOff x="0" y="0"/>
                            <a:chExt cx="1762" cy="1635"/>
                          </a:xfrm>
                        </wpg:grpSpPr>
                        <wps:wsp>
                          <wps:cNvPr id="460" name="直接连接符 460"/>
                          <wps:cNvCnPr/>
                          <wps:spPr>
                            <a:xfrm flipH="1">
                              <a:off x="1280" y="624"/>
                              <a:ext cx="482" cy="0"/>
                            </a:xfrm>
                            <a:prstGeom prst="line">
                              <a:avLst/>
                            </a:prstGeom>
                            <a:ln w="9525" cap="flat" cmpd="sng">
                              <a:solidFill>
                                <a:srgbClr val="000000"/>
                              </a:solidFill>
                              <a:prstDash val="solid"/>
                              <a:headEnd type="none" w="med" len="med"/>
                              <a:tailEnd type="triangle" w="med" len="med"/>
                            </a:ln>
                          </wps:spPr>
                          <wps:bodyPr/>
                        </wps:wsp>
                        <wps:wsp>
                          <wps:cNvPr id="461" name="矩形 461"/>
                          <wps:cNvSpPr/>
                          <wps:spPr>
                            <a:xfrm>
                              <a:off x="0" y="0"/>
                              <a:ext cx="1280"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环保</w:t>
                                </w:r>
                              </w:p>
                            </w:txbxContent>
                          </wps:txbx>
                          <wps:bodyPr upright="1"/>
                        </wps:wsp>
                        <wps:wsp>
                          <wps:cNvPr id="462" name="矩形 462"/>
                          <wps:cNvSpPr/>
                          <wps:spPr>
                            <a:xfrm>
                              <a:off x="0" y="409"/>
                              <a:ext cx="1280"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消防</w:t>
                                </w:r>
                              </w:p>
                            </w:txbxContent>
                          </wps:txbx>
                          <wps:bodyPr upright="1"/>
                        </wps:wsp>
                        <wps:wsp>
                          <wps:cNvPr id="463" name="矩形 463"/>
                          <wps:cNvSpPr/>
                          <wps:spPr>
                            <a:xfrm>
                              <a:off x="0" y="817"/>
                              <a:ext cx="1280"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公安</w:t>
                                </w:r>
                              </w:p>
                            </w:txbxContent>
                          </wps:txbx>
                          <wps:bodyPr upright="1"/>
                        </wps:wsp>
                        <wps:wsp>
                          <wps:cNvPr id="464" name="矩形 464"/>
                          <wps:cNvSpPr/>
                          <wps:spPr>
                            <a:xfrm>
                              <a:off x="0" y="1226"/>
                              <a:ext cx="1280"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医疗</w:t>
                                </w:r>
                              </w:p>
                            </w:txbxContent>
                          </wps:txbx>
                          <wps:bodyPr upright="1"/>
                        </wps:wsp>
                        <wps:wsp>
                          <wps:cNvPr id="465" name="直接连接符 465"/>
                          <wps:cNvCnPr/>
                          <wps:spPr>
                            <a:xfrm flipV="1">
                              <a:off x="1760" y="198"/>
                              <a:ext cx="0" cy="1219"/>
                            </a:xfrm>
                            <a:prstGeom prst="line">
                              <a:avLst/>
                            </a:prstGeom>
                            <a:ln w="9525" cap="flat" cmpd="sng">
                              <a:solidFill>
                                <a:srgbClr val="000000"/>
                              </a:solidFill>
                              <a:prstDash val="solid"/>
                              <a:headEnd type="none" w="med" len="med"/>
                              <a:tailEnd type="none" w="med" len="med"/>
                            </a:ln>
                          </wps:spPr>
                          <wps:bodyPr/>
                        </wps:wsp>
                        <wps:wsp>
                          <wps:cNvPr id="466" name="直接连接符 466"/>
                          <wps:cNvCnPr/>
                          <wps:spPr>
                            <a:xfrm flipH="1">
                              <a:off x="1280" y="1437"/>
                              <a:ext cx="480" cy="0"/>
                            </a:xfrm>
                            <a:prstGeom prst="line">
                              <a:avLst/>
                            </a:prstGeom>
                            <a:ln w="9525" cap="flat" cmpd="sng">
                              <a:solidFill>
                                <a:srgbClr val="000000"/>
                              </a:solidFill>
                              <a:prstDash val="solid"/>
                              <a:headEnd type="none" w="med" len="med"/>
                              <a:tailEnd type="triangle" w="med" len="med"/>
                            </a:ln>
                          </wps:spPr>
                          <wps:bodyPr/>
                        </wps:wsp>
                        <wps:wsp>
                          <wps:cNvPr id="467" name="直接连接符 467"/>
                          <wps:cNvCnPr/>
                          <wps:spPr>
                            <a:xfrm flipH="1">
                              <a:off x="1280" y="1037"/>
                              <a:ext cx="480" cy="0"/>
                            </a:xfrm>
                            <a:prstGeom prst="line">
                              <a:avLst/>
                            </a:prstGeom>
                            <a:ln w="9525" cap="flat" cmpd="sng">
                              <a:solidFill>
                                <a:srgbClr val="000000"/>
                              </a:solidFill>
                              <a:prstDash val="solid"/>
                              <a:headEnd type="none" w="med" len="med"/>
                              <a:tailEnd type="triangle" w="med" len="med"/>
                            </a:ln>
                          </wps:spPr>
                          <wps:bodyPr/>
                        </wps:wsp>
                        <wps:wsp>
                          <wps:cNvPr id="468" name="直接连接符 468"/>
                          <wps:cNvCnPr/>
                          <wps:spPr>
                            <a:xfrm flipH="1">
                              <a:off x="1280" y="220"/>
                              <a:ext cx="480" cy="0"/>
                            </a:xfrm>
                            <a:prstGeom prst="line">
                              <a:avLst/>
                            </a:prstGeom>
                            <a:ln w="9525" cap="flat" cmpd="sng">
                              <a:solidFill>
                                <a:srgbClr val="000000"/>
                              </a:solidFill>
                              <a:prstDash val="solid"/>
                              <a:headEnd type="none" w="med" len="med"/>
                              <a:tailEnd type="triangle" w="med" len="med"/>
                            </a:ln>
                          </wps:spPr>
                          <wps:bodyPr/>
                        </wps:wsp>
                      </wpg:grpSp>
                      <wpg:grpSp>
                        <wpg:cNvPr id="3" name="组合 517"/>
                        <wpg:cNvGrpSpPr/>
                        <wpg:grpSpPr>
                          <a:xfrm>
                            <a:off x="0" y="0"/>
                            <a:ext cx="5760" cy="8112"/>
                            <a:chOff x="0" y="0"/>
                            <a:chExt cx="5760" cy="8112"/>
                          </a:xfrm>
                        </wpg:grpSpPr>
                        <wps:wsp>
                          <wps:cNvPr id="470" name="椭圆 470"/>
                          <wps:cNvSpPr/>
                          <wps:spPr>
                            <a:xfrm>
                              <a:off x="1600" y="0"/>
                              <a:ext cx="2559" cy="545"/>
                            </a:xfrm>
                            <a:prstGeom prst="ellipse">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ind w:firstLine="266" w:firstLineChars="147"/>
                                  <w:rPr>
                                    <w:rFonts w:ascii="Arial" w:hAnsi="Arial" w:cs="Arial"/>
                                    <w:b/>
                                    <w:sz w:val="18"/>
                                    <w:szCs w:val="18"/>
                                  </w:rPr>
                                </w:pPr>
                                <w:r>
                                  <w:rPr>
                                    <w:rFonts w:ascii="宋体" w:hAnsi="宋体" w:cs="Arial"/>
                                    <w:b/>
                                    <w:sz w:val="18"/>
                                    <w:szCs w:val="18"/>
                                  </w:rPr>
                                  <w:t>Ⅰ</w:t>
                                </w:r>
                                <w:r>
                                  <w:rPr>
                                    <w:rFonts w:ascii="Arial" w:hAnsi="宋体" w:cs="Arial"/>
                                    <w:b/>
                                    <w:sz w:val="18"/>
                                    <w:szCs w:val="18"/>
                                  </w:rPr>
                                  <w:t>级环境污染事件</w:t>
                                </w:r>
                              </w:p>
                            </w:txbxContent>
                          </wps:txbx>
                          <wps:bodyPr upright="1"/>
                        </wps:wsp>
                        <wps:wsp>
                          <wps:cNvPr id="471" name="直接连接符 471"/>
                          <wps:cNvCnPr/>
                          <wps:spPr>
                            <a:xfrm>
                              <a:off x="2880" y="545"/>
                              <a:ext cx="0" cy="545"/>
                            </a:xfrm>
                            <a:prstGeom prst="line">
                              <a:avLst/>
                            </a:prstGeom>
                            <a:ln w="9525" cap="flat" cmpd="sng">
                              <a:solidFill>
                                <a:srgbClr val="000000"/>
                              </a:solidFill>
                              <a:prstDash val="solid"/>
                              <a:headEnd type="none" w="med" len="med"/>
                              <a:tailEnd type="triangle" w="med" len="med"/>
                            </a:ln>
                          </wps:spPr>
                          <wps:bodyPr/>
                        </wps:wsp>
                        <wps:wsp>
                          <wps:cNvPr id="472" name="矩形 472"/>
                          <wps:cNvSpPr/>
                          <wps:spPr>
                            <a:xfrm>
                              <a:off x="1376" y="1090"/>
                              <a:ext cx="3051"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hint="eastAsia" w:ascii="Arial" w:hAnsi="宋体" w:cs="Arial"/>
                                    <w:sz w:val="18"/>
                                    <w:szCs w:val="18"/>
                                  </w:rPr>
                                  <w:t>上报给</w:t>
                                </w:r>
                                <w:r>
                                  <w:rPr>
                                    <w:rFonts w:hint="eastAsia" w:ascii="Arial" w:hAnsi="宋体" w:eastAsia="宋体" w:cs="Arial"/>
                                    <w:sz w:val="18"/>
                                    <w:szCs w:val="18"/>
                                  </w:rPr>
                                  <w:t>无锡金属表面处理科技工业园</w:t>
                                </w:r>
                                <w:r>
                                  <w:rPr>
                                    <w:rFonts w:hint="eastAsia" w:ascii="Arial" w:hAnsi="宋体" w:eastAsia="宋体" w:cs="Arial"/>
                                    <w:sz w:val="18"/>
                                    <w:szCs w:val="18"/>
                                    <w:lang w:val="en-US" w:eastAsia="zh-CN"/>
                                  </w:rPr>
                                  <w:t>区</w:t>
                                </w:r>
                              </w:p>
                            </w:txbxContent>
                          </wps:txbx>
                          <wps:bodyPr upright="1"/>
                        </wps:wsp>
                        <wps:wsp>
                          <wps:cNvPr id="473" name="直接连接符 473"/>
                          <wps:cNvCnPr/>
                          <wps:spPr>
                            <a:xfrm>
                              <a:off x="2880" y="1498"/>
                              <a:ext cx="0" cy="545"/>
                            </a:xfrm>
                            <a:prstGeom prst="line">
                              <a:avLst/>
                            </a:prstGeom>
                            <a:ln w="9525" cap="flat" cmpd="sng">
                              <a:solidFill>
                                <a:srgbClr val="000000"/>
                              </a:solidFill>
                              <a:prstDash val="solid"/>
                              <a:headEnd type="none" w="med" len="med"/>
                              <a:tailEnd type="triangle" w="med" len="med"/>
                            </a:ln>
                          </wps:spPr>
                          <wps:bodyPr/>
                        </wps:wsp>
                        <wps:wsp>
                          <wps:cNvPr id="474" name="矩形 474"/>
                          <wps:cNvSpPr/>
                          <wps:spPr>
                            <a:xfrm>
                              <a:off x="1666" y="2043"/>
                              <a:ext cx="2413" cy="1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before="120" w:beforeLines="50"/>
                                  <w:jc w:val="center"/>
                                  <w:rPr>
                                    <w:rFonts w:hint="default" w:ascii="Arial" w:hAnsi="宋体" w:eastAsia="宋体" w:cs="Arial"/>
                                    <w:sz w:val="18"/>
                                    <w:szCs w:val="18"/>
                                    <w:lang w:val="en-US" w:eastAsia="zh-CN"/>
                                  </w:rPr>
                                </w:pPr>
                                <w:r>
                                  <w:rPr>
                                    <w:rFonts w:hint="eastAsia" w:ascii="Arial" w:hAnsi="宋体" w:eastAsia="宋体" w:cs="Arial"/>
                                    <w:sz w:val="18"/>
                                    <w:szCs w:val="18"/>
                                  </w:rPr>
                                  <w:t>无锡金属表面处理科技工业园</w:t>
                                </w:r>
                                <w:r>
                                  <w:rPr>
                                    <w:rFonts w:hint="eastAsia" w:ascii="Arial" w:hAnsi="宋体" w:eastAsia="宋体" w:cs="Arial"/>
                                    <w:sz w:val="18"/>
                                    <w:szCs w:val="18"/>
                                    <w:lang w:val="en-US" w:eastAsia="zh-CN"/>
                                  </w:rPr>
                                  <w:t>区指挥中心-总指挥</w:t>
                                </w:r>
                              </w:p>
                              <w:p>
                                <w:pPr>
                                  <w:adjustRightInd w:val="0"/>
                                  <w:snapToGrid w:val="0"/>
                                  <w:spacing w:before="120" w:beforeLines="50"/>
                                  <w:jc w:val="center"/>
                                  <w:rPr>
                                    <w:sz w:val="18"/>
                                    <w:szCs w:val="18"/>
                                  </w:rPr>
                                </w:pPr>
                                <w:r>
                                  <w:rPr>
                                    <w:sz w:val="18"/>
                                    <w:szCs w:val="18"/>
                                  </w:rPr>
                                  <w:t>联系电话：</w:t>
                                </w:r>
                                <w:r>
                                  <w:rPr>
                                    <w:rFonts w:hint="eastAsia" w:ascii="TimesNewRomanPSMT" w:hAnsi="TimesNewRomanPSMT" w:eastAsia="TimesNewRomanPSMT"/>
                                    <w:sz w:val="21"/>
                                    <w:szCs w:val="24"/>
                                  </w:rPr>
                                  <w:t>18921538558</w:t>
                                </w:r>
                              </w:p>
                            </w:txbxContent>
                          </wps:txbx>
                          <wps:bodyPr lIns="91440" tIns="10800" rIns="91440" bIns="10800" upright="1"/>
                        </wps:wsp>
                        <wps:wsp>
                          <wps:cNvPr id="475" name="直接连接符 475"/>
                          <wps:cNvCnPr/>
                          <wps:spPr>
                            <a:xfrm>
                              <a:off x="2880" y="2997"/>
                              <a:ext cx="0" cy="545"/>
                            </a:xfrm>
                            <a:prstGeom prst="line">
                              <a:avLst/>
                            </a:prstGeom>
                            <a:ln w="9525" cap="flat" cmpd="sng">
                              <a:solidFill>
                                <a:srgbClr val="000000"/>
                              </a:solidFill>
                              <a:prstDash val="solid"/>
                              <a:headEnd type="none" w="med" len="med"/>
                              <a:tailEnd type="triangle" w="med" len="med"/>
                            </a:ln>
                          </wps:spPr>
                          <wps:bodyPr/>
                        </wps:wsp>
                        <wps:wsp>
                          <wps:cNvPr id="476" name="矩形 476"/>
                          <wps:cNvSpPr/>
                          <wps:spPr>
                            <a:xfrm>
                              <a:off x="2226" y="3542"/>
                              <a:ext cx="1280"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应急启动</w:t>
                                </w:r>
                              </w:p>
                            </w:txbxContent>
                          </wps:txbx>
                          <wps:bodyPr upright="1"/>
                        </wps:wsp>
                        <wps:wsp>
                          <wps:cNvPr id="477" name="直接连接符 477"/>
                          <wps:cNvCnPr/>
                          <wps:spPr>
                            <a:xfrm>
                              <a:off x="2880" y="3950"/>
                              <a:ext cx="0" cy="1090"/>
                            </a:xfrm>
                            <a:prstGeom prst="line">
                              <a:avLst/>
                            </a:prstGeom>
                            <a:ln w="9525" cap="flat" cmpd="sng">
                              <a:solidFill>
                                <a:srgbClr val="000000"/>
                              </a:solidFill>
                              <a:prstDash val="solid"/>
                              <a:headEnd type="none" w="med" len="med"/>
                              <a:tailEnd type="triangle" w="med" len="med"/>
                            </a:ln>
                          </wps:spPr>
                          <wps:bodyPr/>
                        </wps:wsp>
                        <wps:wsp>
                          <wps:cNvPr id="478" name="矩形 478"/>
                          <wps:cNvSpPr/>
                          <wps:spPr>
                            <a:xfrm>
                              <a:off x="2227" y="5040"/>
                              <a:ext cx="1280"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救援行动</w:t>
                                </w:r>
                              </w:p>
                            </w:txbxContent>
                          </wps:txbx>
                          <wps:bodyPr upright="1"/>
                        </wps:wsp>
                        <wps:wsp>
                          <wps:cNvPr id="479" name="椭圆 479"/>
                          <wps:cNvSpPr>
                            <a:spLocks noChangeAspect="1"/>
                          </wps:cNvSpPr>
                          <wps:spPr>
                            <a:xfrm>
                              <a:off x="2520" y="4087"/>
                              <a:ext cx="700" cy="688"/>
                            </a:xfrm>
                            <a:prstGeom prst="ellipse">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外部</w:t>
                                </w:r>
                              </w:p>
                              <w:p>
                                <w:pPr>
                                  <w:adjustRightInd w:val="0"/>
                                  <w:snapToGrid w:val="0"/>
                                  <w:jc w:val="center"/>
                                  <w:rPr>
                                    <w:rFonts w:ascii="Arial" w:hAnsi="Arial" w:cs="Arial"/>
                                    <w:sz w:val="18"/>
                                    <w:szCs w:val="18"/>
                                  </w:rPr>
                                </w:pPr>
                                <w:r>
                                  <w:rPr>
                                    <w:rFonts w:ascii="Arial" w:hAnsi="宋体" w:cs="Arial"/>
                                    <w:sz w:val="18"/>
                                    <w:szCs w:val="18"/>
                                  </w:rPr>
                                  <w:t>力量</w:t>
                                </w:r>
                              </w:p>
                            </w:txbxContent>
                          </wps:txbx>
                          <wps:bodyPr lIns="0" tIns="0" rIns="0" bIns="0" upright="1"/>
                        </wps:wsp>
                        <wps:wsp>
                          <wps:cNvPr id="480" name="矩形 480"/>
                          <wps:cNvSpPr/>
                          <wps:spPr>
                            <a:xfrm>
                              <a:off x="0" y="5585"/>
                              <a:ext cx="1280"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现场清理</w:t>
                                </w:r>
                              </w:p>
                            </w:txbxContent>
                          </wps:txbx>
                          <wps:bodyPr upright="1"/>
                        </wps:wsp>
                        <wps:wsp>
                          <wps:cNvPr id="481" name="矩形 481"/>
                          <wps:cNvSpPr/>
                          <wps:spPr>
                            <a:xfrm>
                              <a:off x="0" y="5994"/>
                              <a:ext cx="1280"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解除警戒</w:t>
                                </w:r>
                              </w:p>
                            </w:txbxContent>
                          </wps:txbx>
                          <wps:bodyPr upright="1"/>
                        </wps:wsp>
                        <wps:wsp>
                          <wps:cNvPr id="482" name="矩形 482"/>
                          <wps:cNvSpPr/>
                          <wps:spPr>
                            <a:xfrm>
                              <a:off x="0" y="6402"/>
                              <a:ext cx="1280"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善后处理</w:t>
                                </w:r>
                              </w:p>
                            </w:txbxContent>
                          </wps:txbx>
                          <wps:bodyPr upright="1"/>
                        </wps:wsp>
                        <wps:wsp>
                          <wps:cNvPr id="483" name="矩形 483"/>
                          <wps:cNvSpPr/>
                          <wps:spPr>
                            <a:xfrm>
                              <a:off x="0" y="6811"/>
                              <a:ext cx="1280"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事故调查</w:t>
                                </w:r>
                              </w:p>
                            </w:txbxContent>
                          </wps:txbx>
                          <wps:bodyPr upright="1"/>
                        </wps:wsp>
                        <wps:wsp>
                          <wps:cNvPr id="484" name="直接连接符 484"/>
                          <wps:cNvCnPr/>
                          <wps:spPr>
                            <a:xfrm flipH="1">
                              <a:off x="1760" y="6405"/>
                              <a:ext cx="480" cy="0"/>
                            </a:xfrm>
                            <a:prstGeom prst="line">
                              <a:avLst/>
                            </a:prstGeom>
                            <a:ln w="9525" cap="flat" cmpd="sng">
                              <a:solidFill>
                                <a:srgbClr val="000000"/>
                              </a:solidFill>
                              <a:prstDash val="solid"/>
                              <a:headEnd type="none" w="med" len="med"/>
                              <a:tailEnd type="none" w="med" len="med"/>
                            </a:ln>
                          </wps:spPr>
                          <wps:bodyPr/>
                        </wps:wsp>
                        <wpg:grpSp>
                          <wpg:cNvPr id="4" name="组合 490"/>
                          <wpg:cNvGrpSpPr/>
                          <wpg:grpSpPr>
                            <a:xfrm>
                              <a:off x="1280" y="5782"/>
                              <a:ext cx="480" cy="1247"/>
                              <a:chOff x="0" y="0"/>
                              <a:chExt cx="540" cy="1428"/>
                            </a:xfrm>
                          </wpg:grpSpPr>
                          <wps:wsp>
                            <wps:cNvPr id="485" name="直接连接符 485"/>
                            <wps:cNvCnPr/>
                            <wps:spPr>
                              <a:xfrm flipH="1">
                                <a:off x="0" y="954"/>
                                <a:ext cx="540" cy="0"/>
                              </a:xfrm>
                              <a:prstGeom prst="line">
                                <a:avLst/>
                              </a:prstGeom>
                              <a:ln w="9525" cap="flat" cmpd="sng">
                                <a:solidFill>
                                  <a:srgbClr val="000000"/>
                                </a:solidFill>
                                <a:prstDash val="solid"/>
                                <a:headEnd type="none" w="med" len="med"/>
                                <a:tailEnd type="triangle" w="med" len="med"/>
                              </a:ln>
                            </wps:spPr>
                            <wps:bodyPr/>
                          </wps:wsp>
                          <wps:wsp>
                            <wps:cNvPr id="486" name="直接连接符 486"/>
                            <wps:cNvCnPr/>
                            <wps:spPr>
                              <a:xfrm flipV="1">
                                <a:off x="540" y="0"/>
                                <a:ext cx="0" cy="1417"/>
                              </a:xfrm>
                              <a:prstGeom prst="line">
                                <a:avLst/>
                              </a:prstGeom>
                              <a:ln w="9525" cap="flat" cmpd="sng">
                                <a:solidFill>
                                  <a:srgbClr val="000000"/>
                                </a:solidFill>
                                <a:prstDash val="solid"/>
                                <a:headEnd type="none" w="med" len="med"/>
                                <a:tailEnd type="none" w="med" len="med"/>
                              </a:ln>
                            </wps:spPr>
                            <wps:bodyPr/>
                          </wps:wsp>
                          <wps:wsp>
                            <wps:cNvPr id="487" name="直接连接符 487"/>
                            <wps:cNvCnPr/>
                            <wps:spPr>
                              <a:xfrm flipH="1">
                                <a:off x="0" y="1428"/>
                                <a:ext cx="540" cy="0"/>
                              </a:xfrm>
                              <a:prstGeom prst="line">
                                <a:avLst/>
                              </a:prstGeom>
                              <a:ln w="9525" cap="flat" cmpd="sng">
                                <a:solidFill>
                                  <a:srgbClr val="000000"/>
                                </a:solidFill>
                                <a:prstDash val="solid"/>
                                <a:headEnd type="none" w="med" len="med"/>
                                <a:tailEnd type="triangle" w="med" len="med"/>
                              </a:ln>
                            </wps:spPr>
                            <wps:bodyPr/>
                          </wps:wsp>
                          <wps:wsp>
                            <wps:cNvPr id="488" name="直接连接符 488"/>
                            <wps:cNvCnPr/>
                            <wps:spPr>
                              <a:xfrm flipH="1">
                                <a:off x="0" y="492"/>
                                <a:ext cx="540" cy="0"/>
                              </a:xfrm>
                              <a:prstGeom prst="line">
                                <a:avLst/>
                              </a:prstGeom>
                              <a:ln w="9525" cap="flat" cmpd="sng">
                                <a:solidFill>
                                  <a:srgbClr val="000000"/>
                                </a:solidFill>
                                <a:prstDash val="solid"/>
                                <a:headEnd type="none" w="med" len="med"/>
                                <a:tailEnd type="triangle" w="med" len="med"/>
                              </a:ln>
                            </wps:spPr>
                            <wps:bodyPr/>
                          </wps:wsp>
                          <wps:wsp>
                            <wps:cNvPr id="489" name="直接连接符 489"/>
                            <wps:cNvCnPr/>
                            <wps:spPr>
                              <a:xfrm flipH="1">
                                <a:off x="0" y="14"/>
                                <a:ext cx="540" cy="0"/>
                              </a:xfrm>
                              <a:prstGeom prst="line">
                                <a:avLst/>
                              </a:prstGeom>
                              <a:ln w="9525" cap="flat" cmpd="sng">
                                <a:solidFill>
                                  <a:srgbClr val="000000"/>
                                </a:solidFill>
                                <a:prstDash val="solid"/>
                                <a:headEnd type="none" w="med" len="med"/>
                                <a:tailEnd type="triangle" w="med" len="med"/>
                              </a:ln>
                            </wps:spPr>
                            <wps:bodyPr/>
                          </wps:wsp>
                        </wpg:grpSp>
                        <wps:wsp>
                          <wps:cNvPr id="491" name="直接连接符 491"/>
                          <wps:cNvCnPr/>
                          <wps:spPr>
                            <a:xfrm>
                              <a:off x="2880" y="5446"/>
                              <a:ext cx="0" cy="733"/>
                            </a:xfrm>
                            <a:prstGeom prst="line">
                              <a:avLst/>
                            </a:prstGeom>
                            <a:ln w="9525" cap="flat" cmpd="sng">
                              <a:solidFill>
                                <a:srgbClr val="000000"/>
                              </a:solidFill>
                              <a:prstDash val="solid"/>
                              <a:headEnd type="none" w="med" len="med"/>
                              <a:tailEnd type="triangle" w="med" len="med"/>
                            </a:ln>
                          </wps:spPr>
                          <wps:bodyPr/>
                        </wps:wsp>
                        <wps:wsp>
                          <wps:cNvPr id="492" name="矩形 492"/>
                          <wps:cNvSpPr/>
                          <wps:spPr>
                            <a:xfrm>
                              <a:off x="2227" y="6191"/>
                              <a:ext cx="1280"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应急恢复</w:t>
                                </w:r>
                              </w:p>
                            </w:txbxContent>
                          </wps:txbx>
                          <wps:bodyPr upright="1"/>
                        </wps:wsp>
                        <wps:wsp>
                          <wps:cNvPr id="493" name="直接连接符 493"/>
                          <wps:cNvCnPr/>
                          <wps:spPr>
                            <a:xfrm>
                              <a:off x="2880" y="6590"/>
                              <a:ext cx="0" cy="906"/>
                            </a:xfrm>
                            <a:prstGeom prst="line">
                              <a:avLst/>
                            </a:prstGeom>
                            <a:ln w="9525" cap="flat" cmpd="sng">
                              <a:solidFill>
                                <a:srgbClr val="000000"/>
                              </a:solidFill>
                              <a:prstDash val="solid"/>
                              <a:headEnd type="none" w="med" len="med"/>
                              <a:tailEnd type="triangle" w="med" len="med"/>
                            </a:ln>
                          </wps:spPr>
                          <wps:bodyPr/>
                        </wps:wsp>
                        <wps:wsp>
                          <wps:cNvPr id="494" name="矩形 494"/>
                          <wps:cNvSpPr/>
                          <wps:spPr>
                            <a:xfrm>
                              <a:off x="2227" y="7504"/>
                              <a:ext cx="1280"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w:t>
                                </w:r>
                                <w:r>
                                  <w:rPr>
                                    <w:rFonts w:ascii="Arial" w:hAnsi="宋体" w:cs="Arial"/>
                                    <w:b/>
                                    <w:sz w:val="18"/>
                                    <w:szCs w:val="18"/>
                                  </w:rPr>
                                  <w:t>结束</w:t>
                                </w:r>
                              </w:p>
                            </w:txbxContent>
                          </wps:txbx>
                          <wps:bodyPr upright="1"/>
                        </wps:wsp>
                        <wps:wsp>
                          <wps:cNvPr id="495" name="直接连接符 495"/>
                          <wps:cNvCnPr/>
                          <wps:spPr>
                            <a:xfrm flipH="1">
                              <a:off x="1760" y="7710"/>
                              <a:ext cx="480" cy="0"/>
                            </a:xfrm>
                            <a:prstGeom prst="line">
                              <a:avLst/>
                            </a:prstGeom>
                            <a:ln w="9525" cap="flat" cmpd="sng">
                              <a:solidFill>
                                <a:srgbClr val="000000"/>
                              </a:solidFill>
                              <a:prstDash val="solid"/>
                              <a:headEnd type="none" w="med" len="med"/>
                              <a:tailEnd type="none" w="med" len="med"/>
                            </a:ln>
                          </wps:spPr>
                          <wps:bodyPr/>
                        </wps:wsp>
                        <wps:wsp>
                          <wps:cNvPr id="496" name="矩形 496"/>
                          <wps:cNvSpPr/>
                          <wps:spPr>
                            <a:xfrm>
                              <a:off x="0" y="7295"/>
                              <a:ext cx="1280"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现场清理</w:t>
                                </w:r>
                              </w:p>
                            </w:txbxContent>
                          </wps:txbx>
                          <wps:bodyPr upright="1"/>
                        </wps:wsp>
                        <wps:wsp>
                          <wps:cNvPr id="497" name="矩形 497"/>
                          <wps:cNvSpPr/>
                          <wps:spPr>
                            <a:xfrm>
                              <a:off x="0" y="7703"/>
                              <a:ext cx="1280"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解除警戒</w:t>
                                </w:r>
                              </w:p>
                            </w:txbxContent>
                          </wps:txbx>
                          <wps:bodyPr upright="1"/>
                        </wps:wsp>
                        <wps:wsp>
                          <wps:cNvPr id="498" name="直接连接符 498"/>
                          <wps:cNvCnPr/>
                          <wps:spPr>
                            <a:xfrm flipH="1">
                              <a:off x="1280" y="7922"/>
                              <a:ext cx="480" cy="0"/>
                            </a:xfrm>
                            <a:prstGeom prst="line">
                              <a:avLst/>
                            </a:prstGeom>
                            <a:ln w="9525" cap="flat" cmpd="sng">
                              <a:solidFill>
                                <a:srgbClr val="000000"/>
                              </a:solidFill>
                              <a:prstDash val="solid"/>
                              <a:headEnd type="none" w="med" len="med"/>
                              <a:tailEnd type="triangle" w="med" len="med"/>
                            </a:ln>
                          </wps:spPr>
                          <wps:bodyPr/>
                        </wps:wsp>
                        <wps:wsp>
                          <wps:cNvPr id="499" name="直接连接符 499"/>
                          <wps:cNvCnPr/>
                          <wps:spPr>
                            <a:xfrm flipH="1">
                              <a:off x="1280" y="7504"/>
                              <a:ext cx="480" cy="0"/>
                            </a:xfrm>
                            <a:prstGeom prst="line">
                              <a:avLst/>
                            </a:prstGeom>
                            <a:ln w="9525" cap="flat" cmpd="sng">
                              <a:solidFill>
                                <a:srgbClr val="000000"/>
                              </a:solidFill>
                              <a:prstDash val="solid"/>
                              <a:headEnd type="none" w="med" len="med"/>
                              <a:tailEnd type="triangle" w="med" len="med"/>
                            </a:ln>
                          </wps:spPr>
                          <wps:bodyPr/>
                        </wps:wsp>
                        <wps:wsp>
                          <wps:cNvPr id="500" name="直接连接符 500"/>
                          <wps:cNvCnPr/>
                          <wps:spPr>
                            <a:xfrm flipV="1">
                              <a:off x="1760" y="7513"/>
                              <a:ext cx="0" cy="409"/>
                            </a:xfrm>
                            <a:prstGeom prst="line">
                              <a:avLst/>
                            </a:prstGeom>
                            <a:ln w="9525" cap="flat" cmpd="sng">
                              <a:solidFill>
                                <a:srgbClr val="000000"/>
                              </a:solidFill>
                              <a:prstDash val="solid"/>
                              <a:headEnd type="none" w="med" len="med"/>
                              <a:tailEnd type="none" w="med" len="med"/>
                            </a:ln>
                          </wps:spPr>
                          <wps:bodyPr/>
                        </wps:wsp>
                        <wps:wsp>
                          <wps:cNvPr id="501" name="直接连接符 501"/>
                          <wps:cNvCnPr/>
                          <wps:spPr>
                            <a:xfrm flipH="1">
                              <a:off x="3507" y="5250"/>
                              <a:ext cx="480" cy="0"/>
                            </a:xfrm>
                            <a:prstGeom prst="line">
                              <a:avLst/>
                            </a:prstGeom>
                            <a:ln w="9525" cap="flat" cmpd="sng">
                              <a:solidFill>
                                <a:srgbClr val="000000"/>
                              </a:solidFill>
                              <a:prstDash val="solid"/>
                              <a:headEnd type="none" w="med" len="med"/>
                              <a:tailEnd type="none" w="med" len="med"/>
                            </a:ln>
                          </wps:spPr>
                          <wps:bodyPr/>
                        </wps:wsp>
                        <wpg:grpSp>
                          <wpg:cNvPr id="5" name="组合 516"/>
                          <wpg:cNvGrpSpPr/>
                          <wpg:grpSpPr>
                            <a:xfrm>
                              <a:off x="3999" y="4011"/>
                              <a:ext cx="1761" cy="2439"/>
                              <a:chOff x="0" y="0"/>
                              <a:chExt cx="1981" cy="2793"/>
                            </a:xfrm>
                          </wpg:grpSpPr>
                          <wpg:grpSp>
                            <wpg:cNvPr id="6" name="组合 508"/>
                            <wpg:cNvGrpSpPr/>
                            <wpg:grpSpPr>
                              <a:xfrm>
                                <a:off x="541" y="0"/>
                                <a:ext cx="1440" cy="2793"/>
                                <a:chOff x="0" y="0"/>
                                <a:chExt cx="1440" cy="2793"/>
                              </a:xfrm>
                            </wpg:grpSpPr>
                            <wps:wsp>
                              <wps:cNvPr id="502" name="矩形 502"/>
                              <wps:cNvSpPr/>
                              <wps:spPr>
                                <a:xfrm>
                                  <a:off x="0" y="46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抢险灭火组</w:t>
                                    </w:r>
                                  </w:p>
                                </w:txbxContent>
                              </wps:txbx>
                              <wps:bodyPr upright="1"/>
                            </wps:wsp>
                            <wps:wsp>
                              <wps:cNvPr id="503" name="矩形 503"/>
                              <wps:cNvSpPr/>
                              <wps:spPr>
                                <a:xfrm>
                                  <a:off x="0" y="93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后勤保障组</w:t>
                                    </w:r>
                                  </w:p>
                                </w:txbxContent>
                              </wps:txbx>
                              <wps:bodyPr upright="1"/>
                            </wps:wsp>
                            <wps:wsp>
                              <wps:cNvPr id="504" name="矩形 504"/>
                              <wps:cNvSpPr/>
                              <wps:spPr>
                                <a:xfrm>
                                  <a:off x="0" y="140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0"/>
                                        <w:szCs w:val="20"/>
                                        <w:lang w:val="en-US" w:eastAsia="zh-CN"/>
                                      </w:rPr>
                                    </w:pPr>
                                    <w:r>
                                      <w:rPr>
                                        <w:rFonts w:hint="eastAsia"/>
                                        <w:sz w:val="20"/>
                                        <w:szCs w:val="20"/>
                                        <w:lang w:val="en-US" w:eastAsia="zh-CN"/>
                                      </w:rPr>
                                      <w:t>救护疏散组</w:t>
                                    </w:r>
                                  </w:p>
                                </w:txbxContent>
                              </wps:txbx>
                              <wps:bodyPr upright="1"/>
                            </wps:wsp>
                            <wps:wsp>
                              <wps:cNvPr id="505" name="矩形 505"/>
                              <wps:cNvSpPr/>
                              <wps:spPr>
                                <a:xfrm>
                                  <a:off x="0" y="1872"/>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事故处置组</w:t>
                                    </w:r>
                                  </w:p>
                                </w:txbxContent>
                              </wps:txbx>
                              <wps:bodyPr upright="1"/>
                            </wps:wsp>
                            <wps:wsp>
                              <wps:cNvPr id="506" name="矩形 506"/>
                              <wps:cNvSpPr/>
                              <wps:spPr>
                                <a:xfrm>
                                  <a:off x="0" y="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宋体" w:eastAsia="宋体" w:cs="Arial"/>
                                        <w:sz w:val="18"/>
                                        <w:szCs w:val="18"/>
                                      </w:rPr>
                                    </w:pPr>
                                    <w:r>
                                      <w:rPr>
                                        <w:rFonts w:ascii="Arial" w:hAnsi="宋体" w:eastAsia="宋体" w:cs="Arial"/>
                                        <w:sz w:val="18"/>
                                        <w:szCs w:val="18"/>
                                      </w:rPr>
                                      <w:t>通信警戒组</w:t>
                                    </w:r>
                                  </w:p>
                                </w:txbxContent>
                              </wps:txbx>
                              <wps:bodyPr upright="1"/>
                            </wps:wsp>
                            <wps:wsp>
                              <wps:cNvPr id="8" name="矩形 8"/>
                              <wps:cNvSpPr/>
                              <wps:spPr>
                                <a:xfrm>
                                  <a:off x="0" y="2325"/>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应急监测组</w:t>
                                    </w:r>
                                  </w:p>
                                </w:txbxContent>
                              </wps:txbx>
                              <wps:bodyPr upright="1"/>
                            </wps:wsp>
                          </wpg:grpSp>
                          <wps:wsp>
                            <wps:cNvPr id="509" name="直接连接符 509"/>
                            <wps:cNvCnPr/>
                            <wps:spPr>
                              <a:xfrm rot="-10800000" flipH="1">
                                <a:off x="0" y="716"/>
                                <a:ext cx="540" cy="0"/>
                              </a:xfrm>
                              <a:prstGeom prst="line">
                                <a:avLst/>
                              </a:prstGeom>
                              <a:ln w="9525" cap="flat" cmpd="sng">
                                <a:solidFill>
                                  <a:srgbClr val="000000"/>
                                </a:solidFill>
                                <a:prstDash val="solid"/>
                                <a:headEnd type="none" w="med" len="med"/>
                                <a:tailEnd type="triangle" w="med" len="med"/>
                              </a:ln>
                            </wps:spPr>
                            <wps:bodyPr/>
                          </wps:wsp>
                          <wps:wsp>
                            <wps:cNvPr id="510" name="直接连接符 510"/>
                            <wps:cNvCnPr/>
                            <wps:spPr>
                              <a:xfrm>
                                <a:off x="0" y="252"/>
                                <a:ext cx="5" cy="2384"/>
                              </a:xfrm>
                              <a:prstGeom prst="line">
                                <a:avLst/>
                              </a:prstGeom>
                              <a:ln w="9525" cap="flat" cmpd="sng">
                                <a:solidFill>
                                  <a:srgbClr val="000000"/>
                                </a:solidFill>
                                <a:prstDash val="solid"/>
                                <a:headEnd type="none" w="med" len="med"/>
                                <a:tailEnd type="none" w="med" len="med"/>
                              </a:ln>
                            </wps:spPr>
                            <wps:bodyPr/>
                          </wps:wsp>
                          <wps:wsp>
                            <wps:cNvPr id="511" name="直接连接符 511"/>
                            <wps:cNvCnPr/>
                            <wps:spPr>
                              <a:xfrm rot="-10800000" flipH="1">
                                <a:off x="0" y="242"/>
                                <a:ext cx="540" cy="0"/>
                              </a:xfrm>
                              <a:prstGeom prst="line">
                                <a:avLst/>
                              </a:prstGeom>
                              <a:ln w="9525" cap="flat" cmpd="sng">
                                <a:solidFill>
                                  <a:srgbClr val="000000"/>
                                </a:solidFill>
                                <a:prstDash val="solid"/>
                                <a:headEnd type="none" w="med" len="med"/>
                                <a:tailEnd type="triangle" w="med" len="med"/>
                              </a:ln>
                            </wps:spPr>
                            <wps:bodyPr/>
                          </wps:wsp>
                          <wps:wsp>
                            <wps:cNvPr id="512" name="直接连接符 512"/>
                            <wps:cNvCnPr/>
                            <wps:spPr>
                              <a:xfrm rot="-10800000" flipH="1">
                                <a:off x="0" y="1178"/>
                                <a:ext cx="540" cy="0"/>
                              </a:xfrm>
                              <a:prstGeom prst="line">
                                <a:avLst/>
                              </a:prstGeom>
                              <a:ln w="9525" cap="flat" cmpd="sng">
                                <a:solidFill>
                                  <a:srgbClr val="000000"/>
                                </a:solidFill>
                                <a:prstDash val="solid"/>
                                <a:headEnd type="none" w="med" len="med"/>
                                <a:tailEnd type="triangle" w="med" len="med"/>
                              </a:ln>
                            </wps:spPr>
                            <wps:bodyPr/>
                          </wps:wsp>
                          <wps:wsp>
                            <wps:cNvPr id="513" name="直接连接符 513"/>
                            <wps:cNvCnPr/>
                            <wps:spPr>
                              <a:xfrm rot="-10800000" flipH="1">
                                <a:off x="0" y="1656"/>
                                <a:ext cx="540" cy="0"/>
                              </a:xfrm>
                              <a:prstGeom prst="line">
                                <a:avLst/>
                              </a:prstGeom>
                              <a:ln w="9525" cap="flat" cmpd="sng">
                                <a:solidFill>
                                  <a:srgbClr val="000000"/>
                                </a:solidFill>
                                <a:prstDash val="solid"/>
                                <a:headEnd type="none" w="med" len="med"/>
                                <a:tailEnd type="triangle" w="med" len="med"/>
                              </a:ln>
                            </wps:spPr>
                            <wps:bodyPr/>
                          </wps:wsp>
                          <wps:wsp>
                            <wps:cNvPr id="514" name="直接连接符 514"/>
                            <wps:cNvCnPr/>
                            <wps:spPr>
                              <a:xfrm rot="-10800000" flipH="1">
                                <a:off x="1" y="2104"/>
                                <a:ext cx="540" cy="0"/>
                              </a:xfrm>
                              <a:prstGeom prst="line">
                                <a:avLst/>
                              </a:prstGeom>
                              <a:ln w="9525" cap="flat" cmpd="sng">
                                <a:solidFill>
                                  <a:srgbClr val="000000"/>
                                </a:solidFill>
                                <a:prstDash val="solid"/>
                                <a:headEnd type="none" w="med" len="med"/>
                                <a:tailEnd type="triangle" w="med" len="med"/>
                              </a:ln>
                            </wps:spPr>
                            <wps:bodyPr/>
                          </wps:wsp>
                          <wps:wsp>
                            <wps:cNvPr id="7" name="直接连接符 7"/>
                            <wps:cNvCnPr/>
                            <wps:spPr>
                              <a:xfrm rot="-10800000" flipH="1">
                                <a:off x="15" y="2620"/>
                                <a:ext cx="540" cy="0"/>
                              </a:xfrm>
                              <a:prstGeom prst="line">
                                <a:avLst/>
                              </a:prstGeom>
                              <a:ln w="9525" cap="flat" cmpd="sng">
                                <a:solidFill>
                                  <a:srgbClr val="000000"/>
                                </a:solidFill>
                                <a:prstDash val="solid"/>
                                <a:headEnd type="none" w="med" len="med"/>
                                <a:tailEnd type="triangle" w="med" len="med"/>
                              </a:ln>
                            </wps:spPr>
                            <wps:bodyPr/>
                          </wps:wsp>
                        </wpg:grpSp>
                      </wpg:grpSp>
                      <wps:wsp>
                        <wps:cNvPr id="518" name="直接连接符 518"/>
                        <wps:cNvCnPr/>
                        <wps:spPr>
                          <a:xfrm>
                            <a:off x="1755" y="4449"/>
                            <a:ext cx="777" cy="0"/>
                          </a:xfrm>
                          <a:prstGeom prst="line">
                            <a:avLst/>
                          </a:prstGeom>
                          <a:ln w="9525" cap="flat" cmpd="sng">
                            <a:solidFill>
                              <a:srgbClr val="000000"/>
                            </a:solidFill>
                            <a:prstDash val="solid"/>
                            <a:headEnd type="none" w="med" len="med"/>
                            <a:tailEnd type="none" w="med" len="med"/>
                          </a:ln>
                        </wps:spPr>
                        <wps:bodyPr/>
                      </wps:wsp>
                    </wpg:wgp>
                  </a:graphicData>
                </a:graphic>
              </wp:inline>
            </w:drawing>
          </mc:Choice>
          <mc:Fallback>
            <w:pict>
              <v:group id="_x0000_s1026" o:spid="_x0000_s1026" o:spt="203" style="height:455.4pt;width:358pt;" coordsize="5760,8112" o:gfxdata="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">
                <o:lock v:ext="edit" rotation="t" aspectratio="f"/>
                <v:group id="组合 469" o:spid="_x0000_s1026" o:spt="203" style="position:absolute;left:0;top:3624;height:1635;width:1762;" coordsize="1762,1635"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line id="_x0000_s1026" o:spid="_x0000_s1026" o:spt="20" style="position:absolute;left:1280;top:624;flip:x;height:0;width:482;" filled="f" stroked="t" coordsize="21600,21600" o:gfxdata="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ytC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0;top:0;height:409;width:1280;" fillcolor="#FFFFFF" filled="t" stroked="t" coordsize="21600,21600" o:gfxdata="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yb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环保</w:t>
                          </w:r>
                        </w:p>
                      </w:txbxContent>
                    </v:textbox>
                  </v:rect>
                  <v:rect id="_x0000_s1026" o:spid="_x0000_s1026" o:spt="1" style="position:absolute;left:0;top:409;height:408;width:1280;" fillcolor="#FFFFFF" filled="t" stroked="t" coordsize="21600,21600" o:gfxdata="UEsDBAoAAAAAAIdO4kAAAAAAAAAAAAAAAAAEAAAAZHJzL1BLAwQUAAAACACHTuJAr94F174AAADc&#10;AAAADwAAAGRycy9kb3ducmV2LnhtbEWPwW7CMBBE70j9B2srcQObg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4F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消防</w:t>
                          </w:r>
                        </w:p>
                      </w:txbxContent>
                    </v:textbox>
                  </v:rect>
                  <v:rect id="_x0000_s1026" o:spid="_x0000_s1026" o:spt="1" style="position:absolute;left:0;top:817;height:409;width:1280;" fillcolor="#FFFFFF" filled="t" stroked="t" coordsize="21600,21600" o:gfxdata="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kqBM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公安</w:t>
                          </w:r>
                        </w:p>
                      </w:txbxContent>
                    </v:textbox>
                  </v:rect>
                  <v:rect id="_x0000_s1026" o:spid="_x0000_s1026" o:spt="1" style="position:absolute;left:0;top:1226;height:409;width:1280;" fillcolor="#FFFFFF" filled="t" stroked="t" coordsize="21600,21600" o:gfxdata="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97OD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医疗</w:t>
                          </w:r>
                        </w:p>
                      </w:txbxContent>
                    </v:textbox>
                  </v:rect>
                  <v:line id="_x0000_s1026" o:spid="_x0000_s1026" o:spt="20" style="position:absolute;left:1760;top:198;flip:y;height:1219;width:0;" filled="f" stroked="t" coordsize="21600,21600" o:gfxdata="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AWIy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280;top:1437;flip:x;height:0;width:480;" filled="f" stroked="t" coordsize="21600,21600" o:gfxdata="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F4n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280;top:1037;flip:x;height:0;width:480;" filled="f" stroked="t" coordsize="21600,21600" o:gfxdata="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WyxW&#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280;top:220;flip:x;height:0;width:480;" filled="f" stroked="t" coordsize="21600,21600" o:gfxdata="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EuC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group id="组合 517" o:spid="_x0000_s1026" o:spt="203" style="position:absolute;left:0;top:0;height:8112;width:5760;" coordsize="5760,811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1600;top:0;height:545;width:2559;" fillcolor="#FFFFFF" filled="t" stroked="t" coordsize="21600,21600" o:gfxdata="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e+m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adjustRightInd w:val="0"/>
                            <w:snapToGrid w:val="0"/>
                            <w:ind w:firstLine="266" w:firstLineChars="147"/>
                            <w:rPr>
                              <w:rFonts w:ascii="Arial" w:hAnsi="Arial" w:cs="Arial"/>
                              <w:b/>
                              <w:sz w:val="18"/>
                              <w:szCs w:val="18"/>
                            </w:rPr>
                          </w:pPr>
                          <w:r>
                            <w:rPr>
                              <w:rFonts w:ascii="宋体" w:hAnsi="宋体" w:cs="Arial"/>
                              <w:b/>
                              <w:sz w:val="18"/>
                              <w:szCs w:val="18"/>
                            </w:rPr>
                            <w:t>Ⅰ</w:t>
                          </w:r>
                          <w:r>
                            <w:rPr>
                              <w:rFonts w:ascii="Arial" w:hAnsi="宋体" w:cs="Arial"/>
                              <w:b/>
                              <w:sz w:val="18"/>
                              <w:szCs w:val="18"/>
                            </w:rPr>
                            <w:t>级环境污染事件</w:t>
                          </w:r>
                        </w:p>
                      </w:txbxContent>
                    </v:textbox>
                  </v:shape>
                  <v:line id="_x0000_s1026" o:spid="_x0000_s1026" o:spt="20" style="position:absolute;left:2880;top:545;height:545;width:0;" filled="f" stroked="t" coordsize="21600,21600" o:gfxdata="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mYv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1376;top:1090;height:408;width:3051;" fillcolor="#FFFFFF" filled="t" stroked="t" coordsize="21600,21600" o:gfxdata="UEsDBAoAAAAAAIdO4kAAAAAAAAAAAAAAAAAEAAAAZHJzL1BLAwQUAAAACACHTuJAKgeTCr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MFsk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geT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hint="eastAsia" w:ascii="Arial" w:hAnsi="宋体" w:cs="Arial"/>
                              <w:sz w:val="18"/>
                              <w:szCs w:val="18"/>
                            </w:rPr>
                            <w:t>上报给</w:t>
                          </w:r>
                          <w:r>
                            <w:rPr>
                              <w:rFonts w:hint="eastAsia" w:ascii="Arial" w:hAnsi="宋体" w:eastAsia="宋体" w:cs="Arial"/>
                              <w:sz w:val="18"/>
                              <w:szCs w:val="18"/>
                            </w:rPr>
                            <w:t>无锡金属表面处理科技工业园</w:t>
                          </w:r>
                          <w:r>
                            <w:rPr>
                              <w:rFonts w:hint="eastAsia" w:ascii="Arial" w:hAnsi="宋体" w:eastAsia="宋体" w:cs="Arial"/>
                              <w:sz w:val="18"/>
                              <w:szCs w:val="18"/>
                              <w:lang w:val="en-US" w:eastAsia="zh-CN"/>
                            </w:rPr>
                            <w:t>区</w:t>
                          </w:r>
                        </w:p>
                      </w:txbxContent>
                    </v:textbox>
                  </v:rect>
                  <v:line id="_x0000_s1026" o:spid="_x0000_s1026" o:spt="20" style="position:absolute;left:2880;top:1498;height:545;width:0;" filled="f" stroked="t" coordsize="21600,21600" o:gfxdata="UEsDBAoAAAAAAIdO4kAAAAAAAAAAAAAAAAAEAAAAZHJzL1BLAwQUAAAACACHTuJAIwewOMAAAADc&#10;AAAADwAAAGRycy9kb3ducmV2LnhtbEWPT2vCQBTE74LfYXmF3nSTtmhIXT0ULAWt4h/E3h7Z1ySY&#10;fRt2V02/fVcQPA4z8xtmMutMIy7kfG1ZQTpMQBAXVtdcKtjv5oMMhA/IGhvLpOCPPMym/d4Ec22v&#10;vKHLNpQiQtjnqKAKoc2l9EVFBv3QtsTR+7XOYIjSlVI7vEa4aeRLkoyk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B7A4&#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1666;top:2043;height:1055;width:2413;" fillcolor="#FFFFFF" filled="t" stroked="t" coordsize="21600,21600" o:gfxdata="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CUMo&#10;wAAAANw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2.54mm,0.3mm,2.54mm,0.3mm">
                      <w:txbxContent>
                        <w:p>
                          <w:pPr>
                            <w:adjustRightInd w:val="0"/>
                            <w:snapToGrid w:val="0"/>
                            <w:spacing w:before="120" w:beforeLines="50"/>
                            <w:jc w:val="center"/>
                            <w:rPr>
                              <w:rFonts w:hint="default" w:ascii="Arial" w:hAnsi="宋体" w:eastAsia="宋体" w:cs="Arial"/>
                              <w:sz w:val="18"/>
                              <w:szCs w:val="18"/>
                              <w:lang w:val="en-US" w:eastAsia="zh-CN"/>
                            </w:rPr>
                          </w:pPr>
                          <w:r>
                            <w:rPr>
                              <w:rFonts w:hint="eastAsia" w:ascii="Arial" w:hAnsi="宋体" w:eastAsia="宋体" w:cs="Arial"/>
                              <w:sz w:val="18"/>
                              <w:szCs w:val="18"/>
                            </w:rPr>
                            <w:t>无锡金属表面处理科技工业园</w:t>
                          </w:r>
                          <w:r>
                            <w:rPr>
                              <w:rFonts w:hint="eastAsia" w:ascii="Arial" w:hAnsi="宋体" w:eastAsia="宋体" w:cs="Arial"/>
                              <w:sz w:val="18"/>
                              <w:szCs w:val="18"/>
                              <w:lang w:val="en-US" w:eastAsia="zh-CN"/>
                            </w:rPr>
                            <w:t>区指挥中心-总指挥</w:t>
                          </w:r>
                        </w:p>
                        <w:p>
                          <w:pPr>
                            <w:adjustRightInd w:val="0"/>
                            <w:snapToGrid w:val="0"/>
                            <w:spacing w:before="120" w:beforeLines="50"/>
                            <w:jc w:val="center"/>
                            <w:rPr>
                              <w:sz w:val="18"/>
                              <w:szCs w:val="18"/>
                            </w:rPr>
                          </w:pPr>
                          <w:r>
                            <w:rPr>
                              <w:sz w:val="18"/>
                              <w:szCs w:val="18"/>
                            </w:rPr>
                            <w:t>联系电话：</w:t>
                          </w:r>
                          <w:r>
                            <w:rPr>
                              <w:rFonts w:hint="eastAsia" w:ascii="TimesNewRomanPSMT" w:hAnsi="TimesNewRomanPSMT" w:eastAsia="TimesNewRomanPSMT"/>
                              <w:sz w:val="21"/>
                              <w:szCs w:val="24"/>
                            </w:rPr>
                            <w:t>18921538558</w:t>
                          </w:r>
                        </w:p>
                      </w:txbxContent>
                    </v:textbox>
                  </v:rect>
                  <v:line id="_x0000_s1026" o:spid="_x0000_s1026" o:spt="20" style="position:absolute;left:2880;top:2997;height:545;width:0;" filled="f" stroked="t" coordsize="21600,21600" o:gfxdata="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oo3X&#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226;top:3542;height:408;width:1280;" fillcolor="#FFFFFF" filled="t" stroked="t" coordsize="21600,21600" o:gfxdata="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8lQ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应急启动</w:t>
                          </w:r>
                        </w:p>
                      </w:txbxContent>
                    </v:textbox>
                  </v:rect>
                  <v:line id="_x0000_s1026" o:spid="_x0000_s1026" o:spt="20" style="position:absolute;left:2880;top:3950;height:1090;width:0;" filled="f" stroked="t" coordsize="21600,21600" o:gfxdata="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8tj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227;top:5040;height:409;width:1280;" fillcolor="#FFFFFF" filled="t" stroked="t" coordsize="21600,21600" o:gfxdata="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76Tg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救援行动</w:t>
                          </w:r>
                        </w:p>
                      </w:txbxContent>
                    </v:textbox>
                  </v:rect>
                  <v:shape id="_x0000_s1026" o:spid="_x0000_s1026" o:spt="3" type="#_x0000_t3" style="position:absolute;left:2520;top:4087;height:688;width:700;" fillcolor="#FFFFFF" filled="t" stroked="t" coordsize="21600,21600" o:gfxdata="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j5C0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textbox inset="0mm,0mm,0mm,0mm">
                      <w:txbxContent>
                        <w:p>
                          <w:pPr>
                            <w:adjustRightInd w:val="0"/>
                            <w:snapToGrid w:val="0"/>
                            <w:jc w:val="center"/>
                            <w:rPr>
                              <w:rFonts w:ascii="Arial" w:hAnsi="Arial" w:cs="Arial"/>
                              <w:sz w:val="18"/>
                              <w:szCs w:val="18"/>
                            </w:rPr>
                          </w:pPr>
                          <w:r>
                            <w:rPr>
                              <w:rFonts w:ascii="Arial" w:hAnsi="宋体" w:cs="Arial"/>
                              <w:sz w:val="18"/>
                              <w:szCs w:val="18"/>
                            </w:rPr>
                            <w:t>外部</w:t>
                          </w:r>
                        </w:p>
                        <w:p>
                          <w:pPr>
                            <w:adjustRightInd w:val="0"/>
                            <w:snapToGrid w:val="0"/>
                            <w:jc w:val="center"/>
                            <w:rPr>
                              <w:rFonts w:ascii="Arial" w:hAnsi="Arial" w:cs="Arial"/>
                              <w:sz w:val="18"/>
                              <w:szCs w:val="18"/>
                            </w:rPr>
                          </w:pPr>
                          <w:r>
                            <w:rPr>
                              <w:rFonts w:ascii="Arial" w:hAnsi="宋体" w:cs="Arial"/>
                              <w:sz w:val="18"/>
                              <w:szCs w:val="18"/>
                            </w:rPr>
                            <w:t>力量</w:t>
                          </w:r>
                        </w:p>
                      </w:txbxContent>
                    </v:textbox>
                  </v:shape>
                  <v:rect id="_x0000_s1026" o:spid="_x0000_s1026" o:spt="1" style="position:absolute;left:0;top:5585;height:409;width:1280;" fillcolor="#FFFFFF" filled="t" stroked="t" coordsize="21600,21600" o:gfxdata="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TNjB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现场清理</w:t>
                          </w:r>
                        </w:p>
                      </w:txbxContent>
                    </v:textbox>
                  </v:rect>
                  <v:rect id="_x0000_s1026" o:spid="_x0000_s1026" o:spt="1" style="position:absolute;left:0;top:5994;height:408;width:1280;" fillcolor="#FFFFFF" filled="t" stroked="t" coordsize="21600,21600" o:gfxdata="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wB9W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解除警戒</w:t>
                          </w:r>
                        </w:p>
                      </w:txbxContent>
                    </v:textbox>
                  </v:rect>
                  <v:rect id="_x0000_s1026" o:spid="_x0000_s1026" o:spt="1" style="position:absolute;left:0;top:6402;height:409;width:1280;" fillcolor="#FFFFFF" filled="t" stroked="t" coordsize="21600,21600" o:gfxdata="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LjL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善后处理</w:t>
                          </w:r>
                        </w:p>
                      </w:txbxContent>
                    </v:textbox>
                  </v:rect>
                  <v:rect id="_x0000_s1026" o:spid="_x0000_s1026" o:spt="1" style="position:absolute;left:0;top:6811;height:409;width:1280;" fillcolor="#FFFFFF" filled="t" stroked="t" coordsize="21600,21600" o:gfxdata="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CeRr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事故调查</w:t>
                          </w:r>
                        </w:p>
                      </w:txbxContent>
                    </v:textbox>
                  </v:rect>
                  <v:line id="_x0000_s1026" o:spid="_x0000_s1026" o:spt="20" style="position:absolute;left:1760;top:6405;flip:x;height:0;width:480;" filled="f" stroked="t" coordsize="21600,21600" o:gfxdata="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XLq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490" o:spid="_x0000_s1026" o:spt="203" style="position:absolute;left:1280;top:5782;height:1247;width:480;" coordsize="540,1428"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954;flip:x;height:0;width:540;" filled="f" stroked="t" coordsize="21600,21600" o:gfxdata="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yfF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40;top:0;flip:y;height:1417;width:0;" filled="f" stroked="t" coordsize="21600,21600" o:gfxdata="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b8E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0;top:1428;flip:x;height:0;width:540;" filled="f" stroked="t" coordsize="21600,21600" o:gfxdata="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V8qs&#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0;top:492;flip:x;height:0;width:540;" filled="f" stroked="t" coordsize="21600,21600" o:gfxdata="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IXt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0;top:14;flip:x;height:0;width:540;" filled="f" stroked="t" coordsize="21600,21600" o:gfxdata="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E+0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_x0000_s1026" o:spid="_x0000_s1026" o:spt="20" style="position:absolute;left:2880;top:5446;height:733;width:0;" filled="f" stroked="t" coordsize="21600,21600" o:gfxdata="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lW0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227;top:6191;height:409;width:1280;" fillcolor="#FFFFFF" filled="t" stroked="t" coordsize="21600,21600" o:gfxdata="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t18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应急恢复</w:t>
                          </w:r>
                        </w:p>
                      </w:txbxContent>
                    </v:textbox>
                  </v:rect>
                  <v:line id="_x0000_s1026" o:spid="_x0000_s1026" o:spt="20" style="position:absolute;left:2880;top:6590;height:906;width:0;" filled="f" stroked="t" coordsize="21600,21600" o:gfxdata="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C1b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227;top:7504;height:409;width:1280;" fillcolor="#FFFFFF" filled="t" stroked="t" coordsize="21600,21600" o:gfxdata="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uSB+/&#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w:t>
                          </w:r>
                          <w:r>
                            <w:rPr>
                              <w:rFonts w:ascii="Arial" w:hAnsi="宋体" w:cs="Arial"/>
                              <w:b/>
                              <w:sz w:val="18"/>
                              <w:szCs w:val="18"/>
                            </w:rPr>
                            <w:t>结束</w:t>
                          </w:r>
                        </w:p>
                      </w:txbxContent>
                    </v:textbox>
                  </v:rect>
                  <v:line id="_x0000_s1026" o:spid="_x0000_s1026" o:spt="20" style="position:absolute;left:1760;top:7710;flip:x;height:0;width:480;" filled="f" stroked="t" coordsize="21600,21600" o:gfxdata="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D47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_x0000_s1026" o:spid="_x0000_s1026" o:spt="1" style="position:absolute;left:0;top:7295;height:408;width:1280;" fillcolor="#FFFFFF" filled="t" stroked="t" coordsize="21600,21600" o:gfxdata="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MHP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现场清理</w:t>
                          </w:r>
                        </w:p>
                      </w:txbxContent>
                    </v:textbox>
                  </v:rect>
                  <v:rect id="_x0000_s1026" o:spid="_x0000_s1026" o:spt="1" style="position:absolute;left:0;top:7703;height:409;width:1280;" fillcolor="#FFFFFF" filled="t" stroked="t" coordsize="21600,21600" o:gfxdata="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nzWa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解除警戒</w:t>
                          </w:r>
                        </w:p>
                      </w:txbxContent>
                    </v:textbox>
                  </v:rect>
                  <v:line id="_x0000_s1026" o:spid="_x0000_s1026" o:spt="20" style="position:absolute;left:1280;top:7922;flip:x;height:0;width:480;" filled="f" stroked="t" coordsize="21600,21600" o:gfxdata="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QRyA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280;top:7504;flip:x;height:0;width:480;" filled="f" stroked="t" coordsize="21600,21600" o:gfxdata="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XW2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760;top:7513;flip:y;height:409;width:0;" filled="f" stroked="t" coordsize="21600,21600" o:gfxdata="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0zBb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3507;top:5250;flip:x;height:0;width:480;" filled="f" stroked="t" coordsize="21600,21600" o:gfxdata="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Bk9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516" o:spid="_x0000_s1026" o:spt="203" style="position:absolute;left:3999;top:4011;height:2439;width:1761;" coordsize="1981,2793"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组合 508" o:spid="_x0000_s1026" o:spt="203" style="position:absolute;left:541;top:0;height:2793;width:1440;" coordsize="1440,2793"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ect id="_x0000_s1026" o:spid="_x0000_s1026" o:spt="1" style="position:absolute;left:0;top:468;height:468;width:1440;" fillcolor="#FFFFFF" filled="t" stroked="t" coordsize="21600,21600" o:gfxdata="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4O/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抢险灭火组</w:t>
                              </w:r>
                            </w:p>
                          </w:txbxContent>
                        </v:textbox>
                      </v:rect>
                      <v:rect id="_x0000_s1026" o:spid="_x0000_s1026" o:spt="1" style="position:absolute;left:0;top:936;height:468;width:1440;" fillcolor="#FFFFFF" filled="t" stroked="t" coordsize="21600,21600" o:gfxdata="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rEpx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后勤保障组</w:t>
                              </w:r>
                            </w:p>
                          </w:txbxContent>
                        </v:textbox>
                      </v:rect>
                      <v:rect id="_x0000_s1026" o:spid="_x0000_s1026" o:spt="1" style="position:absolute;left:0;top:1404;height:468;width:1440;" fillcolor="#FFFFFF" filled="t" stroked="t" coordsize="21600,21600" o:gfxdata="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RdI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default" w:eastAsia="宋体"/>
                                  <w:sz w:val="20"/>
                                  <w:szCs w:val="20"/>
                                  <w:lang w:val="en-US" w:eastAsia="zh-CN"/>
                                </w:rPr>
                              </w:pPr>
                              <w:r>
                                <w:rPr>
                                  <w:rFonts w:hint="eastAsia"/>
                                  <w:sz w:val="20"/>
                                  <w:szCs w:val="20"/>
                                  <w:lang w:val="en-US" w:eastAsia="zh-CN"/>
                                </w:rPr>
                                <w:t>救护疏散组</w:t>
                              </w:r>
                            </w:p>
                          </w:txbxContent>
                        </v:textbox>
                      </v:rect>
                      <v:rect id="_x0000_s1026" o:spid="_x0000_s1026" o:spt="1" style="position:absolute;left:0;top:1872;height:468;width:1440;" fillcolor="#FFFFFF" filled="t" stroked="t" coordsize="21600,21600" o:gfxdata="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l3n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事故处置组</w:t>
                              </w:r>
                            </w:p>
                          </w:txbxContent>
                        </v:textbox>
                      </v:rect>
                      <v:rect id="_x0000_s1026" o:spid="_x0000_s1026" o:spt="1" style="position:absolute;left:0;top:0;height:468;width:1440;" fillcolor="#FFFFFF" filled="t" stroked="t" coordsize="21600,21600" o:gfxdata="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2+n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宋体" w:eastAsia="宋体" w:cs="Arial"/>
                                  <w:sz w:val="18"/>
                                  <w:szCs w:val="18"/>
                                </w:rPr>
                              </w:pPr>
                              <w:r>
                                <w:rPr>
                                  <w:rFonts w:ascii="Arial" w:hAnsi="宋体" w:eastAsia="宋体" w:cs="Arial"/>
                                  <w:sz w:val="18"/>
                                  <w:szCs w:val="18"/>
                                </w:rPr>
                                <w:t>通信警戒组</w:t>
                              </w:r>
                            </w:p>
                          </w:txbxContent>
                        </v:textbox>
                      </v:rect>
                      <v:rect id="_x0000_s1026" o:spid="_x0000_s1026" o:spt="1" style="position:absolute;left:0;top:2325;height:468;width:1440;"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应急监测组</w:t>
                              </w:r>
                            </w:p>
                          </w:txbxContent>
                        </v:textbox>
                      </v:rect>
                    </v:group>
                    <v:line id="_x0000_s1026" o:spid="_x0000_s1026" o:spt="20" style="position:absolute;left:0;top:716;flip:x;height:0;width:540;rotation:11796480f;" filled="f" stroked="t" coordsize="21600,21600" o:gfxdata="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yz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0;top:252;height:2384;width:5;" filled="f" stroked="t" coordsize="21600,21600" o:gfxdata="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ro+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242;flip:x;height:0;width:540;rotation:11796480f;" filled="f" stroked="t" coordsize="21600,21600" o:gfxdata="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PLYS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0;top:1178;flip:x;height:0;width:540;rotation:11796480f;" filled="f" stroked="t" coordsize="21600,21600" o:gfxdata="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4oZ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0;top:1656;flip:x;height:0;width:540;rotation:11796480f;" filled="f" stroked="t" coordsize="21600,21600" o:gfxdata="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KN/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top:2104;flip:x;height:0;width:540;rotation:11796480f;" filled="f" stroked="t" coordsize="21600,21600" o:gfxdata="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ksVi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5;top:2620;flip:x;height:0;width:540;rotation:11796480f;" filled="f" stroked="t" coordsize="21600,21600" o:gfxdata="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7SLkLsAAADa&#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v:group>
                <v:line id="_x0000_s1026" o:spid="_x0000_s1026" o:spt="20" style="position:absolute;left:1755;top:4449;height:0;width:777;" filled="f" stroked="t" coordsize="21600,21600" o:gfxdata="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Tdr+W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autoSpaceDE w:val="0"/>
        <w:autoSpaceDN w:val="0"/>
        <w:adjustRightInd w:val="0"/>
        <w:spacing w:line="360" w:lineRule="auto"/>
        <w:ind w:firstLine="482" w:firstLineChars="200"/>
        <w:jc w:val="center"/>
        <w:rPr>
          <w:b/>
          <w:bCs/>
          <w:color w:val="auto"/>
          <w:highlight w:val="none"/>
        </w:rPr>
      </w:pPr>
    </w:p>
    <w:p>
      <w:pPr>
        <w:autoSpaceDE w:val="0"/>
        <w:autoSpaceDN w:val="0"/>
        <w:adjustRightInd w:val="0"/>
        <w:spacing w:line="360" w:lineRule="auto"/>
        <w:ind w:firstLine="482" w:firstLineChars="200"/>
        <w:jc w:val="center"/>
        <w:rPr>
          <w:b/>
          <w:bCs/>
          <w:color w:val="auto"/>
          <w:highlight w:val="none"/>
        </w:rPr>
      </w:pPr>
      <w:r>
        <w:rPr>
          <w:b/>
          <w:bCs/>
          <w:color w:val="auto"/>
          <w:highlight w:val="none"/>
        </w:rPr>
        <w:t>图6.3-1  Ⅰ级环境污染事件应急响应流程图</w:t>
      </w:r>
    </w:p>
    <w:p>
      <w:pPr>
        <w:spacing w:line="360" w:lineRule="auto"/>
        <w:ind w:firstLine="482" w:firstLineChars="200"/>
        <w:rPr>
          <w:b/>
          <w:color w:val="auto"/>
          <w:kern w:val="44"/>
          <w:highlight w:val="none"/>
        </w:rPr>
      </w:pPr>
      <w:r>
        <w:rPr>
          <w:b/>
          <w:color w:val="auto"/>
          <w:kern w:val="44"/>
          <w:highlight w:val="none"/>
        </w:rPr>
        <w:t>（2）Ⅱ级突发环境污染事件应急响应启动</w:t>
      </w:r>
    </w:p>
    <w:p>
      <w:pPr>
        <w:autoSpaceDE w:val="0"/>
        <w:autoSpaceDN w:val="0"/>
        <w:adjustRightInd w:val="0"/>
        <w:spacing w:line="360" w:lineRule="auto"/>
        <w:ind w:firstLine="480" w:firstLineChars="200"/>
        <w:rPr>
          <w:color w:val="auto"/>
          <w:highlight w:val="none"/>
        </w:rPr>
      </w:pPr>
      <w:r>
        <w:rPr>
          <w:color w:val="auto"/>
          <w:highlight w:val="none"/>
        </w:rPr>
        <w:t>Ⅱ级环境污染事件是对企业生产和人员安全造成较大危害和威胁，造成或者可能造成人员伤亡、财产损失和环境破坏，事故控制及其对生产、社会、环境产生的影响依靠车间内自身力量不能控制，需要厂部或相关方面救援力量进行应急处置的环境污染事件。</w:t>
      </w:r>
    </w:p>
    <w:p>
      <w:pPr>
        <w:autoSpaceDE w:val="0"/>
        <w:autoSpaceDN w:val="0"/>
        <w:adjustRightInd w:val="0"/>
        <w:spacing w:line="360" w:lineRule="auto"/>
        <w:ind w:firstLine="480" w:firstLineChars="200"/>
        <w:rPr>
          <w:color w:val="auto"/>
          <w:highlight w:val="none"/>
        </w:rPr>
      </w:pPr>
      <w:r>
        <w:rPr>
          <w:color w:val="auto"/>
          <w:highlight w:val="none"/>
        </w:rPr>
        <w:t>当发生一般环境污染事件时，原则上由企业内部组织应急救援力量处置，应急救援指挥部视事故态势变化请求</w:t>
      </w:r>
      <w:r>
        <w:rPr>
          <w:rFonts w:hint="eastAsia"/>
          <w:color w:val="auto"/>
          <w:highlight w:val="none"/>
        </w:rPr>
        <w:t>惠山</w:t>
      </w:r>
      <w:r>
        <w:rPr>
          <w:color w:val="auto"/>
          <w:highlight w:val="none"/>
        </w:rPr>
        <w:t>区政府、</w:t>
      </w:r>
      <w:r>
        <w:rPr>
          <w:rFonts w:hint="eastAsia"/>
          <w:color w:val="auto"/>
          <w:highlight w:val="none"/>
        </w:rPr>
        <w:t>惠山</w:t>
      </w:r>
      <w:r>
        <w:rPr>
          <w:color w:val="auto"/>
          <w:highlight w:val="none"/>
        </w:rPr>
        <w:t>区环保、消防、公安和医疗等相关力量协助，协助进行应急监测以及事故处置。Ⅱ级环境污染事件责任人：</w:t>
      </w:r>
      <w:r>
        <w:rPr>
          <w:rFonts w:hint="eastAsia"/>
          <w:color w:val="auto"/>
          <w:highlight w:val="none"/>
          <w:lang w:val="en-US" w:eastAsia="zh-CN"/>
        </w:rPr>
        <w:t>陈海</w:t>
      </w:r>
      <w:r>
        <w:rPr>
          <w:color w:val="auto"/>
          <w:highlight w:val="none"/>
        </w:rPr>
        <w:t>。</w:t>
      </w:r>
    </w:p>
    <w:p>
      <w:pPr>
        <w:autoSpaceDE w:val="0"/>
        <w:autoSpaceDN w:val="0"/>
        <w:adjustRightInd w:val="0"/>
        <w:spacing w:line="360" w:lineRule="auto"/>
        <w:ind w:firstLine="480" w:firstLineChars="200"/>
        <w:rPr>
          <w:color w:val="auto"/>
          <w:highlight w:val="none"/>
        </w:rPr>
      </w:pPr>
      <w:r>
        <w:rPr>
          <w:color w:val="auto"/>
          <w:highlight w:val="none"/>
        </w:rPr>
        <w:t>具体应急响应措施如下：</w:t>
      </w:r>
    </w:p>
    <w:p>
      <w:pPr>
        <w:autoSpaceDE w:val="0"/>
        <w:autoSpaceDN w:val="0"/>
        <w:adjustRightInd w:val="0"/>
        <w:spacing w:line="360" w:lineRule="auto"/>
        <w:ind w:firstLine="480" w:firstLineChars="200"/>
        <w:rPr>
          <w:color w:val="auto"/>
          <w:highlight w:val="none"/>
        </w:rPr>
      </w:pPr>
      <w:r>
        <w:rPr>
          <w:color w:val="auto"/>
          <w:highlight w:val="none"/>
        </w:rPr>
        <w:t>①启动Ⅱ级应急响应程序，控制并消除事故危险源，同时进行人员疏散与转移；</w:t>
      </w:r>
    </w:p>
    <w:p>
      <w:pPr>
        <w:autoSpaceDE w:val="0"/>
        <w:autoSpaceDN w:val="0"/>
        <w:adjustRightInd w:val="0"/>
        <w:spacing w:line="360" w:lineRule="auto"/>
        <w:ind w:firstLine="480" w:firstLineChars="200"/>
        <w:rPr>
          <w:color w:val="auto"/>
          <w:highlight w:val="none"/>
        </w:rPr>
      </w:pPr>
      <w:r>
        <w:rPr>
          <w:color w:val="auto"/>
          <w:highlight w:val="none"/>
        </w:rPr>
        <w:t>②根据事故时污染物的性质，事件类型、可控性、严重程度和影响范围，结合事件发生企业单位的应急预案作出应急响应工作，可决定是否启用惠山区应急设施和应急物资，必要时可调度附近其他单位的应急救援队伍，对危险区进行设定、隔离。</w:t>
      </w:r>
    </w:p>
    <w:p>
      <w:pPr>
        <w:autoSpaceDE w:val="0"/>
        <w:autoSpaceDN w:val="0"/>
        <w:adjustRightInd w:val="0"/>
        <w:spacing w:line="360" w:lineRule="auto"/>
        <w:ind w:firstLine="480" w:firstLineChars="200"/>
        <w:rPr>
          <w:color w:val="auto"/>
          <w:highlight w:val="none"/>
        </w:rPr>
      </w:pPr>
      <w:r>
        <w:rPr>
          <w:color w:val="auto"/>
          <w:highlight w:val="none"/>
        </w:rPr>
        <w:t>③视事故态势变化联系惠山区环保、消防、公安和医疗等相关力量协助；</w:t>
      </w:r>
    </w:p>
    <w:p>
      <w:pPr>
        <w:autoSpaceDE w:val="0"/>
        <w:autoSpaceDN w:val="0"/>
        <w:adjustRightInd w:val="0"/>
        <w:spacing w:line="360" w:lineRule="auto"/>
        <w:ind w:firstLine="480" w:firstLineChars="200"/>
        <w:rPr>
          <w:color w:val="auto"/>
          <w:highlight w:val="none"/>
        </w:rPr>
      </w:pPr>
      <w:r>
        <w:rPr>
          <w:color w:val="auto"/>
          <w:highlight w:val="none"/>
        </w:rPr>
        <w:t>④事故后现场恢复和清理；</w:t>
      </w:r>
    </w:p>
    <w:p>
      <w:pPr>
        <w:autoSpaceDE w:val="0"/>
        <w:autoSpaceDN w:val="0"/>
        <w:adjustRightInd w:val="0"/>
        <w:spacing w:line="360" w:lineRule="auto"/>
        <w:ind w:firstLine="480" w:firstLineChars="200"/>
        <w:rPr>
          <w:color w:val="auto"/>
          <w:highlight w:val="none"/>
        </w:rPr>
      </w:pPr>
      <w:r>
        <w:rPr>
          <w:color w:val="auto"/>
          <w:highlight w:val="none"/>
        </w:rPr>
        <w:t>⑤事故原因调查、事故总结、事故信息最终报告</w:t>
      </w:r>
      <w:r>
        <w:rPr>
          <w:rFonts w:hint="eastAsia"/>
          <w:color w:val="auto"/>
          <w:highlight w:val="none"/>
        </w:rPr>
        <w:t>无锡市惠山</w:t>
      </w:r>
      <w:r>
        <w:rPr>
          <w:color w:val="auto"/>
          <w:highlight w:val="none"/>
        </w:rPr>
        <w:t>生态环境局、</w:t>
      </w:r>
      <w:r>
        <w:rPr>
          <w:rFonts w:hint="eastAsia"/>
          <w:color w:val="auto"/>
          <w:highlight w:val="none"/>
        </w:rPr>
        <w:t>应急管理</w:t>
      </w:r>
      <w:r>
        <w:rPr>
          <w:color w:val="auto"/>
          <w:highlight w:val="none"/>
        </w:rPr>
        <w:t>局；</w:t>
      </w:r>
    </w:p>
    <w:p>
      <w:pPr>
        <w:autoSpaceDE w:val="0"/>
        <w:autoSpaceDN w:val="0"/>
        <w:adjustRightInd w:val="0"/>
        <w:spacing w:line="360" w:lineRule="auto"/>
        <w:ind w:firstLine="480" w:firstLineChars="200"/>
        <w:rPr>
          <w:color w:val="auto"/>
          <w:highlight w:val="none"/>
        </w:rPr>
      </w:pPr>
      <w:r>
        <w:rPr>
          <w:color w:val="auto"/>
          <w:highlight w:val="none"/>
        </w:rPr>
        <w:t>⑥针对事故原因，进行生产、储存环节改进，加强事故预防，并对应急预案进行改进完善，提高应急效率。</w:t>
      </w:r>
    </w:p>
    <w:p>
      <w:pPr>
        <w:autoSpaceDE w:val="0"/>
        <w:autoSpaceDN w:val="0"/>
        <w:adjustRightInd w:val="0"/>
        <w:spacing w:line="360" w:lineRule="auto"/>
        <w:ind w:firstLine="480" w:firstLineChars="200"/>
        <w:rPr>
          <w:color w:val="auto"/>
          <w:highlight w:val="none"/>
        </w:rPr>
      </w:pPr>
      <w:r>
        <w:rPr>
          <w:rFonts w:eastAsia="仿宋_GB2312"/>
          <w:bCs/>
          <w:color w:val="auto"/>
          <w:highlight w:val="none"/>
        </w:rPr>
        <mc:AlternateContent>
          <mc:Choice Requires="wpg">
            <w:drawing>
              <wp:inline distT="0" distB="0" distL="114300" distR="114300">
                <wp:extent cx="4882515" cy="7840345"/>
                <wp:effectExtent l="4445" t="4445" r="8890" b="22860"/>
                <wp:docPr id="9" name="组合 9"/>
                <wp:cNvGraphicFramePr/>
                <a:graphic xmlns:a="http://schemas.openxmlformats.org/drawingml/2006/main">
                  <a:graphicData uri="http://schemas.microsoft.com/office/word/2010/wordprocessingGroup">
                    <wpg:wgp>
                      <wpg:cNvGrpSpPr>
                        <a:grpSpLocks noRot="1"/>
                      </wpg:cNvGrpSpPr>
                      <wpg:grpSpPr>
                        <a:xfrm>
                          <a:off x="0" y="0"/>
                          <a:ext cx="4882515" cy="7840345"/>
                          <a:chOff x="0" y="0"/>
                          <a:chExt cx="6502" cy="11206"/>
                        </a:xfrm>
                      </wpg:grpSpPr>
                      <wps:wsp>
                        <wps:cNvPr id="544" name="椭圆 544"/>
                        <wps:cNvSpPr/>
                        <wps:spPr>
                          <a:xfrm>
                            <a:off x="1800" y="0"/>
                            <a:ext cx="2880" cy="624"/>
                          </a:xfrm>
                          <a:prstGeom prst="ellipse">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ind w:firstLine="266" w:firstLineChars="147"/>
                                <w:rPr>
                                  <w:rFonts w:ascii="Arial" w:hAnsi="Arial" w:cs="Arial"/>
                                  <w:b/>
                                  <w:sz w:val="18"/>
                                  <w:szCs w:val="18"/>
                                </w:rPr>
                              </w:pPr>
                              <w:r>
                                <w:rPr>
                                  <w:rFonts w:ascii="Arial" w:hAnsi="宋体" w:cs="Arial"/>
                                  <w:b/>
                                  <w:sz w:val="18"/>
                                  <w:szCs w:val="18"/>
                                </w:rPr>
                                <w:t>Ⅱ级环境污染事件</w:t>
                              </w:r>
                            </w:p>
                          </w:txbxContent>
                        </wps:txbx>
                        <wps:bodyPr upright="1"/>
                      </wps:wsp>
                      <wps:wsp>
                        <wps:cNvPr id="545" name="直接连接符 545"/>
                        <wps:cNvCnPr/>
                        <wps:spPr>
                          <a:xfrm>
                            <a:off x="3240" y="624"/>
                            <a:ext cx="0" cy="624"/>
                          </a:xfrm>
                          <a:prstGeom prst="line">
                            <a:avLst/>
                          </a:prstGeom>
                          <a:ln w="9525" cap="flat" cmpd="sng">
                            <a:solidFill>
                              <a:srgbClr val="000000"/>
                            </a:solidFill>
                            <a:prstDash val="solid"/>
                            <a:headEnd type="none" w="med" len="med"/>
                            <a:tailEnd type="triangle" w="med" len="med"/>
                          </a:ln>
                        </wps:spPr>
                        <wps:bodyPr/>
                      </wps:wsp>
                      <wps:wsp>
                        <wps:cNvPr id="546" name="矩形 546"/>
                        <wps:cNvSpPr/>
                        <wps:spPr>
                          <a:xfrm>
                            <a:off x="2505" y="124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before="120" w:beforeLines="50"/>
                                <w:jc w:val="center"/>
                                <w:rPr>
                                  <w:rFonts w:ascii="Arial" w:hAnsi="宋体" w:cs="Arial"/>
                                  <w:sz w:val="18"/>
                                  <w:szCs w:val="18"/>
                                </w:rPr>
                              </w:pPr>
                              <w:r>
                                <w:rPr>
                                  <w:rFonts w:ascii="Arial" w:hAnsi="宋体" w:cs="Arial"/>
                                  <w:sz w:val="18"/>
                                  <w:szCs w:val="18"/>
                                </w:rPr>
                                <w:t>应急</w:t>
                              </w:r>
                              <w:r>
                                <w:rPr>
                                  <w:rFonts w:hint="eastAsia" w:ascii="Arial" w:hAnsi="宋体" w:cs="Arial"/>
                                  <w:sz w:val="18"/>
                                  <w:szCs w:val="18"/>
                                </w:rPr>
                                <w:t>救援指挥部</w:t>
                              </w:r>
                            </w:p>
                            <w:p>
                              <w:pPr>
                                <w:rPr>
                                  <w:szCs w:val="18"/>
                                </w:rPr>
                              </w:pPr>
                            </w:p>
                          </w:txbxContent>
                        </wps:txbx>
                        <wps:bodyPr upright="1"/>
                      </wps:wsp>
                      <wps:wsp>
                        <wps:cNvPr id="547" name="直接连接符 547"/>
                        <wps:cNvCnPr/>
                        <wps:spPr>
                          <a:xfrm>
                            <a:off x="3240" y="1716"/>
                            <a:ext cx="0" cy="624"/>
                          </a:xfrm>
                          <a:prstGeom prst="line">
                            <a:avLst/>
                          </a:prstGeom>
                          <a:ln w="9525" cap="flat" cmpd="sng">
                            <a:solidFill>
                              <a:srgbClr val="000000"/>
                            </a:solidFill>
                            <a:prstDash val="solid"/>
                            <a:headEnd type="none" w="med" len="med"/>
                            <a:tailEnd type="triangle" w="med" len="med"/>
                          </a:ln>
                        </wps:spPr>
                        <wps:bodyPr/>
                      </wps:wsp>
                      <wps:wsp>
                        <wps:cNvPr id="548" name="矩形 548"/>
                        <wps:cNvSpPr/>
                        <wps:spPr>
                          <a:xfrm>
                            <a:off x="1875" y="2340"/>
                            <a:ext cx="2715" cy="1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before="120" w:beforeLines="50"/>
                                <w:jc w:val="center"/>
                                <w:rPr>
                                  <w:sz w:val="18"/>
                                  <w:szCs w:val="18"/>
                                </w:rPr>
                              </w:pPr>
                              <w:r>
                                <w:rPr>
                                  <w:sz w:val="18"/>
                                  <w:szCs w:val="18"/>
                                </w:rPr>
                                <w:t>应急救援指挥部</w:t>
                              </w:r>
                            </w:p>
                            <w:p>
                              <w:pPr>
                                <w:adjustRightInd w:val="0"/>
                                <w:snapToGrid w:val="0"/>
                                <w:spacing w:before="120" w:beforeLines="50"/>
                                <w:jc w:val="center"/>
                                <w:rPr>
                                  <w:rFonts w:hint="eastAsia" w:eastAsia="宋体"/>
                                  <w:sz w:val="18"/>
                                  <w:szCs w:val="18"/>
                                  <w:lang w:eastAsia="zh-CN"/>
                                </w:rPr>
                              </w:pPr>
                              <w:r>
                                <w:rPr>
                                  <w:rFonts w:hint="eastAsia"/>
                                  <w:sz w:val="18"/>
                                  <w:szCs w:val="18"/>
                                </w:rPr>
                                <w:t>联系人：</w:t>
                              </w:r>
                              <w:r>
                                <w:rPr>
                                  <w:rFonts w:hint="eastAsia"/>
                                  <w:sz w:val="18"/>
                                  <w:szCs w:val="18"/>
                                  <w:lang w:val="en-US" w:eastAsia="zh-CN"/>
                                </w:rPr>
                                <w:t>陈海</w:t>
                              </w:r>
                            </w:p>
                            <w:p>
                              <w:pPr>
                                <w:adjustRightInd w:val="0"/>
                                <w:snapToGrid w:val="0"/>
                                <w:spacing w:before="120" w:beforeLines="50"/>
                                <w:jc w:val="center"/>
                                <w:rPr>
                                  <w:sz w:val="18"/>
                                  <w:szCs w:val="18"/>
                                </w:rPr>
                              </w:pPr>
                              <w:r>
                                <w:rPr>
                                  <w:rFonts w:hint="eastAsia"/>
                                  <w:sz w:val="18"/>
                                  <w:szCs w:val="18"/>
                                </w:rPr>
                                <w:t>联系电话：13771056107</w:t>
                              </w:r>
                            </w:p>
                          </w:txbxContent>
                        </wps:txbx>
                        <wps:bodyPr lIns="91440" tIns="10800" rIns="91440" bIns="10800" upright="1"/>
                      </wps:wsp>
                      <wps:wsp>
                        <wps:cNvPr id="549" name="直接连接符 549"/>
                        <wps:cNvCnPr/>
                        <wps:spPr>
                          <a:xfrm>
                            <a:off x="3240" y="3432"/>
                            <a:ext cx="0" cy="624"/>
                          </a:xfrm>
                          <a:prstGeom prst="line">
                            <a:avLst/>
                          </a:prstGeom>
                          <a:ln w="9525" cap="flat" cmpd="sng">
                            <a:solidFill>
                              <a:srgbClr val="000000"/>
                            </a:solidFill>
                            <a:prstDash val="solid"/>
                            <a:headEnd type="none" w="med" len="med"/>
                            <a:tailEnd type="triangle" w="med" len="med"/>
                          </a:ln>
                        </wps:spPr>
                        <wps:bodyPr/>
                      </wps:wsp>
                      <wps:wsp>
                        <wps:cNvPr id="563" name="矩形 563"/>
                        <wps:cNvSpPr/>
                        <wps:spPr>
                          <a:xfrm>
                            <a:off x="2505" y="405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应急启动</w:t>
                              </w:r>
                            </w:p>
                          </w:txbxContent>
                        </wps:txbx>
                        <wps:bodyPr upright="1"/>
                      </wps:wsp>
                      <wps:wsp>
                        <wps:cNvPr id="564" name="直接连接符 564"/>
                        <wps:cNvCnPr/>
                        <wps:spPr>
                          <a:xfrm>
                            <a:off x="3240" y="4524"/>
                            <a:ext cx="0" cy="1248"/>
                          </a:xfrm>
                          <a:prstGeom prst="line">
                            <a:avLst/>
                          </a:prstGeom>
                          <a:ln w="9525" cap="flat" cmpd="sng">
                            <a:solidFill>
                              <a:srgbClr val="000000"/>
                            </a:solidFill>
                            <a:prstDash val="solid"/>
                            <a:headEnd type="none" w="med" len="med"/>
                            <a:tailEnd type="triangle" w="med" len="med"/>
                          </a:ln>
                        </wps:spPr>
                        <wps:bodyPr/>
                      </wps:wsp>
                      <wps:wsp>
                        <wps:cNvPr id="565" name="矩形 565"/>
                        <wps:cNvSpPr/>
                        <wps:spPr>
                          <a:xfrm>
                            <a:off x="2506" y="5772"/>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救援行动</w:t>
                              </w:r>
                            </w:p>
                          </w:txbxContent>
                        </wps:txbx>
                        <wps:bodyPr upright="1"/>
                      </wps:wsp>
                      <wps:wsp>
                        <wps:cNvPr id="573" name="椭圆 573"/>
                        <wps:cNvSpPr>
                          <a:spLocks noChangeAspect="1"/>
                        </wps:cNvSpPr>
                        <wps:spPr>
                          <a:xfrm>
                            <a:off x="2835" y="4680"/>
                            <a:ext cx="788" cy="788"/>
                          </a:xfrm>
                          <a:prstGeom prst="ellipse">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jc w:val="center"/>
                                <w:rPr>
                                  <w:rFonts w:ascii="Arial" w:hAnsi="宋体" w:cs="Arial"/>
                                  <w:sz w:val="18"/>
                                  <w:szCs w:val="18"/>
                                </w:rPr>
                              </w:pPr>
                              <w:r>
                                <w:rPr>
                                  <w:rFonts w:ascii="Arial" w:hAnsi="宋体" w:cs="Arial"/>
                                  <w:sz w:val="18"/>
                                  <w:szCs w:val="18"/>
                                </w:rPr>
                                <w:t>企业</w:t>
                              </w:r>
                            </w:p>
                            <w:p>
                              <w:pPr>
                                <w:adjustRightInd w:val="0"/>
                                <w:snapToGrid w:val="0"/>
                                <w:jc w:val="center"/>
                                <w:rPr>
                                  <w:rFonts w:ascii="Arial" w:hAnsi="Arial" w:cs="Arial"/>
                                  <w:sz w:val="18"/>
                                  <w:szCs w:val="18"/>
                                </w:rPr>
                              </w:pPr>
                              <w:r>
                                <w:rPr>
                                  <w:rFonts w:ascii="Arial" w:hAnsi="宋体" w:cs="Arial"/>
                                  <w:sz w:val="18"/>
                                  <w:szCs w:val="18"/>
                                </w:rPr>
                                <w:t>自救</w:t>
                              </w:r>
                            </w:p>
                          </w:txbxContent>
                        </wps:txbx>
                        <wps:bodyPr lIns="0" tIns="0" rIns="0" bIns="0" upright="1"/>
                      </wps:wsp>
                      <wps:wsp>
                        <wps:cNvPr id="574" name="直接连接符 574"/>
                        <wps:cNvCnPr/>
                        <wps:spPr>
                          <a:xfrm>
                            <a:off x="3240" y="6237"/>
                            <a:ext cx="0" cy="839"/>
                          </a:xfrm>
                          <a:prstGeom prst="line">
                            <a:avLst/>
                          </a:prstGeom>
                          <a:ln w="9525" cap="flat" cmpd="sng">
                            <a:solidFill>
                              <a:srgbClr val="000000"/>
                            </a:solidFill>
                            <a:prstDash val="solid"/>
                            <a:headEnd type="none" w="med" len="med"/>
                            <a:tailEnd type="triangle" w="med" len="med"/>
                          </a:ln>
                        </wps:spPr>
                        <wps:bodyPr/>
                      </wps:wsp>
                      <wps:wsp>
                        <wps:cNvPr id="575" name="直接连接符 575"/>
                        <wps:cNvCnPr/>
                        <wps:spPr>
                          <a:xfrm flipH="1">
                            <a:off x="3946" y="6012"/>
                            <a:ext cx="540" cy="0"/>
                          </a:xfrm>
                          <a:prstGeom prst="line">
                            <a:avLst/>
                          </a:prstGeom>
                          <a:ln w="9525" cap="flat" cmpd="sng">
                            <a:solidFill>
                              <a:srgbClr val="000000"/>
                            </a:solidFill>
                            <a:prstDash val="solid"/>
                            <a:headEnd type="none" w="med" len="med"/>
                            <a:tailEnd type="none" w="med" len="med"/>
                          </a:ln>
                        </wps:spPr>
                        <wps:bodyPr/>
                      </wps:wsp>
                      <wpg:grpSp>
                        <wpg:cNvPr id="10" name="组合 590"/>
                        <wpg:cNvGrpSpPr/>
                        <wpg:grpSpPr>
                          <a:xfrm>
                            <a:off x="4500" y="4594"/>
                            <a:ext cx="1981" cy="2808"/>
                            <a:chOff x="0" y="0"/>
                            <a:chExt cx="1981" cy="2808"/>
                          </a:xfrm>
                        </wpg:grpSpPr>
                        <wpg:grpSp>
                          <wpg:cNvPr id="13" name="组合 582"/>
                          <wpg:cNvGrpSpPr/>
                          <wpg:grpSpPr>
                            <a:xfrm>
                              <a:off x="541" y="0"/>
                              <a:ext cx="1440" cy="2808"/>
                              <a:chOff x="0" y="0"/>
                              <a:chExt cx="1440" cy="2808"/>
                            </a:xfrm>
                          </wpg:grpSpPr>
                          <wps:wsp>
                            <wps:cNvPr id="576" name="矩形 576"/>
                            <wps:cNvSpPr/>
                            <wps:spPr>
                              <a:xfrm>
                                <a:off x="0" y="46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宋体" w:cs="Arial"/>
                                      <w:sz w:val="18"/>
                                      <w:szCs w:val="18"/>
                                    </w:rPr>
                                  </w:pPr>
                                  <w:r>
                                    <w:rPr>
                                      <w:rFonts w:hint="eastAsia" w:ascii="Arial" w:hAnsi="宋体" w:cs="Arial"/>
                                      <w:sz w:val="18"/>
                                      <w:szCs w:val="18"/>
                                    </w:rPr>
                                    <w:t>抢险灭火组</w:t>
                                  </w:r>
                                </w:p>
                                <w:p>
                                  <w:pPr>
                                    <w:rPr>
                                      <w:sz w:val="18"/>
                                      <w:szCs w:val="18"/>
                                    </w:rPr>
                                  </w:pPr>
                                </w:p>
                              </w:txbxContent>
                            </wps:txbx>
                            <wps:bodyPr upright="1"/>
                          </wps:wsp>
                          <wps:wsp>
                            <wps:cNvPr id="577" name="矩形 577"/>
                            <wps:cNvSpPr/>
                            <wps:spPr>
                              <a:xfrm>
                                <a:off x="0" y="93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宋体" w:cs="Arial"/>
                                      <w:sz w:val="18"/>
                                      <w:szCs w:val="18"/>
                                    </w:rPr>
                                  </w:pPr>
                                  <w:r>
                                    <w:rPr>
                                      <w:rFonts w:hint="eastAsia" w:ascii="Arial" w:hAnsi="宋体" w:cs="Arial"/>
                                      <w:sz w:val="18"/>
                                      <w:szCs w:val="18"/>
                                    </w:rPr>
                                    <w:t>救护疏散组</w:t>
                                  </w:r>
                                </w:p>
                                <w:p>
                                  <w:pPr>
                                    <w:jc w:val="center"/>
                                    <w:rPr>
                                      <w:rFonts w:ascii="仿宋_GB2312" w:eastAsia="仿宋_GB2312"/>
                                      <w:sz w:val="18"/>
                                      <w:szCs w:val="18"/>
                                    </w:rPr>
                                  </w:pPr>
                                </w:p>
                                <w:p>
                                  <w:pPr>
                                    <w:rPr>
                                      <w:sz w:val="18"/>
                                      <w:szCs w:val="18"/>
                                    </w:rPr>
                                  </w:pPr>
                                </w:p>
                              </w:txbxContent>
                            </wps:txbx>
                            <wps:bodyPr upright="1"/>
                          </wps:wsp>
                          <wps:wsp>
                            <wps:cNvPr id="578" name="矩形 578"/>
                            <wps:cNvSpPr/>
                            <wps:spPr>
                              <a:xfrm>
                                <a:off x="0" y="140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sz w:val="18"/>
                                      <w:szCs w:val="18"/>
                                    </w:rPr>
                                  </w:pPr>
                                  <w:r>
                                    <w:rPr>
                                      <w:rFonts w:hint="eastAsia" w:ascii="Arial" w:hAnsi="宋体" w:cs="Arial"/>
                                      <w:sz w:val="18"/>
                                      <w:szCs w:val="18"/>
                                    </w:rPr>
                                    <w:t>后勤保障</w:t>
                                  </w:r>
                                  <w:r>
                                    <w:rPr>
                                      <w:rFonts w:ascii="Arial" w:hAnsi="宋体" w:cs="Arial"/>
                                      <w:sz w:val="18"/>
                                      <w:szCs w:val="18"/>
                                    </w:rPr>
                                    <w:t>组</w:t>
                                  </w:r>
                                </w:p>
                                <w:p>
                                  <w:pPr>
                                    <w:rPr>
                                      <w:sz w:val="18"/>
                                      <w:szCs w:val="18"/>
                                    </w:rPr>
                                  </w:pPr>
                                </w:p>
                              </w:txbxContent>
                            </wps:txbx>
                            <wps:bodyPr upright="1"/>
                          </wps:wsp>
                          <wps:wsp>
                            <wps:cNvPr id="579" name="矩形 579"/>
                            <wps:cNvSpPr/>
                            <wps:spPr>
                              <a:xfrm>
                                <a:off x="0" y="1872"/>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val="en-US" w:eastAsia="zh-CN"/>
                                    </w:rPr>
                                    <w:t>事故处置组</w:t>
                                  </w:r>
                                </w:p>
                              </w:txbxContent>
                            </wps:txbx>
                            <wps:bodyPr upright="1"/>
                          </wps:wsp>
                          <wps:wsp>
                            <wps:cNvPr id="580" name="矩形 580"/>
                            <wps:cNvSpPr/>
                            <wps:spPr>
                              <a:xfrm>
                                <a:off x="0" y="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宋体" w:cs="Arial"/>
                                      <w:sz w:val="18"/>
                                      <w:szCs w:val="18"/>
                                    </w:rPr>
                                  </w:pPr>
                                  <w:r>
                                    <w:rPr>
                                      <w:rFonts w:hint="eastAsia" w:ascii="Arial" w:hAnsi="宋体" w:cs="Arial"/>
                                      <w:sz w:val="18"/>
                                      <w:szCs w:val="18"/>
                                    </w:rPr>
                                    <w:t>通信警戒组</w:t>
                                  </w:r>
                                </w:p>
                                <w:p>
                                  <w:pPr>
                                    <w:rPr>
                                      <w:sz w:val="18"/>
                                      <w:szCs w:val="18"/>
                                    </w:rPr>
                                  </w:pPr>
                                </w:p>
                              </w:txbxContent>
                            </wps:txbx>
                            <wps:bodyPr upright="1"/>
                          </wps:wsp>
                          <wps:wsp>
                            <wps:cNvPr id="581" name="矩形 581"/>
                            <wps:cNvSpPr/>
                            <wps:spPr>
                              <a:xfrm>
                                <a:off x="0" y="234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lang w:val="en-US" w:eastAsia="zh-CN"/>
                                    </w:rPr>
                                    <w:t>应急监测组</w:t>
                                  </w:r>
                                </w:p>
                              </w:txbxContent>
                            </wps:txbx>
                            <wps:bodyPr upright="1"/>
                          </wps:wsp>
                        </wpg:grpSp>
                        <wps:wsp>
                          <wps:cNvPr id="583" name="直接连接符 583"/>
                          <wps:cNvCnPr/>
                          <wps:spPr>
                            <a:xfrm rot="-10800000" flipH="1">
                              <a:off x="0" y="716"/>
                              <a:ext cx="540" cy="0"/>
                            </a:xfrm>
                            <a:prstGeom prst="line">
                              <a:avLst/>
                            </a:prstGeom>
                            <a:ln w="9525" cap="flat" cmpd="sng">
                              <a:solidFill>
                                <a:srgbClr val="000000"/>
                              </a:solidFill>
                              <a:prstDash val="solid"/>
                              <a:headEnd type="none" w="med" len="med"/>
                              <a:tailEnd type="triangle" w="med" len="med"/>
                            </a:ln>
                          </wps:spPr>
                          <wps:bodyPr/>
                        </wps:wsp>
                        <wps:wsp>
                          <wps:cNvPr id="584" name="直接连接符 584"/>
                          <wps:cNvCnPr/>
                          <wps:spPr>
                            <a:xfrm rot="-10800000" flipV="1">
                              <a:off x="0" y="252"/>
                              <a:ext cx="0" cy="2330"/>
                            </a:xfrm>
                            <a:prstGeom prst="line">
                              <a:avLst/>
                            </a:prstGeom>
                            <a:ln w="9525" cap="flat" cmpd="sng">
                              <a:solidFill>
                                <a:srgbClr val="000000"/>
                              </a:solidFill>
                              <a:prstDash val="solid"/>
                              <a:headEnd type="none" w="med" len="med"/>
                              <a:tailEnd type="none" w="med" len="med"/>
                            </a:ln>
                          </wps:spPr>
                          <wps:bodyPr/>
                        </wps:wsp>
                        <wps:wsp>
                          <wps:cNvPr id="585" name="直接连接符 585"/>
                          <wps:cNvCnPr/>
                          <wps:spPr>
                            <a:xfrm rot="-10800000" flipH="1">
                              <a:off x="0" y="242"/>
                              <a:ext cx="540" cy="0"/>
                            </a:xfrm>
                            <a:prstGeom prst="line">
                              <a:avLst/>
                            </a:prstGeom>
                            <a:ln w="9525" cap="flat" cmpd="sng">
                              <a:solidFill>
                                <a:srgbClr val="000000"/>
                              </a:solidFill>
                              <a:prstDash val="solid"/>
                              <a:headEnd type="none" w="med" len="med"/>
                              <a:tailEnd type="triangle" w="med" len="med"/>
                            </a:ln>
                          </wps:spPr>
                          <wps:bodyPr/>
                        </wps:wsp>
                        <wps:wsp>
                          <wps:cNvPr id="586" name="直接连接符 586"/>
                          <wps:cNvCnPr/>
                          <wps:spPr>
                            <a:xfrm rot="-10800000" flipH="1">
                              <a:off x="0" y="1178"/>
                              <a:ext cx="540" cy="0"/>
                            </a:xfrm>
                            <a:prstGeom prst="line">
                              <a:avLst/>
                            </a:prstGeom>
                            <a:ln w="9525" cap="flat" cmpd="sng">
                              <a:solidFill>
                                <a:srgbClr val="000000"/>
                              </a:solidFill>
                              <a:prstDash val="solid"/>
                              <a:headEnd type="none" w="med" len="med"/>
                              <a:tailEnd type="triangle" w="med" len="med"/>
                            </a:ln>
                          </wps:spPr>
                          <wps:bodyPr/>
                        </wps:wsp>
                        <wps:wsp>
                          <wps:cNvPr id="587" name="直接连接符 587"/>
                          <wps:cNvCnPr/>
                          <wps:spPr>
                            <a:xfrm rot="-10800000" flipH="1">
                              <a:off x="0" y="1656"/>
                              <a:ext cx="540" cy="0"/>
                            </a:xfrm>
                            <a:prstGeom prst="line">
                              <a:avLst/>
                            </a:prstGeom>
                            <a:ln w="9525" cap="flat" cmpd="sng">
                              <a:solidFill>
                                <a:srgbClr val="000000"/>
                              </a:solidFill>
                              <a:prstDash val="solid"/>
                              <a:headEnd type="none" w="med" len="med"/>
                              <a:tailEnd type="triangle" w="med" len="med"/>
                            </a:ln>
                          </wps:spPr>
                          <wps:bodyPr/>
                        </wps:wsp>
                        <wps:wsp>
                          <wps:cNvPr id="588" name="直接连接符 588"/>
                          <wps:cNvCnPr/>
                          <wps:spPr>
                            <a:xfrm rot="-10800000" flipH="1">
                              <a:off x="1" y="2104"/>
                              <a:ext cx="540" cy="0"/>
                            </a:xfrm>
                            <a:prstGeom prst="line">
                              <a:avLst/>
                            </a:prstGeom>
                            <a:ln w="9525" cap="flat" cmpd="sng">
                              <a:solidFill>
                                <a:srgbClr val="000000"/>
                              </a:solidFill>
                              <a:prstDash val="solid"/>
                              <a:headEnd type="none" w="med" len="med"/>
                              <a:tailEnd type="triangle" w="med" len="med"/>
                            </a:ln>
                          </wps:spPr>
                          <wps:bodyPr/>
                        </wps:wsp>
                        <wps:wsp>
                          <wps:cNvPr id="589" name="直接连接符 589"/>
                          <wps:cNvCnPr/>
                          <wps:spPr>
                            <a:xfrm rot="-10800000" flipH="1">
                              <a:off x="1" y="2582"/>
                              <a:ext cx="540" cy="0"/>
                            </a:xfrm>
                            <a:prstGeom prst="line">
                              <a:avLst/>
                            </a:prstGeom>
                            <a:ln w="9525" cap="flat" cmpd="sng">
                              <a:solidFill>
                                <a:srgbClr val="000000"/>
                              </a:solidFill>
                              <a:prstDash val="solid"/>
                              <a:headEnd type="none" w="med" len="med"/>
                              <a:tailEnd type="triangle" w="med" len="med"/>
                            </a:ln>
                          </wps:spPr>
                          <wps:bodyPr/>
                        </wps:wsp>
                      </wpg:grpSp>
                      <wpg:grpSp>
                        <wpg:cNvPr id="14" name="组合 614"/>
                        <wpg:cNvGrpSpPr/>
                        <wpg:grpSpPr>
                          <a:xfrm>
                            <a:off x="0" y="8298"/>
                            <a:ext cx="6502" cy="2908"/>
                            <a:chOff x="0" y="0"/>
                            <a:chExt cx="6502" cy="2908"/>
                          </a:xfrm>
                        </wpg:grpSpPr>
                        <wps:wsp>
                          <wps:cNvPr id="591" name="矩形 591"/>
                          <wps:cNvSpPr/>
                          <wps:spPr>
                            <a:xfrm>
                              <a:off x="0" y="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现场清理</w:t>
                                </w:r>
                              </w:p>
                            </w:txbxContent>
                          </wps:txbx>
                          <wps:bodyPr upright="1"/>
                        </wps:wsp>
                        <wps:wsp>
                          <wps:cNvPr id="592" name="矩形 592"/>
                          <wps:cNvSpPr/>
                          <wps:spPr>
                            <a:xfrm>
                              <a:off x="0" y="46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解除警戒</w:t>
                                </w:r>
                              </w:p>
                            </w:txbxContent>
                          </wps:txbx>
                          <wps:bodyPr upright="1"/>
                        </wps:wsp>
                        <wps:wsp>
                          <wps:cNvPr id="593" name="矩形 593"/>
                          <wps:cNvSpPr/>
                          <wps:spPr>
                            <a:xfrm>
                              <a:off x="0" y="93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善后处理</w:t>
                                </w:r>
                              </w:p>
                            </w:txbxContent>
                          </wps:txbx>
                          <wps:bodyPr upright="1"/>
                        </wps:wsp>
                        <wps:wsp>
                          <wps:cNvPr id="594" name="矩形 594"/>
                          <wps:cNvSpPr/>
                          <wps:spPr>
                            <a:xfrm>
                              <a:off x="0" y="140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事故调查</w:t>
                                </w:r>
                              </w:p>
                            </w:txbxContent>
                          </wps:txbx>
                          <wps:bodyPr upright="1"/>
                        </wps:wsp>
                        <wps:wsp>
                          <wps:cNvPr id="595" name="直接连接符 595"/>
                          <wps:cNvCnPr/>
                          <wps:spPr>
                            <a:xfrm flipH="1">
                              <a:off x="1980" y="939"/>
                              <a:ext cx="540" cy="0"/>
                            </a:xfrm>
                            <a:prstGeom prst="line">
                              <a:avLst/>
                            </a:prstGeom>
                            <a:ln w="9525" cap="flat" cmpd="sng">
                              <a:solidFill>
                                <a:srgbClr val="000000"/>
                              </a:solidFill>
                              <a:prstDash val="solid"/>
                              <a:headEnd type="none" w="med" len="med"/>
                              <a:tailEnd type="none" w="med" len="med"/>
                            </a:ln>
                          </wps:spPr>
                          <wps:bodyPr/>
                        </wps:wsp>
                        <wpg:grpSp>
                          <wpg:cNvPr id="15" name="组合 601"/>
                          <wpg:cNvGrpSpPr/>
                          <wpg:grpSpPr>
                            <a:xfrm>
                              <a:off x="1440" y="226"/>
                              <a:ext cx="540" cy="1428"/>
                              <a:chOff x="0" y="0"/>
                              <a:chExt cx="540" cy="1428"/>
                            </a:xfrm>
                          </wpg:grpSpPr>
                          <wps:wsp>
                            <wps:cNvPr id="596" name="直接连接符 596"/>
                            <wps:cNvCnPr/>
                            <wps:spPr>
                              <a:xfrm flipH="1">
                                <a:off x="0" y="954"/>
                                <a:ext cx="540" cy="0"/>
                              </a:xfrm>
                              <a:prstGeom prst="line">
                                <a:avLst/>
                              </a:prstGeom>
                              <a:ln w="9525" cap="flat" cmpd="sng">
                                <a:solidFill>
                                  <a:srgbClr val="000000"/>
                                </a:solidFill>
                                <a:prstDash val="solid"/>
                                <a:headEnd type="none" w="med" len="med"/>
                                <a:tailEnd type="triangle" w="med" len="med"/>
                              </a:ln>
                            </wps:spPr>
                            <wps:bodyPr/>
                          </wps:wsp>
                          <wps:wsp>
                            <wps:cNvPr id="597" name="直接连接符 597"/>
                            <wps:cNvCnPr/>
                            <wps:spPr>
                              <a:xfrm flipV="1">
                                <a:off x="540" y="0"/>
                                <a:ext cx="0" cy="1417"/>
                              </a:xfrm>
                              <a:prstGeom prst="line">
                                <a:avLst/>
                              </a:prstGeom>
                              <a:ln w="9525" cap="flat" cmpd="sng">
                                <a:solidFill>
                                  <a:srgbClr val="000000"/>
                                </a:solidFill>
                                <a:prstDash val="solid"/>
                                <a:headEnd type="none" w="med" len="med"/>
                                <a:tailEnd type="none" w="med" len="med"/>
                              </a:ln>
                            </wps:spPr>
                            <wps:bodyPr/>
                          </wps:wsp>
                          <wps:wsp>
                            <wps:cNvPr id="598" name="直接连接符 598"/>
                            <wps:cNvCnPr/>
                            <wps:spPr>
                              <a:xfrm flipH="1">
                                <a:off x="0" y="1428"/>
                                <a:ext cx="540" cy="0"/>
                              </a:xfrm>
                              <a:prstGeom prst="line">
                                <a:avLst/>
                              </a:prstGeom>
                              <a:ln w="9525" cap="flat" cmpd="sng">
                                <a:solidFill>
                                  <a:srgbClr val="000000"/>
                                </a:solidFill>
                                <a:prstDash val="solid"/>
                                <a:headEnd type="none" w="med" len="med"/>
                                <a:tailEnd type="triangle" w="med" len="med"/>
                              </a:ln>
                            </wps:spPr>
                            <wps:bodyPr/>
                          </wps:wsp>
                          <wps:wsp>
                            <wps:cNvPr id="599" name="直接连接符 599"/>
                            <wps:cNvCnPr/>
                            <wps:spPr>
                              <a:xfrm flipH="1">
                                <a:off x="0" y="492"/>
                                <a:ext cx="540" cy="0"/>
                              </a:xfrm>
                              <a:prstGeom prst="line">
                                <a:avLst/>
                              </a:prstGeom>
                              <a:ln w="9525" cap="flat" cmpd="sng">
                                <a:solidFill>
                                  <a:srgbClr val="000000"/>
                                </a:solidFill>
                                <a:prstDash val="solid"/>
                                <a:headEnd type="none" w="med" len="med"/>
                                <a:tailEnd type="triangle" w="med" len="med"/>
                              </a:ln>
                            </wps:spPr>
                            <wps:bodyPr/>
                          </wps:wsp>
                          <wps:wsp>
                            <wps:cNvPr id="600" name="直接连接符 600"/>
                            <wps:cNvCnPr/>
                            <wps:spPr>
                              <a:xfrm flipH="1">
                                <a:off x="0" y="14"/>
                                <a:ext cx="540" cy="0"/>
                              </a:xfrm>
                              <a:prstGeom prst="line">
                                <a:avLst/>
                              </a:prstGeom>
                              <a:ln w="9525" cap="flat" cmpd="sng">
                                <a:solidFill>
                                  <a:srgbClr val="000000"/>
                                </a:solidFill>
                                <a:prstDash val="solid"/>
                                <a:headEnd type="none" w="med" len="med"/>
                                <a:tailEnd type="triangle" w="med" len="med"/>
                              </a:ln>
                            </wps:spPr>
                            <wps:bodyPr/>
                          </wps:wsp>
                        </wpg:grpSp>
                        <wps:wsp>
                          <wps:cNvPr id="602" name="矩形 602"/>
                          <wps:cNvSpPr/>
                          <wps:spPr>
                            <a:xfrm>
                              <a:off x="2506" y="69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应急恢复</w:t>
                                </w:r>
                              </w:p>
                            </w:txbxContent>
                          </wps:txbx>
                          <wps:bodyPr upright="1"/>
                        </wps:wsp>
                        <wps:wsp>
                          <wps:cNvPr id="603" name="直接连接符 603"/>
                          <wps:cNvCnPr/>
                          <wps:spPr>
                            <a:xfrm>
                              <a:off x="3240" y="1151"/>
                              <a:ext cx="0" cy="1037"/>
                            </a:xfrm>
                            <a:prstGeom prst="line">
                              <a:avLst/>
                            </a:prstGeom>
                            <a:ln w="9525" cap="flat" cmpd="sng">
                              <a:solidFill>
                                <a:srgbClr val="000000"/>
                              </a:solidFill>
                              <a:prstDash val="solid"/>
                              <a:headEnd type="none" w="med" len="med"/>
                              <a:tailEnd type="triangle" w="med" len="med"/>
                            </a:ln>
                          </wps:spPr>
                          <wps:bodyPr/>
                        </wps:wsp>
                        <wps:wsp>
                          <wps:cNvPr id="604" name="矩形 604"/>
                          <wps:cNvSpPr/>
                          <wps:spPr>
                            <a:xfrm>
                              <a:off x="2506" y="219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应急结束</w:t>
                                </w:r>
                              </w:p>
                            </w:txbxContent>
                          </wps:txbx>
                          <wps:bodyPr upright="1"/>
                        </wps:wsp>
                        <wpg:grpSp>
                          <wpg:cNvPr id="16" name="组合 612"/>
                          <wpg:cNvGrpSpPr/>
                          <wpg:grpSpPr>
                            <a:xfrm>
                              <a:off x="4518" y="1972"/>
                              <a:ext cx="1984" cy="936"/>
                              <a:chOff x="0" y="0"/>
                              <a:chExt cx="1984" cy="936"/>
                            </a:xfrm>
                          </wpg:grpSpPr>
                          <wpg:grpSp>
                            <wpg:cNvPr id="17" name="组合 607"/>
                            <wpg:cNvGrpSpPr/>
                            <wpg:grpSpPr>
                              <a:xfrm>
                                <a:off x="544" y="0"/>
                                <a:ext cx="1440" cy="936"/>
                                <a:chOff x="0" y="0"/>
                                <a:chExt cx="1440" cy="936"/>
                              </a:xfrm>
                            </wpg:grpSpPr>
                            <wps:wsp>
                              <wps:cNvPr id="605" name="矩形 605"/>
                              <wps:cNvSpPr/>
                              <wps:spPr>
                                <a:xfrm>
                                  <a:off x="0" y="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总结上报</w:t>
                                    </w:r>
                                  </w:p>
                                </w:txbxContent>
                              </wps:txbx>
                              <wps:bodyPr upright="1"/>
                            </wps:wsp>
                            <wps:wsp>
                              <wps:cNvPr id="606" name="矩形 606"/>
                              <wps:cNvSpPr/>
                              <wps:spPr>
                                <a:xfrm>
                                  <a:off x="0" y="46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应急改进</w:t>
                                    </w:r>
                                  </w:p>
                                </w:txbxContent>
                              </wps:txbx>
                              <wps:bodyPr upright="1"/>
                            </wps:wsp>
                          </wpg:grpSp>
                          <wpg:grpSp>
                            <wpg:cNvPr id="18" name="组合 611"/>
                            <wpg:cNvGrpSpPr/>
                            <wpg:grpSpPr>
                              <a:xfrm rot="10800000">
                                <a:off x="0" y="226"/>
                                <a:ext cx="540" cy="478"/>
                                <a:chOff x="0" y="0"/>
                                <a:chExt cx="540" cy="478"/>
                              </a:xfrm>
                            </wpg:grpSpPr>
                            <wps:wsp>
                              <wps:cNvPr id="608" name="直接连接符 608"/>
                              <wps:cNvCnPr/>
                              <wps:spPr>
                                <a:xfrm flipH="1">
                                  <a:off x="0" y="478"/>
                                  <a:ext cx="540" cy="0"/>
                                </a:xfrm>
                                <a:prstGeom prst="line">
                                  <a:avLst/>
                                </a:prstGeom>
                                <a:ln w="9525" cap="flat" cmpd="sng">
                                  <a:solidFill>
                                    <a:srgbClr val="000000"/>
                                  </a:solidFill>
                                  <a:prstDash val="solid"/>
                                  <a:headEnd type="none" w="med" len="med"/>
                                  <a:tailEnd type="triangle" w="med" len="med"/>
                                </a:ln>
                              </wps:spPr>
                              <wps:bodyPr/>
                            </wps:wsp>
                            <wps:wsp>
                              <wps:cNvPr id="609" name="直接连接符 609"/>
                              <wps:cNvCnPr/>
                              <wps:spPr>
                                <a:xfrm flipH="1">
                                  <a:off x="0" y="0"/>
                                  <a:ext cx="540" cy="0"/>
                                </a:xfrm>
                                <a:prstGeom prst="line">
                                  <a:avLst/>
                                </a:prstGeom>
                                <a:ln w="9525" cap="flat" cmpd="sng">
                                  <a:solidFill>
                                    <a:srgbClr val="000000"/>
                                  </a:solidFill>
                                  <a:prstDash val="solid"/>
                                  <a:headEnd type="none" w="med" len="med"/>
                                  <a:tailEnd type="triangle" w="med" len="med"/>
                                </a:ln>
                              </wps:spPr>
                              <wps:bodyPr/>
                            </wps:wsp>
                            <wps:wsp>
                              <wps:cNvPr id="610" name="直接连接符 610"/>
                              <wps:cNvCnPr/>
                              <wps:spPr>
                                <a:xfrm flipV="1">
                                  <a:off x="540" y="10"/>
                                  <a:ext cx="0" cy="468"/>
                                </a:xfrm>
                                <a:prstGeom prst="line">
                                  <a:avLst/>
                                </a:prstGeom>
                                <a:ln w="9525" cap="flat" cmpd="sng">
                                  <a:solidFill>
                                    <a:srgbClr val="000000"/>
                                  </a:solidFill>
                                  <a:prstDash val="solid"/>
                                  <a:headEnd type="none" w="med" len="med"/>
                                  <a:tailEnd type="none" w="med" len="med"/>
                                </a:ln>
                              </wps:spPr>
                              <wps:bodyPr/>
                            </wps:wsp>
                          </wpg:grpSp>
                        </wpg:grpSp>
                        <wps:wsp>
                          <wps:cNvPr id="613" name="直接连接符 613"/>
                          <wps:cNvCnPr/>
                          <wps:spPr>
                            <a:xfrm flipH="1">
                              <a:off x="3956" y="2434"/>
                              <a:ext cx="540" cy="0"/>
                            </a:xfrm>
                            <a:prstGeom prst="line">
                              <a:avLst/>
                            </a:prstGeom>
                            <a:ln w="9525" cap="flat" cmpd="sng">
                              <a:solidFill>
                                <a:srgbClr val="000000"/>
                              </a:solidFill>
                              <a:prstDash val="solid"/>
                              <a:headEnd type="none" w="med" len="med"/>
                              <a:tailEnd type="none" w="med" len="med"/>
                            </a:ln>
                          </wps:spPr>
                          <wps:bodyPr/>
                        </wps:wsp>
                      </wpg:grpSp>
                      <wps:wsp>
                        <wps:cNvPr id="615" name="菱形 615"/>
                        <wps:cNvSpPr/>
                        <wps:spPr>
                          <a:xfrm>
                            <a:off x="2516" y="7050"/>
                            <a:ext cx="1440" cy="1092"/>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事故</w:t>
                              </w:r>
                            </w:p>
                            <w:p>
                              <w:pPr>
                                <w:adjustRightInd w:val="0"/>
                                <w:snapToGrid w:val="0"/>
                                <w:jc w:val="center"/>
                                <w:rPr>
                                  <w:rFonts w:ascii="Arial" w:hAnsi="Arial" w:cs="Arial"/>
                                  <w:sz w:val="18"/>
                                  <w:szCs w:val="18"/>
                                </w:rPr>
                              </w:pPr>
                              <w:r>
                                <w:rPr>
                                  <w:rFonts w:ascii="Arial" w:hAnsi="宋体" w:cs="Arial"/>
                                  <w:sz w:val="18"/>
                                  <w:szCs w:val="18"/>
                                </w:rPr>
                                <w:t>控制</w:t>
                              </w:r>
                            </w:p>
                          </w:txbxContent>
                        </wps:txbx>
                        <wps:bodyPr lIns="0" tIns="0" rIns="0" bIns="0" upright="1"/>
                      </wps:wsp>
                      <wps:wsp>
                        <wps:cNvPr id="616" name="直接连接符 616"/>
                        <wps:cNvCnPr/>
                        <wps:spPr>
                          <a:xfrm>
                            <a:off x="3226" y="8156"/>
                            <a:ext cx="0" cy="839"/>
                          </a:xfrm>
                          <a:prstGeom prst="line">
                            <a:avLst/>
                          </a:prstGeom>
                          <a:ln w="9525" cap="flat" cmpd="sng">
                            <a:solidFill>
                              <a:srgbClr val="000000"/>
                            </a:solidFill>
                            <a:prstDash val="solid"/>
                            <a:headEnd type="none" w="med" len="med"/>
                            <a:tailEnd type="triangle" w="med" len="med"/>
                          </a:ln>
                        </wps:spPr>
                        <wps:bodyPr/>
                      </wps:wsp>
                      <wps:wsp>
                        <wps:cNvPr id="617" name="矩形 617"/>
                        <wps:cNvSpPr/>
                        <wps:spPr>
                          <a:xfrm>
                            <a:off x="3124" y="8354"/>
                            <a:ext cx="540" cy="468"/>
                          </a:xfrm>
                          <a:prstGeom prst="rect">
                            <a:avLst/>
                          </a:prstGeom>
                          <a:noFill/>
                          <a:ln>
                            <a:noFill/>
                          </a:ln>
                        </wps:spPr>
                        <wps:txbx>
                          <w:txbxContent>
                            <w:p>
                              <w:pPr>
                                <w:adjustRightInd w:val="0"/>
                                <w:snapToGrid w:val="0"/>
                                <w:jc w:val="center"/>
                                <w:rPr>
                                  <w:rFonts w:eastAsia="仿宋_GB2312"/>
                                  <w:sz w:val="18"/>
                                  <w:szCs w:val="18"/>
                                </w:rPr>
                              </w:pPr>
                              <w:r>
                                <w:rPr>
                                  <w:rFonts w:hint="eastAsia" w:eastAsia="仿宋_GB2312"/>
                                  <w:sz w:val="18"/>
                                  <w:szCs w:val="18"/>
                                </w:rPr>
                                <w:t>Y</w:t>
                              </w:r>
                            </w:p>
                          </w:txbxContent>
                        </wps:txbx>
                        <wps:bodyPr upright="1"/>
                      </wps:wsp>
                      <wps:wsp>
                        <wps:cNvPr id="618" name="直接连接符 618"/>
                        <wps:cNvCnPr/>
                        <wps:spPr>
                          <a:xfrm flipH="1">
                            <a:off x="1450" y="7602"/>
                            <a:ext cx="1071" cy="0"/>
                          </a:xfrm>
                          <a:prstGeom prst="line">
                            <a:avLst/>
                          </a:prstGeom>
                          <a:ln w="9525" cap="flat" cmpd="sng">
                            <a:solidFill>
                              <a:srgbClr val="000000"/>
                            </a:solidFill>
                            <a:prstDash val="solid"/>
                            <a:headEnd type="none" w="med" len="med"/>
                            <a:tailEnd type="triangle" w="med" len="med"/>
                          </a:ln>
                        </wps:spPr>
                        <wps:bodyPr/>
                      </wps:wsp>
                      <wps:wsp>
                        <wps:cNvPr id="619" name="直接连接符 619"/>
                        <wps:cNvCnPr/>
                        <wps:spPr>
                          <a:xfrm rot="-10800000" flipH="1">
                            <a:off x="1422" y="5997"/>
                            <a:ext cx="1071" cy="0"/>
                          </a:xfrm>
                          <a:prstGeom prst="line">
                            <a:avLst/>
                          </a:prstGeom>
                          <a:ln w="9525" cap="flat" cmpd="sng">
                            <a:solidFill>
                              <a:srgbClr val="000000"/>
                            </a:solidFill>
                            <a:prstDash val="solid"/>
                            <a:headEnd type="none" w="med" len="med"/>
                            <a:tailEnd type="triangle" w="med" len="med"/>
                          </a:ln>
                        </wps:spPr>
                        <wps:bodyPr/>
                      </wps:wsp>
                      <wpg:grpSp>
                        <wpg:cNvPr id="19" name="组合 625"/>
                        <wpg:cNvGrpSpPr/>
                        <wpg:grpSpPr>
                          <a:xfrm>
                            <a:off x="10" y="5772"/>
                            <a:ext cx="1440" cy="2072"/>
                            <a:chOff x="0" y="0"/>
                            <a:chExt cx="1440" cy="2072"/>
                          </a:xfrm>
                        </wpg:grpSpPr>
                        <wps:wsp>
                          <wps:cNvPr id="620" name="矩形 620"/>
                          <wps:cNvSpPr/>
                          <wps:spPr>
                            <a:xfrm>
                              <a:off x="0" y="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扩大应急</w:t>
                                </w:r>
                              </w:p>
                            </w:txbxContent>
                          </wps:txbx>
                          <wps:bodyPr upright="1"/>
                        </wps:wsp>
                        <wpg:grpSp>
                          <wpg:cNvPr id="20" name="组合 623"/>
                          <wpg:cNvGrpSpPr/>
                          <wpg:grpSpPr>
                            <a:xfrm>
                              <a:off x="332" y="453"/>
                              <a:ext cx="788" cy="1179"/>
                              <a:chOff x="0" y="0"/>
                              <a:chExt cx="788" cy="1179"/>
                            </a:xfrm>
                          </wpg:grpSpPr>
                          <wps:wsp>
                            <wps:cNvPr id="621" name="直接连接符 621"/>
                            <wps:cNvCnPr/>
                            <wps:spPr>
                              <a:xfrm rot="10800000">
                                <a:off x="402" y="0"/>
                                <a:ext cx="0" cy="1179"/>
                              </a:xfrm>
                              <a:prstGeom prst="line">
                                <a:avLst/>
                              </a:prstGeom>
                              <a:ln w="9525" cap="flat" cmpd="sng">
                                <a:solidFill>
                                  <a:srgbClr val="000000"/>
                                </a:solidFill>
                                <a:prstDash val="solid"/>
                                <a:headEnd type="none" w="med" len="med"/>
                                <a:tailEnd type="triangle" w="med" len="med"/>
                              </a:ln>
                            </wps:spPr>
                            <wps:bodyPr/>
                          </wps:wsp>
                          <wps:wsp>
                            <wps:cNvPr id="622" name="椭圆 622"/>
                            <wps:cNvSpPr>
                              <a:spLocks noChangeAspect="1"/>
                            </wps:cNvSpPr>
                            <wps:spPr>
                              <a:xfrm>
                                <a:off x="0" y="185"/>
                                <a:ext cx="788" cy="788"/>
                              </a:xfrm>
                              <a:prstGeom prst="ellipse">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jc w:val="center"/>
                                    <w:rPr>
                                      <w:rFonts w:ascii="Arial" w:hAnsi="宋体" w:cs="Arial"/>
                                      <w:sz w:val="18"/>
                                      <w:szCs w:val="18"/>
                                    </w:rPr>
                                  </w:pPr>
                                  <w:r>
                                    <w:rPr>
                                      <w:rFonts w:ascii="Arial" w:hAnsi="宋体" w:cs="Arial"/>
                                      <w:sz w:val="18"/>
                                      <w:szCs w:val="18"/>
                                    </w:rPr>
                                    <w:t>外部</w:t>
                                  </w:r>
                                </w:p>
                                <w:p>
                                  <w:pPr>
                                    <w:adjustRightInd w:val="0"/>
                                    <w:snapToGrid w:val="0"/>
                                    <w:jc w:val="center"/>
                                    <w:rPr>
                                      <w:rFonts w:ascii="Arial" w:hAnsi="Arial" w:cs="Arial"/>
                                      <w:sz w:val="18"/>
                                      <w:szCs w:val="18"/>
                                    </w:rPr>
                                  </w:pPr>
                                  <w:r>
                                    <w:rPr>
                                      <w:rFonts w:ascii="Arial" w:hAnsi="宋体" w:cs="Arial"/>
                                      <w:sz w:val="18"/>
                                      <w:szCs w:val="18"/>
                                    </w:rPr>
                                    <w:t>力量</w:t>
                                  </w:r>
                                </w:p>
                              </w:txbxContent>
                            </wps:txbx>
                            <wps:bodyPr lIns="0" tIns="0" rIns="0" bIns="0" upright="1"/>
                          </wps:wsp>
                        </wpg:grpSp>
                        <wps:wsp>
                          <wps:cNvPr id="624" name="矩形 624"/>
                          <wps:cNvSpPr/>
                          <wps:spPr>
                            <a:xfrm>
                              <a:off x="0" y="160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申请救援</w:t>
                                </w:r>
                              </w:p>
                            </w:txbxContent>
                          </wps:txbx>
                          <wps:bodyPr upright="1"/>
                        </wps:wsp>
                      </wpg:grpSp>
                      <wps:wsp>
                        <wps:cNvPr id="626" name="矩形 626"/>
                        <wps:cNvSpPr/>
                        <wps:spPr>
                          <a:xfrm>
                            <a:off x="1740" y="7248"/>
                            <a:ext cx="540" cy="468"/>
                          </a:xfrm>
                          <a:prstGeom prst="rect">
                            <a:avLst/>
                          </a:prstGeom>
                          <a:noFill/>
                          <a:ln>
                            <a:noFill/>
                          </a:ln>
                        </wps:spPr>
                        <wps:txbx>
                          <w:txbxContent>
                            <w:p>
                              <w:pPr>
                                <w:adjustRightInd w:val="0"/>
                                <w:snapToGrid w:val="0"/>
                                <w:jc w:val="center"/>
                                <w:rPr>
                                  <w:rFonts w:eastAsia="仿宋_GB2312"/>
                                  <w:sz w:val="18"/>
                                  <w:szCs w:val="18"/>
                                </w:rPr>
                              </w:pPr>
                              <w:r>
                                <w:rPr>
                                  <w:rFonts w:hint="eastAsia" w:eastAsia="仿宋_GB2312"/>
                                  <w:sz w:val="18"/>
                                  <w:szCs w:val="18"/>
                                </w:rPr>
                                <w:t>N</w:t>
                              </w:r>
                            </w:p>
                          </w:txbxContent>
                        </wps:txbx>
                        <wps:bodyPr upright="1"/>
                      </wps:wsp>
                    </wpg:wgp>
                  </a:graphicData>
                </a:graphic>
              </wp:inline>
            </w:drawing>
          </mc:Choice>
          <mc:Fallback>
            <w:pict>
              <v:group id="_x0000_s1026" o:spid="_x0000_s1026" o:spt="203" style="height:617.35pt;width:384.45pt;" coordsize="6502,11206" o:gfxdata="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">
                <o:lock v:ext="edit" rotation="t" aspectratio="f"/>
                <v:shape id="_x0000_s1026" o:spid="_x0000_s1026" o:spt="3" type="#_x0000_t3" style="position:absolute;left:1800;top:0;height:624;width:2880;" fillcolor="#FFFFFF" filled="t" stroked="t" coordsize="21600,21600" o:gfxdata="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SF9u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pPr>
                          <w:adjustRightInd w:val="0"/>
                          <w:snapToGrid w:val="0"/>
                          <w:ind w:firstLine="266" w:firstLineChars="147"/>
                          <w:rPr>
                            <w:rFonts w:ascii="Arial" w:hAnsi="Arial" w:cs="Arial"/>
                            <w:b/>
                            <w:sz w:val="18"/>
                            <w:szCs w:val="18"/>
                          </w:rPr>
                        </w:pPr>
                        <w:r>
                          <w:rPr>
                            <w:rFonts w:ascii="Arial" w:hAnsi="宋体" w:cs="Arial"/>
                            <w:b/>
                            <w:sz w:val="18"/>
                            <w:szCs w:val="18"/>
                          </w:rPr>
                          <w:t>Ⅱ级环境污染事件</w:t>
                        </w:r>
                      </w:p>
                    </w:txbxContent>
                  </v:textbox>
                </v:shape>
                <v:line id="_x0000_s1026" o:spid="_x0000_s1026" o:spt="20" style="position:absolute;left:3240;top:624;height:624;width:0;" filled="f" stroked="t" coordsize="21600,21600" o:gfxdata="UEsDBAoAAAAAAIdO4kAAAAAAAAAAAAAAAAAEAAAAZHJzL1BLAwQUAAAACACHTuJAey9I978AAADc&#10;AAAADwAAAGRycy9kb3ducmV2LnhtbEWPQWvCQBSE7wX/w/KE3uomRUu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vSP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505;top:1248;height:468;width:1440;" fillcolor="#FFFFFF" filled="t" stroked="t" coordsize="21600,21600" o:gfxdata="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bFQK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spacing w:before="120" w:beforeLines="50"/>
                          <w:jc w:val="center"/>
                          <w:rPr>
                            <w:rFonts w:ascii="Arial" w:hAnsi="宋体" w:cs="Arial"/>
                            <w:sz w:val="18"/>
                            <w:szCs w:val="18"/>
                          </w:rPr>
                        </w:pPr>
                        <w:r>
                          <w:rPr>
                            <w:rFonts w:ascii="Arial" w:hAnsi="宋体" w:cs="Arial"/>
                            <w:sz w:val="18"/>
                            <w:szCs w:val="18"/>
                          </w:rPr>
                          <w:t>应急</w:t>
                        </w:r>
                        <w:r>
                          <w:rPr>
                            <w:rFonts w:hint="eastAsia" w:ascii="Arial" w:hAnsi="宋体" w:cs="Arial"/>
                            <w:sz w:val="18"/>
                            <w:szCs w:val="18"/>
                          </w:rPr>
                          <w:t>救援指挥部</w:t>
                        </w:r>
                      </w:p>
                      <w:p>
                        <w:pPr>
                          <w:rPr>
                            <w:szCs w:val="18"/>
                          </w:rPr>
                        </w:pPr>
                      </w:p>
                    </w:txbxContent>
                  </v:textbox>
                </v:rect>
                <v:line id="_x0000_s1026" o:spid="_x0000_s1026" o:spt="20" style="position:absolute;left:3240;top:1716;height:624;width:0;" filled="f" stroked="t" coordsize="21600,21600" o:gfxdata="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sXM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1875;top:2340;height:1085;width:2715;" fillcolor="#FFFFFF" filled="t" stroked="t" coordsize="21600,21600" o:gfxdata="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yYw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2.54mm,0.3mm,2.54mm,0.3mm">
                    <w:txbxContent>
                      <w:p>
                        <w:pPr>
                          <w:adjustRightInd w:val="0"/>
                          <w:snapToGrid w:val="0"/>
                          <w:spacing w:before="120" w:beforeLines="50"/>
                          <w:jc w:val="center"/>
                          <w:rPr>
                            <w:sz w:val="18"/>
                            <w:szCs w:val="18"/>
                          </w:rPr>
                        </w:pPr>
                        <w:r>
                          <w:rPr>
                            <w:sz w:val="18"/>
                            <w:szCs w:val="18"/>
                          </w:rPr>
                          <w:t>应急救援指挥部</w:t>
                        </w:r>
                      </w:p>
                      <w:p>
                        <w:pPr>
                          <w:adjustRightInd w:val="0"/>
                          <w:snapToGrid w:val="0"/>
                          <w:spacing w:before="120" w:beforeLines="50"/>
                          <w:jc w:val="center"/>
                          <w:rPr>
                            <w:rFonts w:hint="eastAsia" w:eastAsia="宋体"/>
                            <w:sz w:val="18"/>
                            <w:szCs w:val="18"/>
                            <w:lang w:eastAsia="zh-CN"/>
                          </w:rPr>
                        </w:pPr>
                        <w:r>
                          <w:rPr>
                            <w:rFonts w:hint="eastAsia"/>
                            <w:sz w:val="18"/>
                            <w:szCs w:val="18"/>
                          </w:rPr>
                          <w:t>联系人：</w:t>
                        </w:r>
                        <w:r>
                          <w:rPr>
                            <w:rFonts w:hint="eastAsia"/>
                            <w:sz w:val="18"/>
                            <w:szCs w:val="18"/>
                            <w:lang w:val="en-US" w:eastAsia="zh-CN"/>
                          </w:rPr>
                          <w:t>陈海</w:t>
                        </w:r>
                      </w:p>
                      <w:p>
                        <w:pPr>
                          <w:adjustRightInd w:val="0"/>
                          <w:snapToGrid w:val="0"/>
                          <w:spacing w:before="120" w:beforeLines="50"/>
                          <w:jc w:val="center"/>
                          <w:rPr>
                            <w:sz w:val="18"/>
                            <w:szCs w:val="18"/>
                          </w:rPr>
                        </w:pPr>
                        <w:r>
                          <w:rPr>
                            <w:rFonts w:hint="eastAsia"/>
                            <w:sz w:val="18"/>
                            <w:szCs w:val="18"/>
                          </w:rPr>
                          <w:t>联系电话：13771056107</w:t>
                        </w:r>
                      </w:p>
                    </w:txbxContent>
                  </v:textbox>
                </v:rect>
                <v:line id="_x0000_s1026" o:spid="_x0000_s1026" o:spt="20" style="position:absolute;left:3240;top:3432;height:624;width:0;" filled="f" stroked="t" coordsize="21600,21600" o:gfxdata="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YkL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505;top:4056;height:468;width:1440;" fillcolor="#FFFFFF" filled="t" stroked="t" coordsize="21600,21600" o:gfxdata="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c6/R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应急启动</w:t>
                        </w:r>
                      </w:p>
                    </w:txbxContent>
                  </v:textbox>
                </v:rect>
                <v:line id="_x0000_s1026" o:spid="_x0000_s1026" o:spt="20" style="position:absolute;left:3240;top:4524;height:1248;width:0;" filled="f" stroked="t" coordsize="21600,21600" o:gfxdata="UEsDBAoAAAAAAIdO4kAAAAAAAAAAAAAAAAAEAAAAZHJzL1BLAwQUAAAACACHTuJAX9axDL8AAADc&#10;AAAADwAAAGRycy9kb3ducmV2LnhtbEWPQWvCQBSE7wX/w/KE3uomRSV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sQ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506;top:5772;height:468;width:1440;" fillcolor="#FFFFFF" filled="t" stroked="t" coordsize="21600,21600" o:gfxdata="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Wkj6/&#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救援行动</w:t>
                        </w:r>
                      </w:p>
                    </w:txbxContent>
                  </v:textbox>
                </v:rect>
                <v:shape id="_x0000_s1026" o:spid="_x0000_s1026" o:spt="3" type="#_x0000_t3" style="position:absolute;left:2835;top:4680;height:788;width:788;" fillcolor="#FFFFFF" filled="t" stroked="t" coordsize="21600,21600" o:gfxdata="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GqMO8AAAA&#10;3AAAAA8AAAAAAAAAAQAgAAAAIgAAAGRycy9kb3ducmV2LnhtbFBLAQIUABQAAAAIAIdO4kAzLwWe&#10;OwAAADkAAAAQAAAAAAAAAAEAIAAAAAsBAABkcnMvc2hhcGV4bWwueG1sUEsFBgAAAAAGAAYAWwEA&#10;ALUDAAAAAA==&#10;">
                  <v:fill on="t" focussize="0,0"/>
                  <v:stroke color="#000000" joinstyle="round"/>
                  <v:imagedata o:title=""/>
                  <o:lock v:ext="edit" aspectratio="t"/>
                  <v:textbox inset="0mm,0mm,0mm,0mm">
                    <w:txbxContent>
                      <w:p>
                        <w:pPr>
                          <w:adjustRightInd w:val="0"/>
                          <w:snapToGrid w:val="0"/>
                          <w:jc w:val="center"/>
                          <w:rPr>
                            <w:rFonts w:ascii="Arial" w:hAnsi="宋体" w:cs="Arial"/>
                            <w:sz w:val="18"/>
                            <w:szCs w:val="18"/>
                          </w:rPr>
                        </w:pPr>
                        <w:r>
                          <w:rPr>
                            <w:rFonts w:ascii="Arial" w:hAnsi="宋体" w:cs="Arial"/>
                            <w:sz w:val="18"/>
                            <w:szCs w:val="18"/>
                          </w:rPr>
                          <w:t>企业</w:t>
                        </w:r>
                      </w:p>
                      <w:p>
                        <w:pPr>
                          <w:adjustRightInd w:val="0"/>
                          <w:snapToGrid w:val="0"/>
                          <w:jc w:val="center"/>
                          <w:rPr>
                            <w:rFonts w:ascii="Arial" w:hAnsi="Arial" w:cs="Arial"/>
                            <w:sz w:val="18"/>
                            <w:szCs w:val="18"/>
                          </w:rPr>
                        </w:pPr>
                        <w:r>
                          <w:rPr>
                            <w:rFonts w:ascii="Arial" w:hAnsi="宋体" w:cs="Arial"/>
                            <w:sz w:val="18"/>
                            <w:szCs w:val="18"/>
                          </w:rPr>
                          <w:t>自救</w:t>
                        </w:r>
                      </w:p>
                    </w:txbxContent>
                  </v:textbox>
                </v:shape>
                <v:line id="_x0000_s1026" o:spid="_x0000_s1026" o:spt="20" style="position:absolute;left:3240;top:6237;height:839;width:0;" filled="f" stroked="t" coordsize="21600,21600" o:gfxdata="UEsDBAoAAAAAAIdO4kAAAAAAAAAAAAAAAAAEAAAAZHJzL1BLAwQUAAAACACHTuJA2g8n0cAAAADc&#10;AAAADwAAAGRycy9kb3ducmV2LnhtbEWPT2vCQBTE74LfYXmF3nST0mpIXT0ULAWt4h/E3h7Z1ySY&#10;fRt2V02/fVcQPA4z8xtmMutMIy7kfG1ZQTpMQBAXVtdcKtjv5oMMhA/IGhvLpOCPPMym/d4Ec22v&#10;vKHLNpQiQtjnqKAKoc2l9EVFBv3QtsTR+7XOYIjSlVI7vEa4aeRLkoyk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Dyf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3946;top:6012;flip:x;height:0;width:540;" filled="f" stroked="t" coordsize="21600,21600" o:gfxdata="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0Ri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590" o:spid="_x0000_s1026" o:spt="203" style="position:absolute;left:4500;top:4594;height:2808;width:1981;" coordsize="1981,2808"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group id="组合 582" o:spid="_x0000_s1026" o:spt="203" style="position:absolute;left:541;top:0;height:2808;width:1440;" coordsize="1440,280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rect id="_x0000_s1026" o:spid="_x0000_s1026" o:spt="1" style="position:absolute;left:0;top:468;height:468;width:1440;" fillcolor="#FFFFFF" filled="t" stroked="t" coordsize="21600,21600" o:gfxdata="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92al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宋体" w:cs="Arial"/>
                                <w:sz w:val="18"/>
                                <w:szCs w:val="18"/>
                              </w:rPr>
                            </w:pPr>
                            <w:r>
                              <w:rPr>
                                <w:rFonts w:hint="eastAsia" w:ascii="Arial" w:hAnsi="宋体" w:cs="Arial"/>
                                <w:sz w:val="18"/>
                                <w:szCs w:val="18"/>
                              </w:rPr>
                              <w:t>抢险灭火组</w:t>
                            </w:r>
                          </w:p>
                          <w:p>
                            <w:pPr>
                              <w:rPr>
                                <w:sz w:val="18"/>
                                <w:szCs w:val="18"/>
                              </w:rPr>
                            </w:pPr>
                          </w:p>
                        </w:txbxContent>
                      </v:textbox>
                    </v:rect>
                    <v:rect id="_x0000_s1026" o:spid="_x0000_s1026" o:spt="1" style="position:absolute;left:0;top:936;height:468;width:1440;" fillcolor="#FFFFFF" filled="t" stroked="t" coordsize="21600,21600" o:gfxdata="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kT8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宋体" w:cs="Arial"/>
                                <w:sz w:val="18"/>
                                <w:szCs w:val="18"/>
                              </w:rPr>
                            </w:pPr>
                            <w:r>
                              <w:rPr>
                                <w:rFonts w:hint="eastAsia" w:ascii="Arial" w:hAnsi="宋体" w:cs="Arial"/>
                                <w:sz w:val="18"/>
                                <w:szCs w:val="18"/>
                              </w:rPr>
                              <w:t>救护疏散组</w:t>
                            </w:r>
                          </w:p>
                          <w:p>
                            <w:pPr>
                              <w:jc w:val="center"/>
                              <w:rPr>
                                <w:rFonts w:ascii="仿宋_GB2312" w:eastAsia="仿宋_GB2312"/>
                                <w:sz w:val="18"/>
                                <w:szCs w:val="18"/>
                              </w:rPr>
                            </w:pPr>
                          </w:p>
                          <w:p>
                            <w:pPr>
                              <w:rPr>
                                <w:sz w:val="18"/>
                                <w:szCs w:val="18"/>
                              </w:rPr>
                            </w:pPr>
                          </w:p>
                        </w:txbxContent>
                      </v:textbox>
                    </v:rect>
                    <v:rect id="_x0000_s1026" o:spid="_x0000_s1026" o:spt="1" style="position:absolute;left:0;top:1404;height:468;width:1440;" fillcolor="#FFFFFF" filled="t" stroked="t" coordsize="21600,21600" o:gfxdata="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9Dqt9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jc w:val="center"/>
                              <w:rPr>
                                <w:sz w:val="18"/>
                                <w:szCs w:val="18"/>
                              </w:rPr>
                            </w:pPr>
                            <w:r>
                              <w:rPr>
                                <w:rFonts w:hint="eastAsia" w:ascii="Arial" w:hAnsi="宋体" w:cs="Arial"/>
                                <w:sz w:val="18"/>
                                <w:szCs w:val="18"/>
                              </w:rPr>
                              <w:t>后勤保障</w:t>
                            </w:r>
                            <w:r>
                              <w:rPr>
                                <w:rFonts w:ascii="Arial" w:hAnsi="宋体" w:cs="Arial"/>
                                <w:sz w:val="18"/>
                                <w:szCs w:val="18"/>
                              </w:rPr>
                              <w:t>组</w:t>
                            </w:r>
                          </w:p>
                          <w:p>
                            <w:pPr>
                              <w:rPr>
                                <w:sz w:val="18"/>
                                <w:szCs w:val="18"/>
                              </w:rPr>
                            </w:pPr>
                          </w:p>
                        </w:txbxContent>
                      </v:textbox>
                    </v:rect>
                    <v:rect id="_x0000_s1026" o:spid="_x0000_s1026" o:spt="1" style="position:absolute;left:0;top:1872;height:468;width:1440;" fillcolor="#FFFFFF" filled="t" stroked="t" coordsize="21600,21600" o:gfxdata="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IO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lang w:val="en-US" w:eastAsia="zh-CN"/>
                              </w:rPr>
                              <w:t>事故处置组</w:t>
                            </w:r>
                          </w:p>
                        </w:txbxContent>
                      </v:textbox>
                    </v:rect>
                    <v:rect id="_x0000_s1026" o:spid="_x0000_s1026" o:spt="1" style="position:absolute;left:0;top:0;height:468;width:1440;" fillcolor="#FFFFFF" filled="t" stroked="t" coordsize="21600,21600" o:gfxdata="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rdd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jc w:val="center"/>
                              <w:rPr>
                                <w:rFonts w:ascii="Arial" w:hAnsi="宋体" w:cs="Arial"/>
                                <w:sz w:val="18"/>
                                <w:szCs w:val="18"/>
                              </w:rPr>
                            </w:pPr>
                            <w:r>
                              <w:rPr>
                                <w:rFonts w:hint="eastAsia" w:ascii="Arial" w:hAnsi="宋体" w:cs="Arial"/>
                                <w:sz w:val="18"/>
                                <w:szCs w:val="18"/>
                              </w:rPr>
                              <w:t>通信警戒组</w:t>
                            </w:r>
                          </w:p>
                          <w:p>
                            <w:pPr>
                              <w:rPr>
                                <w:sz w:val="18"/>
                                <w:szCs w:val="18"/>
                              </w:rPr>
                            </w:pPr>
                          </w:p>
                        </w:txbxContent>
                      </v:textbox>
                    </v:rect>
                    <v:rect id="_x0000_s1026" o:spid="_x0000_s1026" o:spt="1" style="position:absolute;left:0;top:2340;height:468;width:1440;" fillcolor="#FFFFFF" filled="t" stroked="t" coordsize="21600,21600" o:gfxdata="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yx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18"/>
                                <w:szCs w:val="18"/>
                              </w:rPr>
                            </w:pPr>
                            <w:r>
                              <w:rPr>
                                <w:rFonts w:hint="eastAsia"/>
                                <w:sz w:val="18"/>
                                <w:szCs w:val="18"/>
                                <w:lang w:val="en-US" w:eastAsia="zh-CN"/>
                              </w:rPr>
                              <w:t>应急监测组</w:t>
                            </w:r>
                          </w:p>
                        </w:txbxContent>
                      </v:textbox>
                    </v:rect>
                  </v:group>
                  <v:line id="_x0000_s1026" o:spid="_x0000_s1026" o:spt="20" style="position:absolute;left:0;top:716;flip:x;height:0;width:540;rotation:11796480f;" filled="f" stroked="t" coordsize="21600,21600" o:gfxdata="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gYe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0;top:252;flip:y;height:2330;width:0;rotation:11796480f;" filled="f" stroked="t" coordsize="21600,21600" o:gfxdata="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FOW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0;top:242;flip:x;height:0;width:540;rotation:11796480f;" filled="f" stroked="t" coordsize="21600,21600" o:gfxdata="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0ll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0;top:1178;flip:x;height:0;width:540;rotation:11796480f;" filled="f" stroked="t" coordsize="21600,21600" o:gfxdata="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37v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0;top:1656;flip:x;height:0;width:540;rotation:11796480f;" filled="f" stroked="t" coordsize="21600,21600" o:gfxdata="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x56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1;top:2104;flip:x;height:0;width:540;rotation:11796480f;" filled="f" stroked="t" coordsize="21600,21600" o:gfxdata="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DIoI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line id="_x0000_s1026" o:spid="_x0000_s1026" o:spt="20" style="position:absolute;left:1;top:2582;flip:x;height:0;width:540;rotation:11796480f;" filled="f" stroked="t" coordsize="21600,21600" o:gfxdata="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Av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group id="组合 614" o:spid="_x0000_s1026" o:spt="203" style="position:absolute;left:0;top:8298;height:2908;width:6502;" coordsize="6502,2908"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468;width:1440;" fillcolor="#FFFFFF" filled="t" stroked="t" coordsize="21600,21600" o:gfxdata="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jkG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现场清理</w:t>
                          </w:r>
                        </w:p>
                      </w:txbxContent>
                    </v:textbox>
                  </v:rect>
                  <v:rect id="_x0000_s1026" o:spid="_x0000_s1026" o:spt="1" style="position:absolute;left:0;top:468;height:468;width:1440;" fillcolor="#FFFFFF" filled="t" stroked="t" coordsize="21600,21600" o:gfxdata="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p6b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解除警戒</w:t>
                          </w:r>
                        </w:p>
                      </w:txbxContent>
                    </v:textbox>
                  </v:rect>
                  <v:rect id="_x0000_s1026" o:spid="_x0000_s1026" o:spt="1" style="position:absolute;left:0;top:936;height:468;width:1440;" fillcolor="#FFFFFF" filled="t" stroked="t" coordsize="21600,21600" o:gfxdata="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m3/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善后处理</w:t>
                          </w:r>
                        </w:p>
                      </w:txbxContent>
                    </v:textbox>
                  </v:rect>
                  <v:rect id="_x0000_s1026" o:spid="_x0000_s1026" o:spt="1" style="position:absolute;left:0;top:1404;height:468;width:1440;" fillcolor="#FFFFFF" filled="t" stroked="t" coordsize="21600,21600" o:gfxdata="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E9Hg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事故调查</w:t>
                          </w:r>
                        </w:p>
                      </w:txbxContent>
                    </v:textbox>
                  </v:rect>
                  <v:line id="_x0000_s1026" o:spid="_x0000_s1026" o:spt="20" style="position:absolute;left:1980;top:939;flip:x;height:0;width:540;" filled="f" stroked="t" coordsize="21600,21600" o:gfxdata="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Mfd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601" o:spid="_x0000_s1026" o:spt="203" style="position:absolute;left:1440;top:226;height:1428;width:540;" coordsize="540,1428"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line id="_x0000_s1026" o:spid="_x0000_s1026" o:spt="20" style="position:absolute;left:0;top:954;flip:x;height:0;width:540;" filled="f" stroked="t" coordsize="21600,21600" o:gfxdata="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I/Z3&#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40;top:0;flip:y;height:1417;width:0;" filled="f" stroked="t" coordsize="21600,21600" o:gfxdata="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Mn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0;top:1428;flip:x;height:0;width:540;" filled="f" stroked="t" coordsize="21600,21600" o:gfxdata="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wx5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0;top:492;flip:x;height:0;width:540;" filled="f" stroked="t" coordsize="21600,21600" o:gfxdata="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vGIF&#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0;top:14;flip:x;height:0;width:540;" filled="f" stroked="t" coordsize="21600,21600" o:gfxdata="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P2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group>
                  <v:rect id="_x0000_s1026" o:spid="_x0000_s1026" o:spt="1" style="position:absolute;left:2506;top:694;height:468;width:1440;" fillcolor="#FFFFFF" filled="t" stroked="t" coordsize="21600,21600" o:gfxdata="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jp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应急恢复</w:t>
                          </w:r>
                        </w:p>
                      </w:txbxContent>
                    </v:textbox>
                  </v:rect>
                  <v:line id="_x0000_s1026" o:spid="_x0000_s1026" o:spt="20" style="position:absolute;left:3240;top:1151;height:1037;width:0;" filled="f" stroked="t" coordsize="21600,21600" o:gfxdata="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bFra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506;top:2198;height:468;width:1440;" fillcolor="#FFFFFF" filled="t" stroked="t" coordsize="21600,21600" o:gfxdata="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N5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应急结束</w:t>
                          </w:r>
                        </w:p>
                      </w:txbxContent>
                    </v:textbox>
                  </v:rect>
                  <v:group id="组合 612" o:spid="_x0000_s1026" o:spt="203" style="position:absolute;left:4518;top:1972;height:936;width:1984;" coordsize="1984,936"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group id="组合 607" o:spid="_x0000_s1026" o:spt="203" style="position:absolute;left:544;top:0;height:936;width:1440;" coordsize="1440,93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468;width:1440;" fillcolor="#FFFFFF" filled="t" stroked="t" coordsize="21600,21600" o:gfxdata="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LBb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总结上报</w:t>
                              </w:r>
                            </w:p>
                          </w:txbxContent>
                        </v:textbox>
                      </v:rect>
                      <v:rect id="_x0000_s1026" o:spid="_x0000_s1026" o:spt="1" style="position:absolute;left:0;top:468;height:468;width:1440;" fillcolor="#FFFFFF" filled="t" stroked="t" coordsize="21600,21600" o:gfxdata="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iJ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应急改进</w:t>
                              </w:r>
                            </w:p>
                          </w:txbxContent>
                        </v:textbox>
                      </v:rect>
                    </v:group>
                    <v:group id="组合 611" o:spid="_x0000_s1026" o:spt="203" style="position:absolute;left:0;top:226;height:478;width:540;rotation:11796480f;" coordsize="540,478" o:gfxdata="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0tX0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0;top:478;flip:x;height:0;width:540;" filled="f" stroked="t" coordsize="21600,21600" o:gfxdata="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fM2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0;top:0;flip:x;height:0;width:540;" filled="f" stroked="t" coordsize="21600,21600" o:gfxdata="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Tlv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40;top:10;flip:y;height:468;width:0;" filled="f" stroked="t" coordsize="21600,21600" o:gfxdata="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A2z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v:group>
                  <v:line id="_x0000_s1026" o:spid="_x0000_s1026" o:spt="20" style="position:absolute;left:3956;top:2434;flip:x;height:0;width:540;" filled="f" stroked="t" coordsize="21600,21600" o:gfxdata="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Kou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_x0000_s1026" o:spid="_x0000_s1026" o:spt="4" type="#_x0000_t4" style="position:absolute;left:2516;top:7050;height:1092;width:1440;" fillcolor="#FFFFFF" filled="t" stroked="t" coordsize="21600,21600" o:gfxdata="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m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0mm,0mm,0mm,0mm">
                    <w:txbxContent>
                      <w:p>
                        <w:pPr>
                          <w:adjustRightInd w:val="0"/>
                          <w:snapToGrid w:val="0"/>
                          <w:jc w:val="center"/>
                          <w:rPr>
                            <w:rFonts w:ascii="Arial" w:hAnsi="Arial" w:cs="Arial"/>
                            <w:sz w:val="18"/>
                            <w:szCs w:val="18"/>
                          </w:rPr>
                        </w:pPr>
                        <w:r>
                          <w:rPr>
                            <w:rFonts w:ascii="Arial" w:hAnsi="宋体" w:cs="Arial"/>
                            <w:sz w:val="18"/>
                            <w:szCs w:val="18"/>
                          </w:rPr>
                          <w:t>事故</w:t>
                        </w:r>
                      </w:p>
                      <w:p>
                        <w:pPr>
                          <w:adjustRightInd w:val="0"/>
                          <w:snapToGrid w:val="0"/>
                          <w:jc w:val="center"/>
                          <w:rPr>
                            <w:rFonts w:ascii="Arial" w:hAnsi="Arial" w:cs="Arial"/>
                            <w:sz w:val="18"/>
                            <w:szCs w:val="18"/>
                          </w:rPr>
                        </w:pPr>
                        <w:r>
                          <w:rPr>
                            <w:rFonts w:ascii="Arial" w:hAnsi="宋体" w:cs="Arial"/>
                            <w:sz w:val="18"/>
                            <w:szCs w:val="18"/>
                          </w:rPr>
                          <w:t>控制</w:t>
                        </w:r>
                      </w:p>
                    </w:txbxContent>
                  </v:textbox>
                </v:shape>
                <v:line id="_x0000_s1026" o:spid="_x0000_s1026" o:spt="20" style="position:absolute;left:3226;top:8156;height:839;width:0;" filled="f" stroked="t" coordsize="21600,21600" o:gfxdata="UEsDBAoAAAAAAIdO4kAAAAAAAAAAAAAAAAAEAAAAZHJzL1BLAwQUAAAACACHTuJAQ2uY4cAAAADc&#10;AAAADwAAAGRycy9kb3ducmV2LnhtbEWPzWrDMBCE74G8g9hAb4nsHoxxouRQcAg4bckPpbkt1sY2&#10;tVZGUhL37atCocdhZr5hVpvR9OJOzneWFaSLBARxbXXHjYLzqZznIHxA1thbJgXf5GGznk5WWGj7&#10;4APdj6EREcK+QAVtCEMhpa9bMugXdiCO3tU6gyFK10jt8BHhppfPSZJJ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a5jh&#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3124;top:8354;height:468;width:540;" filled="f" stroked="f" coordsize="21600,21600" o:gfxdata="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K2X1O/&#10;AAAA3AAAAA8AAAAAAAAAAQAgAAAAIgAAAGRycy9kb3ducmV2LnhtbFBLAQIUABQAAAAIAIdO4kAz&#10;LwWeOwAAADkAAAAQAAAAAAAAAAEAIAAAAA4BAABkcnMvc2hhcGV4bWwueG1sUEsFBgAAAAAGAAYA&#10;WwEAALgDAAAAAA==&#10;">
                  <v:fill on="f" focussize="0,0"/>
                  <v:stroke on="f"/>
                  <v:imagedata o:title=""/>
                  <o:lock v:ext="edit" aspectratio="f"/>
                  <v:textbox>
                    <w:txbxContent>
                      <w:p>
                        <w:pPr>
                          <w:adjustRightInd w:val="0"/>
                          <w:snapToGrid w:val="0"/>
                          <w:jc w:val="center"/>
                          <w:rPr>
                            <w:rFonts w:eastAsia="仿宋_GB2312"/>
                            <w:sz w:val="18"/>
                            <w:szCs w:val="18"/>
                          </w:rPr>
                        </w:pPr>
                        <w:r>
                          <w:rPr>
                            <w:rFonts w:hint="eastAsia" w:eastAsia="仿宋_GB2312"/>
                            <w:sz w:val="18"/>
                            <w:szCs w:val="18"/>
                          </w:rPr>
                          <w:t>Y</w:t>
                        </w:r>
                      </w:p>
                    </w:txbxContent>
                  </v:textbox>
                </v:rect>
                <v:line id="_x0000_s1026" o:spid="_x0000_s1026" o:spt="20" style="position:absolute;left:1450;top:7602;flip:x;height:0;width:1071;" filled="f" stroked="t" coordsize="21600,21600" o:gfxdata="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Gpb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1422;top:5997;flip:x;height:0;width:1071;rotation:11796480f;" filled="f" stroked="t" coordsize="21600,21600" o:gfxdata="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b9t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组合 625" o:spid="_x0000_s1026" o:spt="203" style="position:absolute;left:10;top:5772;height:2072;width:1440;" coordsize="1440,207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468;width:1440;" fillcolor="#FFFFFF" filled="t" stroked="t" coordsize="21600,21600" o:gfxdata="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u6Rq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扩大应急</w:t>
                          </w:r>
                        </w:p>
                      </w:txbxContent>
                    </v:textbox>
                  </v:rect>
                  <v:group id="组合 623" o:spid="_x0000_s1026" o:spt="203" style="position:absolute;left:332;top:453;height:1179;width:788;" coordsize="788,1179"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line id="_x0000_s1026" o:spid="_x0000_s1026" o:spt="20" style="position:absolute;left:402;top:0;height:1179;width:0;rotation:11796480f;" filled="f" stroked="t" coordsize="21600,21600" o:gfxdata="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KtR+&#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_x0000_s1026" o:spid="_x0000_s1026" o:spt="3" type="#_x0000_t3" style="position:absolute;left:0;top:185;height:788;width:788;" fillcolor="#FFFFFF" filled="t" stroked="t" coordsize="21600,21600" o:gfxdata="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xDObsAAADc&#10;AAAADwAAAAAAAAABACAAAAAiAAAAZHJzL2Rvd25yZXYueG1sUEsBAhQAFAAAAAgAh07iQDMvBZ47&#10;AAAAOQAAABAAAAAAAAAAAQAgAAAACgEAAGRycy9zaGFwZXhtbC54bWxQSwUGAAAAAAYABgBbAQAA&#10;tAMAAAAA&#10;">
                      <v:fill on="t" focussize="0,0"/>
                      <v:stroke color="#000000" joinstyle="round"/>
                      <v:imagedata o:title=""/>
                      <o:lock v:ext="edit" aspectratio="t"/>
                      <v:textbox inset="0mm,0mm,0mm,0mm">
                        <w:txbxContent>
                          <w:p>
                            <w:pPr>
                              <w:adjustRightInd w:val="0"/>
                              <w:snapToGrid w:val="0"/>
                              <w:jc w:val="center"/>
                              <w:rPr>
                                <w:rFonts w:ascii="Arial" w:hAnsi="宋体" w:cs="Arial"/>
                                <w:sz w:val="18"/>
                                <w:szCs w:val="18"/>
                              </w:rPr>
                            </w:pPr>
                            <w:r>
                              <w:rPr>
                                <w:rFonts w:ascii="Arial" w:hAnsi="宋体" w:cs="Arial"/>
                                <w:sz w:val="18"/>
                                <w:szCs w:val="18"/>
                              </w:rPr>
                              <w:t>外部</w:t>
                            </w:r>
                          </w:p>
                          <w:p>
                            <w:pPr>
                              <w:adjustRightInd w:val="0"/>
                              <w:snapToGrid w:val="0"/>
                              <w:jc w:val="center"/>
                              <w:rPr>
                                <w:rFonts w:ascii="Arial" w:hAnsi="Arial" w:cs="Arial"/>
                                <w:sz w:val="18"/>
                                <w:szCs w:val="18"/>
                              </w:rPr>
                            </w:pPr>
                            <w:r>
                              <w:rPr>
                                <w:rFonts w:ascii="Arial" w:hAnsi="宋体" w:cs="Arial"/>
                                <w:sz w:val="18"/>
                                <w:szCs w:val="18"/>
                              </w:rPr>
                              <w:t>力量</w:t>
                            </w:r>
                          </w:p>
                        </w:txbxContent>
                      </v:textbox>
                    </v:shape>
                  </v:group>
                  <v:rect id="_x0000_s1026" o:spid="_x0000_s1026" o:spt="1" style="position:absolute;left:0;top:1604;height:468;width:1440;" fillcolor="#FFFFFF" filled="t" stroked="t" coordsize="21600,21600" o:gfxdata="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NXvG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申请救援</w:t>
                          </w:r>
                        </w:p>
                      </w:txbxContent>
                    </v:textbox>
                  </v:rect>
                </v:group>
                <v:rect id="_x0000_s1026" o:spid="_x0000_s1026" o:spt="1" style="position:absolute;left:1740;top:7248;height:468;width:540;" filled="f" stroked="f" coordsize="21600,21600" o:gfxdata="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ljB1vQAA&#10;ANwAAAAPAAAAAAAAAAEAIAAAACIAAABkcnMvZG93bnJldi54bWxQSwECFAAUAAAACACHTuJAMy8F&#10;njsAAAA5AAAAEAAAAAAAAAABACAAAAAMAQAAZHJzL3NoYXBleG1sLnhtbFBLBQYAAAAABgAGAFsB&#10;AAC2AwAAAAA=&#10;">
                  <v:fill on="f" focussize="0,0"/>
                  <v:stroke on="f"/>
                  <v:imagedata o:title=""/>
                  <o:lock v:ext="edit" aspectratio="f"/>
                  <v:textbox>
                    <w:txbxContent>
                      <w:p>
                        <w:pPr>
                          <w:adjustRightInd w:val="0"/>
                          <w:snapToGrid w:val="0"/>
                          <w:jc w:val="center"/>
                          <w:rPr>
                            <w:rFonts w:eastAsia="仿宋_GB2312"/>
                            <w:sz w:val="18"/>
                            <w:szCs w:val="18"/>
                          </w:rPr>
                        </w:pPr>
                        <w:r>
                          <w:rPr>
                            <w:rFonts w:hint="eastAsia" w:eastAsia="仿宋_GB2312"/>
                            <w:sz w:val="18"/>
                            <w:szCs w:val="18"/>
                          </w:rPr>
                          <w:t>N</w:t>
                        </w:r>
                      </w:p>
                    </w:txbxContent>
                  </v:textbox>
                </v:rect>
                <w10:wrap type="none"/>
                <w10:anchorlock/>
              </v:group>
            </w:pict>
          </mc:Fallback>
        </mc:AlternateContent>
      </w:r>
    </w:p>
    <w:p>
      <w:pPr>
        <w:jc w:val="center"/>
        <w:rPr>
          <w:b/>
          <w:color w:val="auto"/>
          <w:highlight w:val="none"/>
        </w:rPr>
      </w:pPr>
      <w:r>
        <w:rPr>
          <w:b/>
          <w:bCs/>
          <w:color w:val="auto"/>
          <w:highlight w:val="none"/>
        </w:rPr>
        <w:t>图6.3-2  Ⅱ级环境污染事件应急响应流程图</w:t>
      </w:r>
      <w:r>
        <w:rPr>
          <w:color w:val="auto"/>
          <w:kern w:val="0"/>
          <w:highlight w:val="none"/>
        </w:rPr>
        <mc:AlternateContent>
          <mc:Choice Requires="wps">
            <w:drawing>
              <wp:anchor distT="0" distB="0" distL="114300" distR="114300" simplePos="0" relativeHeight="251661312" behindDoc="0" locked="0" layoutInCell="1" allowOverlap="1">
                <wp:simplePos x="0" y="0"/>
                <wp:positionH relativeFrom="column">
                  <wp:posOffset>3816350</wp:posOffset>
                </wp:positionH>
                <wp:positionV relativeFrom="paragraph">
                  <wp:posOffset>5694045</wp:posOffset>
                </wp:positionV>
                <wp:extent cx="814070" cy="384175"/>
                <wp:effectExtent l="0" t="0" r="5080" b="15875"/>
                <wp:wrapNone/>
                <wp:docPr id="369" name="矩形 369"/>
                <wp:cNvGraphicFramePr/>
                <a:graphic xmlns:a="http://schemas.openxmlformats.org/drawingml/2006/main">
                  <a:graphicData uri="http://schemas.microsoft.com/office/word/2010/wordprocessingShape">
                    <wps:wsp>
                      <wps:cNvSpPr/>
                      <wps:spPr>
                        <a:xfrm>
                          <a:off x="0" y="0"/>
                          <a:ext cx="814070" cy="384175"/>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00.5pt;margin-top:448.35pt;height:30.25pt;width:64.1pt;z-index:251661312;mso-width-relative:page;mso-height-relative:page;" fillcolor="#FFFFFF" filled="t" stroked="f" coordsize="21600,21600" o:gfxdata="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omCxP2QAAAAsBAAAPAAAAAAAAAAEAIAAAACIAAABkcnMvZG93bnJldi54bWxQSwECFAAU&#10;AAAACACHTuJA7lmiZ7cBAABtAwAADgAAAAAAAAABACAAAAAoAQAAZHJzL2Uyb0RvYy54bWxQSwUG&#10;AAAAAAYABgBZAQAAUQUAAAAA&#10;">
                <v:fill on="t" focussize="0,0"/>
                <v:stroke on="f"/>
                <v:imagedata o:title=""/>
                <o:lock v:ext="edit" aspectratio="f"/>
                <v:textbox>
                  <w:txbxContent>
                    <w:p/>
                  </w:txbxContent>
                </v:textbox>
              </v:rect>
            </w:pict>
          </mc:Fallback>
        </mc:AlternateContent>
      </w:r>
    </w:p>
    <w:p>
      <w:pPr>
        <w:autoSpaceDE w:val="0"/>
        <w:autoSpaceDN w:val="0"/>
        <w:adjustRightInd w:val="0"/>
        <w:spacing w:line="360" w:lineRule="auto"/>
        <w:ind w:firstLine="482" w:firstLineChars="200"/>
        <w:rPr>
          <w:b/>
          <w:color w:val="auto"/>
          <w:kern w:val="44"/>
          <w:highlight w:val="none"/>
        </w:rPr>
      </w:pPr>
      <w:r>
        <w:rPr>
          <w:b/>
          <w:color w:val="auto"/>
          <w:kern w:val="44"/>
          <w:highlight w:val="none"/>
        </w:rPr>
        <w:br w:type="page"/>
      </w:r>
      <w:r>
        <w:rPr>
          <w:b/>
          <w:color w:val="auto"/>
          <w:kern w:val="44"/>
          <w:highlight w:val="none"/>
        </w:rPr>
        <w:t>（3）Ⅲ级突发环境污染事件应急响应启动</w:t>
      </w:r>
    </w:p>
    <w:p>
      <w:pPr>
        <w:autoSpaceDE w:val="0"/>
        <w:autoSpaceDN w:val="0"/>
        <w:adjustRightInd w:val="0"/>
        <w:snapToGrid w:val="0"/>
        <w:spacing w:line="360" w:lineRule="auto"/>
        <w:ind w:firstLine="480" w:firstLineChars="200"/>
        <w:rPr>
          <w:color w:val="auto"/>
          <w:highlight w:val="none"/>
        </w:rPr>
      </w:pPr>
      <w:r>
        <w:rPr>
          <w:color w:val="auto"/>
          <w:highlight w:val="none"/>
        </w:rPr>
        <w:t>厂区内生产装置或车间范围的发生的环境污染事件由于对周边环境造成的危害较小，是轻微环境污染事件。事故发生后，启动Ⅲ级应急预案，由车间或现场操作人员组织救援力量展开救援。Ⅲ级环境污染事件责任人：</w:t>
      </w:r>
      <w:r>
        <w:rPr>
          <w:rFonts w:hint="eastAsia"/>
          <w:color w:val="auto"/>
          <w:highlight w:val="none"/>
          <w:lang w:val="en-US" w:eastAsia="zh-CN"/>
        </w:rPr>
        <w:t>吴科飞</w:t>
      </w:r>
      <w:r>
        <w:rPr>
          <w:color w:val="auto"/>
          <w:highlight w:val="none"/>
        </w:rPr>
        <w:t>。</w:t>
      </w:r>
    </w:p>
    <w:p>
      <w:pPr>
        <w:autoSpaceDE w:val="0"/>
        <w:autoSpaceDN w:val="0"/>
        <w:adjustRightInd w:val="0"/>
        <w:snapToGrid w:val="0"/>
        <w:spacing w:line="360" w:lineRule="auto"/>
        <w:ind w:firstLine="480" w:firstLineChars="200"/>
        <w:rPr>
          <w:color w:val="auto"/>
          <w:highlight w:val="none"/>
        </w:rPr>
      </w:pPr>
      <w:r>
        <w:rPr>
          <w:color w:val="auto"/>
          <w:highlight w:val="none"/>
        </w:rPr>
        <w:t>具体应急响应措施如下：</w:t>
      </w:r>
    </w:p>
    <w:p>
      <w:pPr>
        <w:autoSpaceDE w:val="0"/>
        <w:autoSpaceDN w:val="0"/>
        <w:adjustRightInd w:val="0"/>
        <w:spacing w:line="360" w:lineRule="auto"/>
        <w:ind w:firstLine="480" w:firstLineChars="200"/>
        <w:rPr>
          <w:color w:val="auto"/>
          <w:highlight w:val="none"/>
        </w:rPr>
      </w:pPr>
      <w:r>
        <w:rPr>
          <w:color w:val="auto"/>
          <w:highlight w:val="none"/>
        </w:rPr>
        <w:t>①启动Ⅲ级应急响应程序，开展应急救援；</w:t>
      </w:r>
    </w:p>
    <w:p>
      <w:pPr>
        <w:autoSpaceDE w:val="0"/>
        <w:autoSpaceDN w:val="0"/>
        <w:adjustRightInd w:val="0"/>
        <w:spacing w:line="360" w:lineRule="auto"/>
        <w:ind w:firstLine="480" w:firstLineChars="200"/>
        <w:rPr>
          <w:color w:val="auto"/>
          <w:highlight w:val="none"/>
        </w:rPr>
      </w:pPr>
      <w:r>
        <w:rPr>
          <w:color w:val="auto"/>
          <w:highlight w:val="none"/>
        </w:rPr>
        <w:t>②事故后现场恢复和清理；</w:t>
      </w:r>
    </w:p>
    <w:p>
      <w:pPr>
        <w:autoSpaceDE w:val="0"/>
        <w:autoSpaceDN w:val="0"/>
        <w:adjustRightInd w:val="0"/>
        <w:spacing w:line="360" w:lineRule="auto"/>
        <w:ind w:firstLine="480" w:firstLineChars="200"/>
        <w:rPr>
          <w:color w:val="auto"/>
          <w:highlight w:val="none"/>
        </w:rPr>
      </w:pPr>
      <w:r>
        <w:rPr>
          <w:color w:val="auto"/>
          <w:highlight w:val="none"/>
        </w:rPr>
        <w:t>③事故原因调查、事故总结，事故处理后报告应急救援指挥部；</w:t>
      </w:r>
    </w:p>
    <w:p>
      <w:pPr>
        <w:autoSpaceDE w:val="0"/>
        <w:autoSpaceDN w:val="0"/>
        <w:adjustRightInd w:val="0"/>
        <w:spacing w:line="360" w:lineRule="auto"/>
        <w:ind w:firstLine="480" w:firstLineChars="200"/>
        <w:rPr>
          <w:color w:val="auto"/>
          <w:highlight w:val="none"/>
        </w:rPr>
      </w:pPr>
      <w:r>
        <w:rPr>
          <w:color w:val="auto"/>
          <w:highlight w:val="none"/>
        </w:rPr>
        <w:t>④针对事故原因，进行生产、储存环节改进，加强事故预防，并对应急预案进行改进完善，提高应急效率。</w:t>
      </w:r>
    </w:p>
    <w:p>
      <w:pPr>
        <w:pStyle w:val="2"/>
        <w:rPr>
          <w:rFonts w:ascii="Times New Roman" w:hAnsi="Times New Roman"/>
          <w:color w:val="auto"/>
          <w:highlight w:val="none"/>
        </w:rPr>
      </w:pPr>
    </w:p>
    <w:p>
      <w:pPr>
        <w:pStyle w:val="29"/>
        <w:jc w:val="center"/>
        <w:rPr>
          <w:rFonts w:eastAsia="仿宋_GB2312"/>
          <w:color w:val="auto"/>
          <w:highlight w:val="none"/>
        </w:rPr>
      </w:pPr>
      <w:r>
        <w:rPr>
          <w:rFonts w:eastAsia="仿宋_GB2312"/>
          <w:color w:val="auto"/>
          <w:highlight w:val="none"/>
        </w:rPr>
        <mc:AlternateContent>
          <mc:Choice Requires="wpg">
            <w:drawing>
              <wp:inline distT="0" distB="0" distL="114300" distR="114300">
                <wp:extent cx="4653280" cy="5948045"/>
                <wp:effectExtent l="0" t="0" r="92075" b="50800"/>
                <wp:docPr id="681" name="组合 681"/>
                <wp:cNvGraphicFramePr/>
                <a:graphic xmlns:a="http://schemas.openxmlformats.org/drawingml/2006/main">
                  <a:graphicData uri="http://schemas.microsoft.com/office/word/2010/wordprocessingGroup">
                    <wpg:wgp>
                      <wpg:cNvGrpSpPr>
                        <a:grpSpLocks noRot="1"/>
                      </wpg:cNvGrpSpPr>
                      <wpg:grpSpPr>
                        <a:xfrm>
                          <a:off x="0" y="0"/>
                          <a:ext cx="4653280" cy="5948045"/>
                          <a:chOff x="0" y="0"/>
                          <a:chExt cx="6502" cy="10494"/>
                        </a:xfrm>
                      </wpg:grpSpPr>
                      <wps:wsp>
                        <wps:cNvPr id="628" name="椭圆 628"/>
                        <wps:cNvSpPr/>
                        <wps:spPr>
                          <a:xfrm>
                            <a:off x="1800" y="0"/>
                            <a:ext cx="2880" cy="624"/>
                          </a:xfrm>
                          <a:prstGeom prst="ellipse">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ind w:firstLine="266" w:firstLineChars="147"/>
                                <w:rPr>
                                  <w:rFonts w:ascii="Arial" w:hAnsi="Arial" w:cs="Arial"/>
                                  <w:b/>
                                  <w:sz w:val="18"/>
                                  <w:szCs w:val="18"/>
                                </w:rPr>
                              </w:pPr>
                              <w:r>
                                <w:rPr>
                                  <w:rFonts w:ascii="Arial" w:hAnsi="宋体" w:cs="Arial"/>
                                  <w:b/>
                                  <w:sz w:val="18"/>
                                  <w:szCs w:val="18"/>
                                </w:rPr>
                                <w:t>Ⅲ级环境污染事件</w:t>
                              </w:r>
                            </w:p>
                          </w:txbxContent>
                        </wps:txbx>
                        <wps:bodyPr upright="1"/>
                      </wps:wsp>
                      <wps:wsp>
                        <wps:cNvPr id="629" name="直接连接符 629"/>
                        <wps:cNvCnPr/>
                        <wps:spPr>
                          <a:xfrm>
                            <a:off x="3240" y="624"/>
                            <a:ext cx="0" cy="624"/>
                          </a:xfrm>
                          <a:prstGeom prst="line">
                            <a:avLst/>
                          </a:prstGeom>
                          <a:ln w="9525" cap="flat" cmpd="sng">
                            <a:solidFill>
                              <a:srgbClr val="000000"/>
                            </a:solidFill>
                            <a:prstDash val="solid"/>
                            <a:headEnd type="none" w="med" len="med"/>
                            <a:tailEnd type="triangle" w="med" len="med"/>
                          </a:ln>
                        </wps:spPr>
                        <wps:bodyPr/>
                      </wps:wsp>
                      <wps:wsp>
                        <wps:cNvPr id="630" name="矩形 630"/>
                        <wps:cNvSpPr/>
                        <wps:spPr>
                          <a:xfrm>
                            <a:off x="2505" y="124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车间负责人</w:t>
                              </w:r>
                            </w:p>
                          </w:txbxContent>
                        </wps:txbx>
                        <wps:bodyPr upright="1"/>
                      </wps:wsp>
                      <wps:wsp>
                        <wps:cNvPr id="631" name="直接连接符 631"/>
                        <wps:cNvCnPr/>
                        <wps:spPr>
                          <a:xfrm>
                            <a:off x="3240" y="1716"/>
                            <a:ext cx="0" cy="624"/>
                          </a:xfrm>
                          <a:prstGeom prst="line">
                            <a:avLst/>
                          </a:prstGeom>
                          <a:ln w="9525" cap="flat" cmpd="sng">
                            <a:solidFill>
                              <a:srgbClr val="000000"/>
                            </a:solidFill>
                            <a:prstDash val="solid"/>
                            <a:headEnd type="none" w="med" len="med"/>
                            <a:tailEnd type="triangle" w="med" len="med"/>
                          </a:ln>
                        </wps:spPr>
                        <wps:bodyPr/>
                      </wps:wsp>
                      <wps:wsp>
                        <wps:cNvPr id="632" name="矩形 632"/>
                        <wps:cNvSpPr/>
                        <wps:spPr>
                          <a:xfrm>
                            <a:off x="1875" y="2364"/>
                            <a:ext cx="2715" cy="111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sz w:val="18"/>
                                  <w:szCs w:val="18"/>
                                </w:rPr>
                              </w:pPr>
                              <w:r>
                                <w:rPr>
                                  <w:sz w:val="18"/>
                                  <w:szCs w:val="18"/>
                                </w:rPr>
                                <w:t>应急救援指挥部</w:t>
                              </w:r>
                            </w:p>
                            <w:p>
                              <w:pPr>
                                <w:adjustRightInd w:val="0"/>
                                <w:snapToGrid w:val="0"/>
                                <w:jc w:val="center"/>
                                <w:rPr>
                                  <w:rFonts w:hint="eastAsia" w:eastAsia="宋体"/>
                                  <w:sz w:val="18"/>
                                  <w:szCs w:val="18"/>
                                  <w:lang w:eastAsia="zh-CN"/>
                                </w:rPr>
                              </w:pPr>
                              <w:r>
                                <w:rPr>
                                  <w:sz w:val="18"/>
                                  <w:szCs w:val="18"/>
                                </w:rPr>
                                <w:t>联系人：</w:t>
                              </w:r>
                              <w:r>
                                <w:rPr>
                                  <w:rFonts w:hint="eastAsia"/>
                                  <w:sz w:val="18"/>
                                  <w:szCs w:val="18"/>
                                  <w:lang w:val="en-US" w:eastAsia="zh-CN"/>
                                </w:rPr>
                                <w:t>吴科飞</w:t>
                              </w:r>
                            </w:p>
                            <w:p>
                              <w:pPr>
                                <w:adjustRightInd w:val="0"/>
                                <w:snapToGrid w:val="0"/>
                                <w:jc w:val="center"/>
                                <w:rPr>
                                  <w:sz w:val="18"/>
                                  <w:szCs w:val="18"/>
                                </w:rPr>
                              </w:pPr>
                              <w:r>
                                <w:rPr>
                                  <w:sz w:val="18"/>
                                  <w:szCs w:val="18"/>
                                </w:rPr>
                                <w:t>联系电话：</w:t>
                              </w:r>
                              <w:r>
                                <w:rPr>
                                  <w:rFonts w:hint="eastAsia"/>
                                  <w:sz w:val="18"/>
                                  <w:szCs w:val="18"/>
                                </w:rPr>
                                <w:t>18861865905</w:t>
                              </w:r>
                            </w:p>
                            <w:p>
                              <w:pPr>
                                <w:adjustRightInd w:val="0"/>
                                <w:snapToGrid w:val="0"/>
                                <w:jc w:val="center"/>
                              </w:pPr>
                            </w:p>
                          </w:txbxContent>
                        </wps:txbx>
                        <wps:bodyPr lIns="91440" tIns="10800" rIns="91440" bIns="10800" upright="1"/>
                      </wps:wsp>
                      <wps:wsp>
                        <wps:cNvPr id="633" name="直接连接符 633"/>
                        <wps:cNvCnPr/>
                        <wps:spPr>
                          <a:xfrm flipH="1">
                            <a:off x="3268" y="3492"/>
                            <a:ext cx="1" cy="569"/>
                          </a:xfrm>
                          <a:prstGeom prst="line">
                            <a:avLst/>
                          </a:prstGeom>
                          <a:ln w="9525" cap="flat" cmpd="sng">
                            <a:solidFill>
                              <a:srgbClr val="000000"/>
                            </a:solidFill>
                            <a:prstDash val="solid"/>
                            <a:headEnd type="none" w="med" len="med"/>
                            <a:tailEnd type="triangle" w="med" len="med"/>
                          </a:ln>
                        </wps:spPr>
                        <wps:bodyPr/>
                      </wps:wsp>
                      <wps:wsp>
                        <wps:cNvPr id="634" name="矩形 634"/>
                        <wps:cNvSpPr/>
                        <wps:spPr>
                          <a:xfrm>
                            <a:off x="2505" y="405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应急启动</w:t>
                              </w:r>
                            </w:p>
                          </w:txbxContent>
                        </wps:txbx>
                        <wps:bodyPr upright="1"/>
                      </wps:wsp>
                      <wps:wsp>
                        <wps:cNvPr id="635" name="直接连接符 635"/>
                        <wps:cNvCnPr/>
                        <wps:spPr>
                          <a:xfrm>
                            <a:off x="3240" y="4524"/>
                            <a:ext cx="0" cy="1248"/>
                          </a:xfrm>
                          <a:prstGeom prst="line">
                            <a:avLst/>
                          </a:prstGeom>
                          <a:ln w="9525" cap="flat" cmpd="sng">
                            <a:solidFill>
                              <a:srgbClr val="000000"/>
                            </a:solidFill>
                            <a:prstDash val="solid"/>
                            <a:headEnd type="none" w="med" len="med"/>
                            <a:tailEnd type="triangle" w="med" len="med"/>
                          </a:ln>
                        </wps:spPr>
                        <wps:bodyPr/>
                      </wps:wsp>
                      <wps:wsp>
                        <wps:cNvPr id="636" name="矩形 636"/>
                        <wps:cNvSpPr/>
                        <wps:spPr>
                          <a:xfrm>
                            <a:off x="2506" y="5772"/>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救援行动</w:t>
                              </w:r>
                            </w:p>
                          </w:txbxContent>
                        </wps:txbx>
                        <wps:bodyPr upright="1"/>
                      </wps:wsp>
                      <wps:wsp>
                        <wps:cNvPr id="637" name="椭圆 637"/>
                        <wps:cNvSpPr>
                          <a:spLocks noChangeAspect="1"/>
                        </wps:cNvSpPr>
                        <wps:spPr>
                          <a:xfrm>
                            <a:off x="2835" y="4680"/>
                            <a:ext cx="788" cy="788"/>
                          </a:xfrm>
                          <a:prstGeom prst="ellipse">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jc w:val="center"/>
                                <w:rPr>
                                  <w:rFonts w:ascii="Arial" w:hAnsi="宋体" w:cs="Arial"/>
                                  <w:sz w:val="18"/>
                                  <w:szCs w:val="18"/>
                                </w:rPr>
                              </w:pPr>
                              <w:r>
                                <w:rPr>
                                  <w:rFonts w:ascii="Arial" w:hAnsi="宋体" w:cs="Arial"/>
                                  <w:sz w:val="18"/>
                                  <w:szCs w:val="18"/>
                                </w:rPr>
                                <w:t>车间</w:t>
                              </w:r>
                            </w:p>
                            <w:p>
                              <w:pPr>
                                <w:adjustRightInd w:val="0"/>
                                <w:snapToGrid w:val="0"/>
                                <w:jc w:val="center"/>
                                <w:rPr>
                                  <w:rFonts w:ascii="Arial" w:hAnsi="Arial" w:cs="Arial"/>
                                  <w:sz w:val="18"/>
                                  <w:szCs w:val="18"/>
                                </w:rPr>
                              </w:pPr>
                              <w:r>
                                <w:rPr>
                                  <w:rFonts w:ascii="Arial" w:hAnsi="宋体" w:cs="Arial"/>
                                  <w:sz w:val="18"/>
                                  <w:szCs w:val="18"/>
                                </w:rPr>
                                <w:t>自救</w:t>
                              </w:r>
                            </w:p>
                          </w:txbxContent>
                        </wps:txbx>
                        <wps:bodyPr lIns="0" tIns="0" rIns="0" bIns="0" upright="1"/>
                      </wps:wsp>
                      <wps:wsp>
                        <wps:cNvPr id="638" name="直接连接符 638"/>
                        <wps:cNvCnPr/>
                        <wps:spPr>
                          <a:xfrm>
                            <a:off x="3240" y="6237"/>
                            <a:ext cx="0" cy="839"/>
                          </a:xfrm>
                          <a:prstGeom prst="line">
                            <a:avLst/>
                          </a:prstGeom>
                          <a:ln w="9525" cap="flat" cmpd="sng">
                            <a:solidFill>
                              <a:srgbClr val="000000"/>
                            </a:solidFill>
                            <a:prstDash val="solid"/>
                            <a:headEnd type="none" w="med" len="med"/>
                            <a:tailEnd type="triangle" w="med" len="med"/>
                          </a:ln>
                        </wps:spPr>
                        <wps:bodyPr/>
                      </wps:wsp>
                      <wps:wsp>
                        <wps:cNvPr id="639" name="直接连接符 639"/>
                        <wps:cNvCnPr/>
                        <wps:spPr>
                          <a:xfrm flipH="1">
                            <a:off x="3946" y="6012"/>
                            <a:ext cx="540" cy="0"/>
                          </a:xfrm>
                          <a:prstGeom prst="line">
                            <a:avLst/>
                          </a:prstGeom>
                          <a:ln w="9525" cap="flat" cmpd="sng">
                            <a:solidFill>
                              <a:srgbClr val="000000"/>
                            </a:solidFill>
                            <a:prstDash val="solid"/>
                            <a:headEnd type="none" w="med" len="med"/>
                            <a:tailEnd type="none" w="med" len="med"/>
                          </a:ln>
                        </wps:spPr>
                        <wps:bodyPr/>
                      </wps:wsp>
                      <wpg:grpSp>
                        <wpg:cNvPr id="647" name="组合 647"/>
                        <wpg:cNvGrpSpPr/>
                        <wpg:grpSpPr>
                          <a:xfrm>
                            <a:off x="4476" y="5290"/>
                            <a:ext cx="1981" cy="1404"/>
                            <a:chOff x="0" y="0"/>
                            <a:chExt cx="1981" cy="1404"/>
                          </a:xfrm>
                        </wpg:grpSpPr>
                        <wps:wsp>
                          <wps:cNvPr id="640" name="矩形 640"/>
                          <wps:cNvSpPr/>
                          <wps:spPr>
                            <a:xfrm>
                              <a:off x="541" y="46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color w:val="auto"/>
                                    <w:sz w:val="20"/>
                                    <w:szCs w:val="20"/>
                                  </w:rPr>
                                </w:pPr>
                                <w:r>
                                  <w:rPr>
                                    <w:rFonts w:hint="eastAsia" w:ascii="宋体" w:hAnsi="宋体" w:cs="宋体"/>
                                    <w:color w:val="auto"/>
                                    <w:sz w:val="20"/>
                                    <w:szCs w:val="20"/>
                                  </w:rPr>
                                  <w:t>事故处理组</w:t>
                                </w:r>
                              </w:p>
                            </w:txbxContent>
                          </wps:txbx>
                          <wps:bodyPr upright="1"/>
                        </wps:wsp>
                        <wps:wsp>
                          <wps:cNvPr id="641" name="矩形 641"/>
                          <wps:cNvSpPr/>
                          <wps:spPr>
                            <a:xfrm>
                              <a:off x="541" y="93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后勤保障组</w:t>
                                </w:r>
                              </w:p>
                            </w:txbxContent>
                          </wps:txbx>
                          <wps:bodyPr upright="1"/>
                        </wps:wsp>
                        <wps:wsp>
                          <wps:cNvPr id="642" name="矩形 642"/>
                          <wps:cNvSpPr/>
                          <wps:spPr>
                            <a:xfrm>
                              <a:off x="541" y="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宋体" w:eastAsia="宋体" w:cs="Arial"/>
                                    <w:sz w:val="18"/>
                                    <w:szCs w:val="18"/>
                                  </w:rPr>
                                </w:pPr>
                                <w:r>
                                  <w:rPr>
                                    <w:rFonts w:hint="eastAsia" w:ascii="Arial" w:hAnsi="宋体" w:eastAsia="宋体" w:cs="Arial"/>
                                    <w:sz w:val="18"/>
                                    <w:szCs w:val="18"/>
                                  </w:rPr>
                                  <w:t>抢险灭火组</w:t>
                                </w:r>
                              </w:p>
                              <w:p>
                                <w:pPr>
                                  <w:rPr>
                                    <w:sz w:val="18"/>
                                    <w:szCs w:val="18"/>
                                  </w:rPr>
                                </w:pPr>
                              </w:p>
                            </w:txbxContent>
                          </wps:txbx>
                          <wps:bodyPr upright="1"/>
                        </wps:wsp>
                        <wps:wsp>
                          <wps:cNvPr id="643" name="直接连接符 643"/>
                          <wps:cNvCnPr/>
                          <wps:spPr>
                            <a:xfrm rot="-10800000" flipH="1">
                              <a:off x="0" y="716"/>
                              <a:ext cx="540" cy="0"/>
                            </a:xfrm>
                            <a:prstGeom prst="line">
                              <a:avLst/>
                            </a:prstGeom>
                            <a:ln w="9525" cap="flat" cmpd="sng">
                              <a:solidFill>
                                <a:srgbClr val="000000"/>
                              </a:solidFill>
                              <a:prstDash val="solid"/>
                              <a:headEnd type="none" w="med" len="med"/>
                              <a:tailEnd type="triangle" w="med" len="med"/>
                            </a:ln>
                          </wps:spPr>
                          <wps:bodyPr/>
                        </wps:wsp>
                        <wps:wsp>
                          <wps:cNvPr id="644" name="直接连接符 644"/>
                          <wps:cNvCnPr/>
                          <wps:spPr>
                            <a:xfrm rot="-10800000" flipV="1">
                              <a:off x="0" y="252"/>
                              <a:ext cx="0" cy="926"/>
                            </a:xfrm>
                            <a:prstGeom prst="line">
                              <a:avLst/>
                            </a:prstGeom>
                            <a:ln w="9525" cap="flat" cmpd="sng">
                              <a:solidFill>
                                <a:srgbClr val="000000"/>
                              </a:solidFill>
                              <a:prstDash val="solid"/>
                              <a:headEnd type="none" w="med" len="med"/>
                              <a:tailEnd type="none" w="med" len="med"/>
                            </a:ln>
                          </wps:spPr>
                          <wps:bodyPr/>
                        </wps:wsp>
                        <wps:wsp>
                          <wps:cNvPr id="645" name="直接连接符 645"/>
                          <wps:cNvCnPr/>
                          <wps:spPr>
                            <a:xfrm rot="-10800000" flipH="1">
                              <a:off x="0" y="242"/>
                              <a:ext cx="540" cy="0"/>
                            </a:xfrm>
                            <a:prstGeom prst="line">
                              <a:avLst/>
                            </a:prstGeom>
                            <a:ln w="9525" cap="flat" cmpd="sng">
                              <a:solidFill>
                                <a:srgbClr val="000000"/>
                              </a:solidFill>
                              <a:prstDash val="solid"/>
                              <a:headEnd type="none" w="med" len="med"/>
                              <a:tailEnd type="triangle" w="med" len="med"/>
                            </a:ln>
                          </wps:spPr>
                          <wps:bodyPr/>
                        </wps:wsp>
                        <wps:wsp>
                          <wps:cNvPr id="646" name="直接连接符 646"/>
                          <wps:cNvCnPr/>
                          <wps:spPr>
                            <a:xfrm rot="-10800000" flipH="1">
                              <a:off x="0" y="1178"/>
                              <a:ext cx="540" cy="0"/>
                            </a:xfrm>
                            <a:prstGeom prst="line">
                              <a:avLst/>
                            </a:prstGeom>
                            <a:ln w="9525" cap="flat" cmpd="sng">
                              <a:solidFill>
                                <a:srgbClr val="000000"/>
                              </a:solidFill>
                              <a:prstDash val="solid"/>
                              <a:headEnd type="none" w="med" len="med"/>
                              <a:tailEnd type="triangle" w="med" len="med"/>
                            </a:ln>
                          </wps:spPr>
                          <wps:bodyPr/>
                        </wps:wsp>
                      </wpg:grpSp>
                      <wps:wsp>
                        <wps:cNvPr id="648" name="菱形 648"/>
                        <wps:cNvSpPr/>
                        <wps:spPr>
                          <a:xfrm>
                            <a:off x="2516" y="7050"/>
                            <a:ext cx="1440" cy="1092"/>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事故</w:t>
                              </w:r>
                            </w:p>
                            <w:p>
                              <w:pPr>
                                <w:adjustRightInd w:val="0"/>
                                <w:snapToGrid w:val="0"/>
                                <w:jc w:val="center"/>
                                <w:rPr>
                                  <w:rFonts w:ascii="Arial" w:hAnsi="Arial" w:cs="Arial"/>
                                  <w:sz w:val="18"/>
                                  <w:szCs w:val="18"/>
                                </w:rPr>
                              </w:pPr>
                              <w:r>
                                <w:rPr>
                                  <w:rFonts w:ascii="Arial" w:hAnsi="宋体" w:cs="Arial"/>
                                  <w:sz w:val="18"/>
                                  <w:szCs w:val="18"/>
                                </w:rPr>
                                <w:t>控制</w:t>
                              </w:r>
                            </w:p>
                          </w:txbxContent>
                        </wps:txbx>
                        <wps:bodyPr lIns="0" tIns="0" rIns="0" bIns="0" upright="1"/>
                      </wps:wsp>
                      <wps:wsp>
                        <wps:cNvPr id="649" name="直接连接符 649"/>
                        <wps:cNvCnPr/>
                        <wps:spPr>
                          <a:xfrm>
                            <a:off x="3226" y="8156"/>
                            <a:ext cx="0" cy="580"/>
                          </a:xfrm>
                          <a:prstGeom prst="line">
                            <a:avLst/>
                          </a:prstGeom>
                          <a:ln w="9525" cap="flat" cmpd="sng">
                            <a:solidFill>
                              <a:srgbClr val="000000"/>
                            </a:solidFill>
                            <a:prstDash val="solid"/>
                            <a:headEnd type="none" w="med" len="med"/>
                            <a:tailEnd type="triangle" w="med" len="med"/>
                          </a:ln>
                        </wps:spPr>
                        <wps:bodyPr/>
                      </wps:wsp>
                      <wps:wsp>
                        <wps:cNvPr id="650" name="矩形 650"/>
                        <wps:cNvSpPr/>
                        <wps:spPr>
                          <a:xfrm>
                            <a:off x="3124" y="8168"/>
                            <a:ext cx="540" cy="468"/>
                          </a:xfrm>
                          <a:prstGeom prst="rect">
                            <a:avLst/>
                          </a:prstGeom>
                          <a:noFill/>
                          <a:ln>
                            <a:noFill/>
                          </a:ln>
                        </wps:spPr>
                        <wps:txbx>
                          <w:txbxContent>
                            <w:p>
                              <w:pPr>
                                <w:adjustRightInd w:val="0"/>
                                <w:snapToGrid w:val="0"/>
                                <w:jc w:val="center"/>
                                <w:rPr>
                                  <w:rFonts w:eastAsia="仿宋_GB2312"/>
                                  <w:sz w:val="18"/>
                                  <w:szCs w:val="18"/>
                                </w:rPr>
                              </w:pPr>
                              <w:r>
                                <w:rPr>
                                  <w:rFonts w:hint="eastAsia" w:eastAsia="仿宋_GB2312"/>
                                  <w:sz w:val="18"/>
                                  <w:szCs w:val="18"/>
                                </w:rPr>
                                <w:t>Y</w:t>
                              </w:r>
                            </w:p>
                          </w:txbxContent>
                        </wps:txbx>
                        <wps:bodyPr upright="1"/>
                      </wps:wsp>
                      <wps:wsp>
                        <wps:cNvPr id="651" name="直接连接符 651"/>
                        <wps:cNvCnPr/>
                        <wps:spPr>
                          <a:xfrm flipH="1">
                            <a:off x="1450" y="7602"/>
                            <a:ext cx="1071" cy="0"/>
                          </a:xfrm>
                          <a:prstGeom prst="line">
                            <a:avLst/>
                          </a:prstGeom>
                          <a:ln w="9525" cap="flat" cmpd="sng">
                            <a:solidFill>
                              <a:srgbClr val="000000"/>
                            </a:solidFill>
                            <a:prstDash val="solid"/>
                            <a:headEnd type="none" w="med" len="med"/>
                            <a:tailEnd type="triangle" w="med" len="med"/>
                          </a:ln>
                        </wps:spPr>
                        <wps:bodyPr/>
                      </wps:wsp>
                      <wps:wsp>
                        <wps:cNvPr id="652" name="直接连接符 652"/>
                        <wps:cNvCnPr/>
                        <wps:spPr>
                          <a:xfrm rot="-10800000" flipH="1">
                            <a:off x="1422" y="5997"/>
                            <a:ext cx="1071" cy="0"/>
                          </a:xfrm>
                          <a:prstGeom prst="line">
                            <a:avLst/>
                          </a:prstGeom>
                          <a:ln w="9525" cap="flat" cmpd="sng">
                            <a:solidFill>
                              <a:srgbClr val="000000"/>
                            </a:solidFill>
                            <a:prstDash val="solid"/>
                            <a:headEnd type="none" w="med" len="med"/>
                            <a:tailEnd type="triangle" w="med" len="med"/>
                          </a:ln>
                        </wps:spPr>
                        <wps:bodyPr/>
                      </wps:wsp>
                      <wpg:grpSp>
                        <wpg:cNvPr id="658" name="组合 658"/>
                        <wpg:cNvGrpSpPr/>
                        <wpg:grpSpPr>
                          <a:xfrm>
                            <a:off x="10" y="5772"/>
                            <a:ext cx="1440" cy="2072"/>
                            <a:chOff x="0" y="0"/>
                            <a:chExt cx="1440" cy="2072"/>
                          </a:xfrm>
                        </wpg:grpSpPr>
                        <wps:wsp>
                          <wps:cNvPr id="653" name="矩形 653"/>
                          <wps:cNvSpPr/>
                          <wps:spPr>
                            <a:xfrm>
                              <a:off x="0" y="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扩大应急</w:t>
                                </w:r>
                              </w:p>
                            </w:txbxContent>
                          </wps:txbx>
                          <wps:bodyPr upright="1"/>
                        </wps:wsp>
                        <wpg:grpSp>
                          <wpg:cNvPr id="656" name="组合 656"/>
                          <wpg:cNvGrpSpPr/>
                          <wpg:grpSpPr>
                            <a:xfrm>
                              <a:off x="332" y="453"/>
                              <a:ext cx="788" cy="1179"/>
                              <a:chOff x="0" y="0"/>
                              <a:chExt cx="788" cy="1179"/>
                            </a:xfrm>
                          </wpg:grpSpPr>
                          <wps:wsp>
                            <wps:cNvPr id="654" name="直接连接符 654"/>
                            <wps:cNvCnPr/>
                            <wps:spPr>
                              <a:xfrm rot="10800000">
                                <a:off x="402" y="0"/>
                                <a:ext cx="0" cy="1179"/>
                              </a:xfrm>
                              <a:prstGeom prst="line">
                                <a:avLst/>
                              </a:prstGeom>
                              <a:ln w="9525" cap="flat" cmpd="sng">
                                <a:solidFill>
                                  <a:srgbClr val="000000"/>
                                </a:solidFill>
                                <a:prstDash val="solid"/>
                                <a:headEnd type="none" w="med" len="med"/>
                                <a:tailEnd type="triangle" w="med" len="med"/>
                              </a:ln>
                            </wps:spPr>
                            <wps:bodyPr/>
                          </wps:wsp>
                          <wps:wsp>
                            <wps:cNvPr id="655" name="椭圆 655"/>
                            <wps:cNvSpPr>
                              <a:spLocks noChangeAspect="1"/>
                            </wps:cNvSpPr>
                            <wps:spPr>
                              <a:xfrm>
                                <a:off x="0" y="185"/>
                                <a:ext cx="788" cy="788"/>
                              </a:xfrm>
                              <a:prstGeom prst="ellipse">
                                <a:avLst/>
                              </a:prstGeom>
                              <a:solidFill>
                                <a:srgbClr val="FFFFFF"/>
                              </a:solidFill>
                              <a:ln w="9525" cap="flat" cmpd="sng">
                                <a:solidFill>
                                  <a:srgbClr val="000000"/>
                                </a:solidFill>
                                <a:prstDash val="solid"/>
                                <a:headEnd type="none" w="med" len="med"/>
                                <a:tailEnd type="none" w="med" len="med"/>
                              </a:ln>
                            </wps:spPr>
                            <wps:txbx>
                              <w:txbxContent>
                                <w:p>
                                  <w:pPr>
                                    <w:adjustRightInd w:val="0"/>
                                    <w:snapToGrid w:val="0"/>
                                    <w:jc w:val="center"/>
                                    <w:rPr>
                                      <w:rFonts w:ascii="Arial" w:hAnsi="宋体" w:cs="Arial"/>
                                      <w:sz w:val="18"/>
                                      <w:szCs w:val="18"/>
                                    </w:rPr>
                                  </w:pPr>
                                  <w:r>
                                    <w:rPr>
                                      <w:rFonts w:ascii="Arial" w:hAnsi="宋体" w:cs="Arial"/>
                                      <w:sz w:val="18"/>
                                      <w:szCs w:val="18"/>
                                    </w:rPr>
                                    <w:t>内部</w:t>
                                  </w:r>
                                </w:p>
                                <w:p>
                                  <w:pPr>
                                    <w:adjustRightInd w:val="0"/>
                                    <w:snapToGrid w:val="0"/>
                                    <w:jc w:val="center"/>
                                    <w:rPr>
                                      <w:rFonts w:ascii="Arial" w:hAnsi="Arial" w:cs="Arial"/>
                                      <w:sz w:val="18"/>
                                      <w:szCs w:val="18"/>
                                    </w:rPr>
                                  </w:pPr>
                                  <w:r>
                                    <w:rPr>
                                      <w:rFonts w:ascii="Arial" w:hAnsi="宋体" w:cs="Arial"/>
                                      <w:sz w:val="18"/>
                                      <w:szCs w:val="18"/>
                                    </w:rPr>
                                    <w:t>力量</w:t>
                                  </w:r>
                                </w:p>
                              </w:txbxContent>
                            </wps:txbx>
                            <wps:bodyPr lIns="0" tIns="0" rIns="0" bIns="0" upright="1"/>
                          </wps:wsp>
                        </wpg:grpSp>
                        <wps:wsp>
                          <wps:cNvPr id="657" name="矩形 657"/>
                          <wps:cNvSpPr/>
                          <wps:spPr>
                            <a:xfrm>
                              <a:off x="0" y="1604"/>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申请救援</w:t>
                                </w:r>
                              </w:p>
                            </w:txbxContent>
                          </wps:txbx>
                          <wps:bodyPr upright="1"/>
                        </wps:wsp>
                      </wpg:grpSp>
                      <wps:wsp>
                        <wps:cNvPr id="659" name="矩形 659"/>
                        <wps:cNvSpPr/>
                        <wps:spPr>
                          <a:xfrm>
                            <a:off x="1740" y="7248"/>
                            <a:ext cx="540" cy="468"/>
                          </a:xfrm>
                          <a:prstGeom prst="rect">
                            <a:avLst/>
                          </a:prstGeom>
                          <a:noFill/>
                          <a:ln>
                            <a:noFill/>
                          </a:ln>
                        </wps:spPr>
                        <wps:txbx>
                          <w:txbxContent>
                            <w:p>
                              <w:pPr>
                                <w:adjustRightInd w:val="0"/>
                                <w:snapToGrid w:val="0"/>
                                <w:jc w:val="center"/>
                                <w:rPr>
                                  <w:rFonts w:eastAsia="仿宋_GB2312"/>
                                  <w:sz w:val="18"/>
                                  <w:szCs w:val="18"/>
                                </w:rPr>
                              </w:pPr>
                              <w:r>
                                <w:rPr>
                                  <w:rFonts w:hint="eastAsia" w:eastAsia="仿宋_GB2312"/>
                                  <w:sz w:val="18"/>
                                  <w:szCs w:val="18"/>
                                </w:rPr>
                                <w:t>N</w:t>
                              </w:r>
                            </w:p>
                          </w:txbxContent>
                        </wps:txbx>
                        <wps:bodyPr upright="1"/>
                      </wps:wsp>
                      <wpg:grpSp>
                        <wpg:cNvPr id="680" name="组合 680"/>
                        <wpg:cNvGrpSpPr/>
                        <wpg:grpSpPr>
                          <a:xfrm>
                            <a:off x="0" y="8522"/>
                            <a:ext cx="6502" cy="1972"/>
                            <a:chOff x="0" y="0"/>
                            <a:chExt cx="6502" cy="1972"/>
                          </a:xfrm>
                        </wpg:grpSpPr>
                        <wps:wsp>
                          <wps:cNvPr id="660" name="直接连接符 660"/>
                          <wps:cNvCnPr/>
                          <wps:spPr>
                            <a:xfrm flipH="1">
                              <a:off x="1980" y="473"/>
                              <a:ext cx="540" cy="0"/>
                            </a:xfrm>
                            <a:prstGeom prst="line">
                              <a:avLst/>
                            </a:prstGeom>
                            <a:ln w="9525" cap="flat" cmpd="sng">
                              <a:solidFill>
                                <a:srgbClr val="000000"/>
                              </a:solidFill>
                              <a:prstDash val="solid"/>
                              <a:headEnd type="none" w="med" len="med"/>
                              <a:tailEnd type="none" w="med" len="med"/>
                            </a:ln>
                          </wps:spPr>
                          <wps:bodyPr/>
                        </wps:wsp>
                        <wpg:grpSp>
                          <wpg:cNvPr id="666" name="组合 666"/>
                          <wpg:cNvGrpSpPr/>
                          <wpg:grpSpPr>
                            <a:xfrm>
                              <a:off x="0" y="0"/>
                              <a:ext cx="1980" cy="936"/>
                              <a:chOff x="0" y="0"/>
                              <a:chExt cx="1980" cy="936"/>
                            </a:xfrm>
                          </wpg:grpSpPr>
                          <wps:wsp>
                            <wps:cNvPr id="661" name="矩形 661"/>
                            <wps:cNvSpPr/>
                            <wps:spPr>
                              <a:xfrm>
                                <a:off x="0" y="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现场清理</w:t>
                                  </w:r>
                                </w:p>
                              </w:txbxContent>
                            </wps:txbx>
                            <wps:bodyPr upright="1"/>
                          </wps:wsp>
                          <wps:wsp>
                            <wps:cNvPr id="662" name="矩形 662"/>
                            <wps:cNvSpPr/>
                            <wps:spPr>
                              <a:xfrm>
                                <a:off x="0" y="46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事故调查</w:t>
                                  </w:r>
                                </w:p>
                                <w:p>
                                  <w:pPr>
                                    <w:adjustRightInd w:val="0"/>
                                    <w:snapToGrid w:val="0"/>
                                    <w:rPr>
                                      <w:rFonts w:ascii="Arial" w:hAnsi="Arial" w:cs="Arial"/>
                                      <w:sz w:val="18"/>
                                      <w:szCs w:val="18"/>
                                    </w:rPr>
                                  </w:pPr>
                                </w:p>
                              </w:txbxContent>
                            </wps:txbx>
                            <wps:bodyPr upright="1"/>
                          </wps:wsp>
                          <wps:wsp>
                            <wps:cNvPr id="663" name="直接连接符 663"/>
                            <wps:cNvCnPr/>
                            <wps:spPr>
                              <a:xfrm flipV="1">
                                <a:off x="1980" y="254"/>
                                <a:ext cx="0" cy="454"/>
                              </a:xfrm>
                              <a:prstGeom prst="line">
                                <a:avLst/>
                              </a:prstGeom>
                              <a:ln w="9525" cap="flat" cmpd="sng">
                                <a:solidFill>
                                  <a:srgbClr val="000000"/>
                                </a:solidFill>
                                <a:prstDash val="solid"/>
                                <a:headEnd type="none" w="med" len="med"/>
                                <a:tailEnd type="none" w="med" len="med"/>
                              </a:ln>
                            </wps:spPr>
                            <wps:bodyPr/>
                          </wps:wsp>
                          <wps:wsp>
                            <wps:cNvPr id="664" name="直接连接符 664"/>
                            <wps:cNvCnPr/>
                            <wps:spPr>
                              <a:xfrm flipH="1">
                                <a:off x="1440" y="718"/>
                                <a:ext cx="540" cy="0"/>
                              </a:xfrm>
                              <a:prstGeom prst="line">
                                <a:avLst/>
                              </a:prstGeom>
                              <a:ln w="9525" cap="flat" cmpd="sng">
                                <a:solidFill>
                                  <a:srgbClr val="000000"/>
                                </a:solidFill>
                                <a:prstDash val="solid"/>
                                <a:headEnd type="none" w="med" len="med"/>
                                <a:tailEnd type="triangle" w="med" len="med"/>
                              </a:ln>
                            </wps:spPr>
                            <wps:bodyPr/>
                          </wps:wsp>
                          <wps:wsp>
                            <wps:cNvPr id="665" name="直接连接符 665"/>
                            <wps:cNvCnPr/>
                            <wps:spPr>
                              <a:xfrm flipH="1">
                                <a:off x="1440" y="240"/>
                                <a:ext cx="540" cy="0"/>
                              </a:xfrm>
                              <a:prstGeom prst="line">
                                <a:avLst/>
                              </a:prstGeom>
                              <a:ln w="9525" cap="flat" cmpd="sng">
                                <a:solidFill>
                                  <a:srgbClr val="000000"/>
                                </a:solidFill>
                                <a:prstDash val="solid"/>
                                <a:headEnd type="none" w="med" len="med"/>
                                <a:tailEnd type="triangle" w="med" len="med"/>
                              </a:ln>
                            </wps:spPr>
                            <wps:bodyPr/>
                          </wps:wsp>
                        </wpg:grpSp>
                        <wps:wsp>
                          <wps:cNvPr id="667" name="矩形 667"/>
                          <wps:cNvSpPr/>
                          <wps:spPr>
                            <a:xfrm>
                              <a:off x="2506" y="22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应急恢复</w:t>
                                </w:r>
                              </w:p>
                            </w:txbxContent>
                          </wps:txbx>
                          <wps:bodyPr upright="1"/>
                        </wps:wsp>
                        <wpg:grpSp>
                          <wpg:cNvPr id="678" name="组合 678"/>
                          <wpg:cNvGrpSpPr/>
                          <wpg:grpSpPr>
                            <a:xfrm>
                              <a:off x="2506" y="1036"/>
                              <a:ext cx="3996" cy="936"/>
                              <a:chOff x="0" y="0"/>
                              <a:chExt cx="3996" cy="936"/>
                            </a:xfrm>
                          </wpg:grpSpPr>
                          <wps:wsp>
                            <wps:cNvPr id="668" name="矩形 668"/>
                            <wps:cNvSpPr/>
                            <wps:spPr>
                              <a:xfrm>
                                <a:off x="0" y="226"/>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应急结束</w:t>
                                  </w:r>
                                </w:p>
                              </w:txbxContent>
                            </wps:txbx>
                            <wps:bodyPr upright="1"/>
                          </wps:wsp>
                          <wpg:grpSp>
                            <wpg:cNvPr id="676" name="组合 676"/>
                            <wpg:cNvGrpSpPr/>
                            <wpg:grpSpPr>
                              <a:xfrm>
                                <a:off x="2012" y="0"/>
                                <a:ext cx="1984" cy="936"/>
                                <a:chOff x="0" y="0"/>
                                <a:chExt cx="1984" cy="936"/>
                              </a:xfrm>
                            </wpg:grpSpPr>
                            <wpg:grpSp>
                              <wpg:cNvPr id="671" name="组合 671"/>
                              <wpg:cNvGrpSpPr/>
                              <wpg:grpSpPr>
                                <a:xfrm>
                                  <a:off x="544" y="0"/>
                                  <a:ext cx="1440" cy="936"/>
                                  <a:chOff x="0" y="0"/>
                                  <a:chExt cx="1440" cy="936"/>
                                </a:xfrm>
                              </wpg:grpSpPr>
                              <wps:wsp>
                                <wps:cNvPr id="669" name="矩形 669"/>
                                <wps:cNvSpPr/>
                                <wps:spPr>
                                  <a:xfrm>
                                    <a:off x="0" y="0"/>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总结上报</w:t>
                                      </w:r>
                                    </w:p>
                                  </w:txbxContent>
                                </wps:txbx>
                                <wps:bodyPr upright="1"/>
                              </wps:wsp>
                              <wps:wsp>
                                <wps:cNvPr id="670" name="矩形 670"/>
                                <wps:cNvSpPr/>
                                <wps:spPr>
                                  <a:xfrm>
                                    <a:off x="0" y="468"/>
                                    <a:ext cx="144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ascii="Arial" w:hAnsi="Arial" w:cs="Arial"/>
                                          <w:sz w:val="18"/>
                                          <w:szCs w:val="18"/>
                                        </w:rPr>
                                      </w:pPr>
                                      <w:r>
                                        <w:rPr>
                                          <w:rFonts w:ascii="Arial" w:hAnsi="宋体" w:cs="Arial"/>
                                          <w:sz w:val="18"/>
                                          <w:szCs w:val="18"/>
                                        </w:rPr>
                                        <w:t>应急改进</w:t>
                                      </w:r>
                                    </w:p>
                                  </w:txbxContent>
                                </wps:txbx>
                                <wps:bodyPr upright="1"/>
                              </wps:wsp>
                            </wpg:grpSp>
                            <wpg:grpSp>
                              <wpg:cNvPr id="675" name="组合 675"/>
                              <wpg:cNvGrpSpPr/>
                              <wpg:grpSpPr>
                                <a:xfrm rot="10800000">
                                  <a:off x="0" y="226"/>
                                  <a:ext cx="540" cy="478"/>
                                  <a:chOff x="0" y="0"/>
                                  <a:chExt cx="540" cy="478"/>
                                </a:xfrm>
                              </wpg:grpSpPr>
                              <wps:wsp>
                                <wps:cNvPr id="672" name="直接连接符 672"/>
                                <wps:cNvCnPr/>
                                <wps:spPr>
                                  <a:xfrm flipH="1">
                                    <a:off x="0" y="478"/>
                                    <a:ext cx="540" cy="0"/>
                                  </a:xfrm>
                                  <a:prstGeom prst="line">
                                    <a:avLst/>
                                  </a:prstGeom>
                                  <a:ln w="9525" cap="flat" cmpd="sng">
                                    <a:solidFill>
                                      <a:srgbClr val="000000"/>
                                    </a:solidFill>
                                    <a:prstDash val="solid"/>
                                    <a:headEnd type="none" w="med" len="med"/>
                                    <a:tailEnd type="triangle" w="med" len="med"/>
                                  </a:ln>
                                </wps:spPr>
                                <wps:bodyPr/>
                              </wps:wsp>
                              <wps:wsp>
                                <wps:cNvPr id="673" name="直接连接符 673"/>
                                <wps:cNvCnPr/>
                                <wps:spPr>
                                  <a:xfrm flipH="1">
                                    <a:off x="0" y="0"/>
                                    <a:ext cx="540" cy="0"/>
                                  </a:xfrm>
                                  <a:prstGeom prst="line">
                                    <a:avLst/>
                                  </a:prstGeom>
                                  <a:ln w="9525" cap="flat" cmpd="sng">
                                    <a:solidFill>
                                      <a:srgbClr val="000000"/>
                                    </a:solidFill>
                                    <a:prstDash val="solid"/>
                                    <a:headEnd type="none" w="med" len="med"/>
                                    <a:tailEnd type="triangle" w="med" len="med"/>
                                  </a:ln>
                                </wps:spPr>
                                <wps:bodyPr/>
                              </wps:wsp>
                              <wps:wsp>
                                <wps:cNvPr id="674" name="直接连接符 674"/>
                                <wps:cNvCnPr/>
                                <wps:spPr>
                                  <a:xfrm flipV="1">
                                    <a:off x="540" y="10"/>
                                    <a:ext cx="0" cy="468"/>
                                  </a:xfrm>
                                  <a:prstGeom prst="line">
                                    <a:avLst/>
                                  </a:prstGeom>
                                  <a:ln w="9525" cap="flat" cmpd="sng">
                                    <a:solidFill>
                                      <a:srgbClr val="000000"/>
                                    </a:solidFill>
                                    <a:prstDash val="solid"/>
                                    <a:headEnd type="none" w="med" len="med"/>
                                    <a:tailEnd type="none" w="med" len="med"/>
                                  </a:ln>
                                </wps:spPr>
                                <wps:bodyPr/>
                              </wps:wsp>
                            </wpg:grpSp>
                          </wpg:grpSp>
                          <wps:wsp>
                            <wps:cNvPr id="677" name="直接连接符 677"/>
                            <wps:cNvCnPr/>
                            <wps:spPr>
                              <a:xfrm flipH="1">
                                <a:off x="1450" y="462"/>
                                <a:ext cx="540" cy="0"/>
                              </a:xfrm>
                              <a:prstGeom prst="line">
                                <a:avLst/>
                              </a:prstGeom>
                              <a:ln w="9525" cap="flat" cmpd="sng">
                                <a:solidFill>
                                  <a:srgbClr val="000000"/>
                                </a:solidFill>
                                <a:prstDash val="solid"/>
                                <a:headEnd type="none" w="med" len="med"/>
                                <a:tailEnd type="none" w="med" len="med"/>
                              </a:ln>
                            </wps:spPr>
                            <wps:bodyPr/>
                          </wps:wsp>
                        </wpg:grpSp>
                        <wps:wsp>
                          <wps:cNvPr id="679" name="直接连接符 679"/>
                          <wps:cNvCnPr/>
                          <wps:spPr>
                            <a:xfrm>
                              <a:off x="3226" y="682"/>
                              <a:ext cx="0" cy="580"/>
                            </a:xfrm>
                            <a:prstGeom prst="line">
                              <a:avLst/>
                            </a:prstGeom>
                            <a:ln w="9525" cap="flat" cmpd="sng">
                              <a:solidFill>
                                <a:srgbClr val="000000"/>
                              </a:solidFill>
                              <a:prstDash val="solid"/>
                              <a:headEnd type="none" w="med" len="med"/>
                              <a:tailEnd type="triangle" w="med" len="med"/>
                            </a:ln>
                          </wps:spPr>
                          <wps:bodyPr/>
                        </wps:wsp>
                      </wpg:grpSp>
                    </wpg:wgp>
                  </a:graphicData>
                </a:graphic>
              </wp:inline>
            </w:drawing>
          </mc:Choice>
          <mc:Fallback>
            <w:pict>
              <v:group id="_x0000_s1026" o:spid="_x0000_s1026" o:spt="203" style="height:468.35pt;width:366.4pt;" coordsize="6502,10494" o:gfxdata="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">
                <o:lock v:ext="edit" rotation="t" aspectratio="f"/>
                <v:shape id="_x0000_s1026" o:spid="_x0000_s1026" o:spt="3" type="#_x0000_t3" style="position:absolute;left:1800;top:0;height:624;width:2880;" fillcolor="#FFFFFF" filled="t" stroked="t" coordsize="21600,21600" o:gfxdata="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lvNg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adjustRightInd w:val="0"/>
                          <w:snapToGrid w:val="0"/>
                          <w:ind w:firstLine="266" w:firstLineChars="147"/>
                          <w:rPr>
                            <w:rFonts w:ascii="Arial" w:hAnsi="Arial" w:cs="Arial"/>
                            <w:b/>
                            <w:sz w:val="18"/>
                            <w:szCs w:val="18"/>
                          </w:rPr>
                        </w:pPr>
                        <w:r>
                          <w:rPr>
                            <w:rFonts w:ascii="Arial" w:hAnsi="宋体" w:cs="Arial"/>
                            <w:b/>
                            <w:sz w:val="18"/>
                            <w:szCs w:val="18"/>
                          </w:rPr>
                          <w:t>Ⅲ级环境污染事件</w:t>
                        </w:r>
                      </w:p>
                    </w:txbxContent>
                  </v:textbox>
                </v:shape>
                <v:line id="_x0000_s1026" o:spid="_x0000_s1026" o:spt="20" style="position:absolute;left:3240;top:624;height:624;width:0;" filled="f" stroked="t" coordsize="21600,21600" o:gfxdata="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Yxi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505;top:1248;height:468;width:1440;" fillcolor="#FFFFFF" filled="t" stroked="t" coordsize="21600,21600" o:gfxdata="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N3/H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车间负责人</w:t>
                        </w:r>
                      </w:p>
                    </w:txbxContent>
                  </v:textbox>
                </v:rect>
                <v:line id="_x0000_s1026" o:spid="_x0000_s1026" o:spt="20" style="position:absolute;left:3240;top:1716;height:624;width:0;" filled="f" stroked="t" coordsize="21600,21600" o:gfxdata="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3XP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875;top:2364;height:1114;width:2715;" fillcolor="#FFFFFF" filled="t" stroked="t" coordsize="21600,21600" o:gfxdata="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Cqe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2.54mm,0.3mm,2.54mm,0.3mm">
                    <w:txbxContent>
                      <w:p>
                        <w:pPr>
                          <w:adjustRightInd w:val="0"/>
                          <w:snapToGrid w:val="0"/>
                          <w:jc w:val="center"/>
                          <w:rPr>
                            <w:sz w:val="18"/>
                            <w:szCs w:val="18"/>
                          </w:rPr>
                        </w:pPr>
                        <w:r>
                          <w:rPr>
                            <w:sz w:val="18"/>
                            <w:szCs w:val="18"/>
                          </w:rPr>
                          <w:t>应急救援指挥部</w:t>
                        </w:r>
                      </w:p>
                      <w:p>
                        <w:pPr>
                          <w:adjustRightInd w:val="0"/>
                          <w:snapToGrid w:val="0"/>
                          <w:jc w:val="center"/>
                          <w:rPr>
                            <w:rFonts w:hint="eastAsia" w:eastAsia="宋体"/>
                            <w:sz w:val="18"/>
                            <w:szCs w:val="18"/>
                            <w:lang w:eastAsia="zh-CN"/>
                          </w:rPr>
                        </w:pPr>
                        <w:r>
                          <w:rPr>
                            <w:sz w:val="18"/>
                            <w:szCs w:val="18"/>
                          </w:rPr>
                          <w:t>联系人：</w:t>
                        </w:r>
                        <w:r>
                          <w:rPr>
                            <w:rFonts w:hint="eastAsia"/>
                            <w:sz w:val="18"/>
                            <w:szCs w:val="18"/>
                            <w:lang w:val="en-US" w:eastAsia="zh-CN"/>
                          </w:rPr>
                          <w:t>吴科飞</w:t>
                        </w:r>
                      </w:p>
                      <w:p>
                        <w:pPr>
                          <w:adjustRightInd w:val="0"/>
                          <w:snapToGrid w:val="0"/>
                          <w:jc w:val="center"/>
                          <w:rPr>
                            <w:sz w:val="18"/>
                            <w:szCs w:val="18"/>
                          </w:rPr>
                        </w:pPr>
                        <w:r>
                          <w:rPr>
                            <w:sz w:val="18"/>
                            <w:szCs w:val="18"/>
                          </w:rPr>
                          <w:t>联系电话：</w:t>
                        </w:r>
                        <w:r>
                          <w:rPr>
                            <w:rFonts w:hint="eastAsia"/>
                            <w:sz w:val="18"/>
                            <w:szCs w:val="18"/>
                          </w:rPr>
                          <w:t>18861865905</w:t>
                        </w:r>
                      </w:p>
                      <w:p>
                        <w:pPr>
                          <w:adjustRightInd w:val="0"/>
                          <w:snapToGrid w:val="0"/>
                          <w:jc w:val="center"/>
                        </w:pPr>
                      </w:p>
                    </w:txbxContent>
                  </v:textbox>
                </v:rect>
                <v:line id="_x0000_s1026" o:spid="_x0000_s1026" o:spt="20" style="position:absolute;left:3268;top:3492;flip:x;height:569;width:1;" filled="f" stroked="t" coordsize="21600,21600" o:gfxdata="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F2u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505;top:4056;height:468;width:1440;" fillcolor="#FFFFFF" filled="t" stroked="t" coordsize="21600,21600" o:gfxdata="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DHnE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应急启动</w:t>
                        </w:r>
                      </w:p>
                    </w:txbxContent>
                  </v:textbox>
                </v:rect>
                <v:line id="_x0000_s1026" o:spid="_x0000_s1026" o:spt="20" style="position:absolute;left:3240;top:4524;height:1248;width:0;" filled="f" stroked="t" coordsize="21600,21600" o:gfxdata="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MWv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506;top:5772;height:468;width:1440;" fillcolor="#FFFFFF" filled="t" stroked="t" coordsize="21600,21600" o:gfxdata="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JCK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救援行动</w:t>
                        </w:r>
                      </w:p>
                    </w:txbxContent>
                  </v:textbox>
                </v:rect>
                <v:shape id="_x0000_s1026" o:spid="_x0000_s1026" o:spt="3" type="#_x0000_t3" style="position:absolute;left:2835;top:4680;height:788;width:788;" fillcolor="#FFFFFF" filled="t" stroked="t" coordsize="21600,21600" o:gfxdata="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8nZ8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textbox inset="0mm,0mm,0mm,0mm">
                    <w:txbxContent>
                      <w:p>
                        <w:pPr>
                          <w:adjustRightInd w:val="0"/>
                          <w:snapToGrid w:val="0"/>
                          <w:jc w:val="center"/>
                          <w:rPr>
                            <w:rFonts w:ascii="Arial" w:hAnsi="宋体" w:cs="Arial"/>
                            <w:sz w:val="18"/>
                            <w:szCs w:val="18"/>
                          </w:rPr>
                        </w:pPr>
                        <w:r>
                          <w:rPr>
                            <w:rFonts w:ascii="Arial" w:hAnsi="宋体" w:cs="Arial"/>
                            <w:sz w:val="18"/>
                            <w:szCs w:val="18"/>
                          </w:rPr>
                          <w:t>车间</w:t>
                        </w:r>
                      </w:p>
                      <w:p>
                        <w:pPr>
                          <w:adjustRightInd w:val="0"/>
                          <w:snapToGrid w:val="0"/>
                          <w:jc w:val="center"/>
                          <w:rPr>
                            <w:rFonts w:ascii="Arial" w:hAnsi="Arial" w:cs="Arial"/>
                            <w:sz w:val="18"/>
                            <w:szCs w:val="18"/>
                          </w:rPr>
                        </w:pPr>
                        <w:r>
                          <w:rPr>
                            <w:rFonts w:ascii="Arial" w:hAnsi="宋体" w:cs="Arial"/>
                            <w:sz w:val="18"/>
                            <w:szCs w:val="18"/>
                          </w:rPr>
                          <w:t>自救</w:t>
                        </w:r>
                      </w:p>
                    </w:txbxContent>
                  </v:textbox>
                </v:shape>
                <v:line id="_x0000_s1026" o:spid="_x0000_s1026" o:spt="20" style="position:absolute;left:3240;top:6237;height:839;width:0;" filled="f" stroked="t" coordsize="21600,21600" o:gfxdata="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N9Wi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946;top:6012;flip:x;height:0;width:540;" filled="f" stroked="t" coordsize="21600,21600" o:gfxdata="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D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_x0000_s1026" o:spid="_x0000_s1026" o:spt="203" style="position:absolute;left:4476;top:5290;height:1404;width:1981;" coordsize="1981,1404" o:gfxdata="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s3EAvwAAANwAAAAPAAAAAAAAAAEAIAAAACIAAABkcnMvZG93bnJldi54&#10;bWxQSwECFAAUAAAACACHTuJAMy8FnjsAAAA5AAAAFQAAAAAAAAABACAAAAAOAQAAZHJzL2dyb3Vw&#10;c2hhcGV4bWwueG1sUEsFBgAAAAAGAAYAYAEAAMsDAAAAAA==&#10;">
                  <o:lock v:ext="edit" aspectratio="f"/>
                  <v:rect id="_x0000_s1026" o:spid="_x0000_s1026" o:spt="1" style="position:absolute;left:541;top:468;height:468;width:1440;" fillcolor="#FFFFFF" filled="t" stroked="t" coordsize="21600,21600" o:gfxdata="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MQy6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color w:val="auto"/>
                              <w:sz w:val="20"/>
                              <w:szCs w:val="20"/>
                            </w:rPr>
                          </w:pPr>
                          <w:r>
                            <w:rPr>
                              <w:rFonts w:hint="eastAsia" w:ascii="宋体" w:hAnsi="宋体" w:cs="宋体"/>
                              <w:color w:val="auto"/>
                              <w:sz w:val="20"/>
                              <w:szCs w:val="20"/>
                            </w:rPr>
                            <w:t>事故处理组</w:t>
                          </w:r>
                        </w:p>
                      </w:txbxContent>
                    </v:textbox>
                  </v:rect>
                  <v:rect id="_x0000_s1026" o:spid="_x0000_s1026" o:spt="1" style="position:absolute;left:541;top:936;height:468;width:1440;" fillcolor="#FFFFFF" filled="t" stroked="t" coordsize="21600,21600" o:gfxdata="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2pI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宋体" w:hAnsi="宋体" w:eastAsia="宋体" w:cs="宋体"/>
                              <w:color w:val="auto"/>
                              <w:sz w:val="20"/>
                              <w:szCs w:val="20"/>
                            </w:rPr>
                          </w:pPr>
                          <w:r>
                            <w:rPr>
                              <w:rFonts w:hint="eastAsia" w:ascii="宋体" w:hAnsi="宋体" w:eastAsia="宋体" w:cs="宋体"/>
                              <w:color w:val="auto"/>
                              <w:sz w:val="20"/>
                              <w:szCs w:val="20"/>
                            </w:rPr>
                            <w:t>后勤保障组</w:t>
                          </w:r>
                        </w:p>
                      </w:txbxContent>
                    </v:textbox>
                  </v:rect>
                  <v:rect id="_x0000_s1026" o:spid="_x0000_s1026" o:spt="1" style="position:absolute;left:541;top:0;height:468;width:1440;" fillcolor="#FFFFFF" filled="t" stroked="t" coordsize="21600,21600" o:gfxdata="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83V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宋体" w:eastAsia="宋体" w:cs="Arial"/>
                              <w:sz w:val="18"/>
                              <w:szCs w:val="18"/>
                            </w:rPr>
                          </w:pPr>
                          <w:r>
                            <w:rPr>
                              <w:rFonts w:hint="eastAsia" w:ascii="Arial" w:hAnsi="宋体" w:eastAsia="宋体" w:cs="Arial"/>
                              <w:sz w:val="18"/>
                              <w:szCs w:val="18"/>
                            </w:rPr>
                            <w:t>抢险灭火组</w:t>
                          </w:r>
                        </w:p>
                        <w:p>
                          <w:pPr>
                            <w:rPr>
                              <w:sz w:val="18"/>
                              <w:szCs w:val="18"/>
                            </w:rPr>
                          </w:pPr>
                        </w:p>
                      </w:txbxContent>
                    </v:textbox>
                  </v:rect>
                  <v:line id="_x0000_s1026" o:spid="_x0000_s1026" o:spt="20" style="position:absolute;left:0;top:716;flip:x;height:0;width:540;rotation:11796480f;" filled="f" stroked="t" coordsize="21600,21600" o:gfxdata="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NMOf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0;top:252;flip:y;height:926;width:0;rotation:11796480f;" filled="f" stroked="t" coordsize="21600,21600" o:gfxdata="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tlb+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0;top:242;flip:x;height:0;width:540;rotation:11796480f;" filled="f" stroked="t" coordsize="21600,21600" o:gfxdata="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H+c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0;top:1178;flip:x;height:0;width:540;rotation:11796480f;" filled="f" stroked="t" coordsize="21600,21600" o:gfxdata="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NgB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v:shape id="_x0000_s1026" o:spid="_x0000_s1026" o:spt="4" type="#_x0000_t4" style="position:absolute;left:2516;top:7050;height:1092;width:1440;" fillcolor="#FFFFFF" filled="t" stroked="t" coordsize="21600,21600" o:gfxdata="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GyJ6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inset="0mm,0mm,0mm,0mm">
                    <w:txbxContent>
                      <w:p>
                        <w:pPr>
                          <w:adjustRightInd w:val="0"/>
                          <w:snapToGrid w:val="0"/>
                          <w:jc w:val="center"/>
                          <w:rPr>
                            <w:rFonts w:ascii="Arial" w:hAnsi="Arial" w:cs="Arial"/>
                            <w:sz w:val="18"/>
                            <w:szCs w:val="18"/>
                          </w:rPr>
                        </w:pPr>
                        <w:r>
                          <w:rPr>
                            <w:rFonts w:ascii="Arial" w:hAnsi="宋体" w:cs="Arial"/>
                            <w:sz w:val="18"/>
                            <w:szCs w:val="18"/>
                          </w:rPr>
                          <w:t>事故</w:t>
                        </w:r>
                      </w:p>
                      <w:p>
                        <w:pPr>
                          <w:adjustRightInd w:val="0"/>
                          <w:snapToGrid w:val="0"/>
                          <w:jc w:val="center"/>
                          <w:rPr>
                            <w:rFonts w:ascii="Arial" w:hAnsi="Arial" w:cs="Arial"/>
                            <w:sz w:val="18"/>
                            <w:szCs w:val="18"/>
                          </w:rPr>
                        </w:pPr>
                        <w:r>
                          <w:rPr>
                            <w:rFonts w:ascii="Arial" w:hAnsi="宋体" w:cs="Arial"/>
                            <w:sz w:val="18"/>
                            <w:szCs w:val="18"/>
                          </w:rPr>
                          <w:t>控制</w:t>
                        </w:r>
                      </w:p>
                    </w:txbxContent>
                  </v:textbox>
                </v:shape>
                <v:line id="_x0000_s1026" o:spid="_x0000_s1026" o:spt="20" style="position:absolute;left:3226;top:8156;height:580;width:0;" filled="f" stroked="t" coordsize="21600,21600" o:gfxdata="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HI4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3124;top:8168;height:468;width:540;" filled="f" stroked="f" coordsize="21600,21600" o:gfxdata="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1fue8AAAA&#10;3AAAAA8AAAAAAAAAAQAgAAAAIgAAAGRycy9kb3ducmV2LnhtbFBLAQIUABQAAAAIAIdO4kAzLwWe&#10;OwAAADkAAAAQAAAAAAAAAAEAIAAAAAsBAABkcnMvc2hhcGV4bWwueG1sUEsFBgAAAAAGAAYAWwEA&#10;ALUDAAAAAA==&#10;">
                  <v:fill on="f" focussize="0,0"/>
                  <v:stroke on="f"/>
                  <v:imagedata o:title=""/>
                  <o:lock v:ext="edit" aspectratio="f"/>
                  <v:textbox>
                    <w:txbxContent>
                      <w:p>
                        <w:pPr>
                          <w:adjustRightInd w:val="0"/>
                          <w:snapToGrid w:val="0"/>
                          <w:jc w:val="center"/>
                          <w:rPr>
                            <w:rFonts w:eastAsia="仿宋_GB2312"/>
                            <w:sz w:val="18"/>
                            <w:szCs w:val="18"/>
                          </w:rPr>
                        </w:pPr>
                        <w:r>
                          <w:rPr>
                            <w:rFonts w:hint="eastAsia" w:eastAsia="仿宋_GB2312"/>
                            <w:sz w:val="18"/>
                            <w:szCs w:val="18"/>
                          </w:rPr>
                          <w:t>Y</w:t>
                        </w:r>
                      </w:p>
                    </w:txbxContent>
                  </v:textbox>
                </v:rect>
                <v:line id="_x0000_s1026" o:spid="_x0000_s1026" o:spt="20" style="position:absolute;left:1450;top:7602;flip:x;height:0;width:1071;" filled="f" stroked="t" coordsize="21600,21600" o:gfxdata="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Wte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422;top:5997;flip:x;height:0;width:1071;rotation:11796480f;" filled="f" stroked="t" coordsize="21600,21600" o:gfxdata="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Hw2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id="_x0000_s1026" o:spid="_x0000_s1026" o:spt="203" style="position:absolute;left:10;top:5772;height:2072;width:1440;" coordsize="1440,2072" o:gfxdata="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g9XOv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468;width:1440;" fillcolor="#FFFFFF" filled="t" stroked="t" coordsize="21600,21600" o:gfxdata="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OgQ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扩大应急</w:t>
                          </w:r>
                        </w:p>
                      </w:txbxContent>
                    </v:textbox>
                  </v:rect>
                  <v:group id="_x0000_s1026" o:spid="_x0000_s1026" o:spt="203" style="position:absolute;left:332;top:453;height:1179;width:788;" coordsize="788,1179" o:gfxdata="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iZCRr0AAADcAAAADwAAAAAAAAABACAAAAAiAAAAZHJzL2Rvd25yZXYueG1s&#10;UEsBAhQAFAAAAAgAh07iQDMvBZ47AAAAOQAAABUAAAAAAAAAAQAgAAAADAEAAGRycy9ncm91cHNo&#10;YXBleG1sLnhtbFBLBQYAAAAABgAGAGABAADJAwAAAAA=&#10;">
                    <o:lock v:ext="edit" aspectratio="f"/>
                    <v:line id="_x0000_s1026" o:spid="_x0000_s1026" o:spt="20" style="position:absolute;left:402;top:0;height:1179;width:0;rotation:11796480f;" filled="f" stroked="t" coordsize="21600,21600" o:gfxdata="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bBJ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_x0000_s1026" o:spid="_x0000_s1026" o:spt="3" type="#_x0000_t3" style="position:absolute;left:0;top:185;height:788;width:788;" fillcolor="#FFFFFF" filled="t" stroked="t" coordsize="21600,21600" o:gfxdata="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s6gwvQAA&#10;ANwAAAAPAAAAAAAAAAEAIAAAACIAAABkcnMvZG93bnJldi54bWxQSwECFAAUAAAACACHTuJAMy8F&#10;njsAAAA5AAAAEAAAAAAAAAABACAAAAAMAQAAZHJzL3NoYXBleG1sLnhtbFBLBQYAAAAABgAGAFsB&#10;AAC2AwAAAAA=&#10;">
                      <v:fill on="t" focussize="0,0"/>
                      <v:stroke color="#000000" joinstyle="round"/>
                      <v:imagedata o:title=""/>
                      <o:lock v:ext="edit" aspectratio="t"/>
                      <v:textbox inset="0mm,0mm,0mm,0mm">
                        <w:txbxContent>
                          <w:p>
                            <w:pPr>
                              <w:adjustRightInd w:val="0"/>
                              <w:snapToGrid w:val="0"/>
                              <w:jc w:val="center"/>
                              <w:rPr>
                                <w:rFonts w:ascii="Arial" w:hAnsi="宋体" w:cs="Arial"/>
                                <w:sz w:val="18"/>
                                <w:szCs w:val="18"/>
                              </w:rPr>
                            </w:pPr>
                            <w:r>
                              <w:rPr>
                                <w:rFonts w:ascii="Arial" w:hAnsi="宋体" w:cs="Arial"/>
                                <w:sz w:val="18"/>
                                <w:szCs w:val="18"/>
                              </w:rPr>
                              <w:t>内部</w:t>
                            </w:r>
                          </w:p>
                          <w:p>
                            <w:pPr>
                              <w:adjustRightInd w:val="0"/>
                              <w:snapToGrid w:val="0"/>
                              <w:jc w:val="center"/>
                              <w:rPr>
                                <w:rFonts w:ascii="Arial" w:hAnsi="Arial" w:cs="Arial"/>
                                <w:sz w:val="18"/>
                                <w:szCs w:val="18"/>
                              </w:rPr>
                            </w:pPr>
                            <w:r>
                              <w:rPr>
                                <w:rFonts w:ascii="Arial" w:hAnsi="宋体" w:cs="Arial"/>
                                <w:sz w:val="18"/>
                                <w:szCs w:val="18"/>
                              </w:rPr>
                              <w:t>力量</w:t>
                            </w:r>
                          </w:p>
                        </w:txbxContent>
                      </v:textbox>
                    </v:shape>
                  </v:group>
                  <v:rect id="_x0000_s1026" o:spid="_x0000_s1026" o:spt="1" style="position:absolute;left:0;top:1604;height:468;width:1440;" fillcolor="#FFFFFF" filled="t" stroked="t" coordsize="21600,21600" o:gfxdata="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ECE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申请救援</w:t>
                          </w:r>
                        </w:p>
                      </w:txbxContent>
                    </v:textbox>
                  </v:rect>
                </v:group>
                <v:rect id="_x0000_s1026" o:spid="_x0000_s1026" o:spt="1" style="position:absolute;left:1740;top:7248;height:468;width:540;" filled="f" stroked="f" coordsize="21600,21600" o:gfxdata="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D9d6&#10;wAAAANwAAAAPAAAAAAAAAAEAIAAAACIAAABkcnMvZG93bnJldi54bWxQSwECFAAUAAAACACHTuJA&#10;My8FnjsAAAA5AAAAEAAAAAAAAAABACAAAAAPAQAAZHJzL3NoYXBleG1sLnhtbFBLBQYAAAAABgAG&#10;AFsBAAC5AwAAAAA=&#10;">
                  <v:fill on="f" focussize="0,0"/>
                  <v:stroke on="f"/>
                  <v:imagedata o:title=""/>
                  <o:lock v:ext="edit" aspectratio="f"/>
                  <v:textbox>
                    <w:txbxContent>
                      <w:p>
                        <w:pPr>
                          <w:adjustRightInd w:val="0"/>
                          <w:snapToGrid w:val="0"/>
                          <w:jc w:val="center"/>
                          <w:rPr>
                            <w:rFonts w:eastAsia="仿宋_GB2312"/>
                            <w:sz w:val="18"/>
                            <w:szCs w:val="18"/>
                          </w:rPr>
                        </w:pPr>
                        <w:r>
                          <w:rPr>
                            <w:rFonts w:hint="eastAsia" w:eastAsia="仿宋_GB2312"/>
                            <w:sz w:val="18"/>
                            <w:szCs w:val="18"/>
                          </w:rPr>
                          <w:t>N</w:t>
                        </w:r>
                      </w:p>
                    </w:txbxContent>
                  </v:textbox>
                </v:rect>
                <v:group id="_x0000_s1026" o:spid="_x0000_s1026" o:spt="203" style="position:absolute;left:0;top:8522;height:1972;width:6502;" coordsize="6502,1972" o:gfxdata="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IONT7roAAADcAAAADwAAAAAAAAABACAAAAAiAAAAZHJzL2Rvd25yZXYueG1sUEsB&#10;AhQAFAAAAAgAh07iQDMvBZ47AAAAOQAAABUAAAAAAAAAAQAgAAAACQEAAGRycy9ncm91cHNoYXBl&#10;eG1sLnhtbFBLBQYAAAAABgAGAGABAADGAwAAAAA=&#10;">
                  <o:lock v:ext="edit" aspectratio="f"/>
                  <v:line id="_x0000_s1026" o:spid="_x0000_s1026" o:spt="20" style="position:absolute;left:1980;top:473;flip:x;height:0;width:540;" filled="f" stroked="t" coordsize="21600,21600" o:gfxdata="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tkWz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0;top:0;height:936;width:1980;" coordsize="1980,936" o:gfxdata="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wSoj7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468;width:1440;" fillcolor="#FFFFFF" filled="t" stroked="t" coordsize="21600,21600" o:gfxdata="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yPVB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现场清理</w:t>
                            </w:r>
                          </w:p>
                        </w:txbxContent>
                      </v:textbox>
                    </v:rect>
                    <v:rect id="_x0000_s1026" o:spid="_x0000_s1026" o:spt="1" style="position:absolute;left:0;top:468;height:468;width:1440;" fillcolor="#FFFFFF" filled="t" stroked="t" coordsize="21600,21600" o:gfxdata="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ms2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事故调查</w:t>
                            </w:r>
                          </w:p>
                          <w:p>
                            <w:pPr>
                              <w:adjustRightInd w:val="0"/>
                              <w:snapToGrid w:val="0"/>
                              <w:rPr>
                                <w:rFonts w:ascii="Arial" w:hAnsi="Arial" w:cs="Arial"/>
                                <w:sz w:val="18"/>
                                <w:szCs w:val="18"/>
                              </w:rPr>
                            </w:pPr>
                          </w:p>
                        </w:txbxContent>
                      </v:textbox>
                    </v:rect>
                    <v:line id="_x0000_s1026" o:spid="_x0000_s1026" o:spt="20" style="position:absolute;left:1980;top:254;flip:y;height:454;width:0;" filled="f" stroked="t" coordsize="21600,21600" o:gfxdata="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Tbx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440;top:718;flip:x;height:0;width:540;" filled="f" stroked="t" coordsize="21600,21600" o:gfxdata="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TdzA&#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1440;top:240;flip:x;height:0;width:540;" filled="f" stroked="t" coordsize="21600,21600" o:gfxdata="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AXl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v:rect id="_x0000_s1026" o:spid="_x0000_s1026" o:spt="1" style="position:absolute;left:2506;top:228;height:468;width:1440;" fillcolor="#FFFFFF" filled="t" stroked="t" coordsize="21600,21600" o:gfxdata="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3Ir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应急恢复</w:t>
                          </w:r>
                        </w:p>
                      </w:txbxContent>
                    </v:textbox>
                  </v:rect>
                  <v:group id="_x0000_s1026" o:spid="_x0000_s1026" o:spt="203" style="position:absolute;left:2506;top:1036;height:936;width:3996;" coordsize="3996,936" o:gfxdata="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QC/P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26;height:468;width:1440;" fillcolor="#FFFFFF" filled="t" stroked="t" coordsize="21600,21600" o:gfxdata="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8lzc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应急结束</w:t>
                            </w:r>
                          </w:p>
                        </w:txbxContent>
                      </v:textbox>
                    </v:rect>
                    <v:group id="_x0000_s1026" o:spid="_x0000_s1026" o:spt="203" style="position:absolute;left:2012;top:0;height:936;width:1984;" coordsize="1984,936" o:gfxdata="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ZMeJs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544;top:0;height:936;width:1440;" coordsize="1440,936" o:gfxdata="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6eoZS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468;width:1440;" fillcolor="#FFFFFF" filled="t" stroked="t" coordsize="21600,21600" o:gfxdata="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vlH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总结上报</w:t>
                                </w:r>
                              </w:p>
                            </w:txbxContent>
                          </v:textbox>
                        </v:rect>
                        <v:rect id="_x0000_s1026" o:spid="_x0000_s1026" o:spt="1" style="position:absolute;left:0;top:468;height:468;width:1440;" fillcolor="#FFFFFF" filled="t" stroked="t" coordsize="21600,21600" o:gfxdata="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XcYH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adjustRightInd w:val="0"/>
                                  <w:snapToGrid w:val="0"/>
                                  <w:jc w:val="center"/>
                                  <w:rPr>
                                    <w:rFonts w:ascii="Arial" w:hAnsi="Arial" w:cs="Arial"/>
                                    <w:sz w:val="18"/>
                                    <w:szCs w:val="18"/>
                                  </w:rPr>
                                </w:pPr>
                                <w:r>
                                  <w:rPr>
                                    <w:rFonts w:ascii="Arial" w:hAnsi="宋体" w:cs="Arial"/>
                                    <w:sz w:val="18"/>
                                    <w:szCs w:val="18"/>
                                  </w:rPr>
                                  <w:t>应急改进</w:t>
                                </w:r>
                              </w:p>
                            </w:txbxContent>
                          </v:textbox>
                        </v:rect>
                      </v:group>
                      <v:group id="_x0000_s1026" o:spid="_x0000_s1026" o:spt="203" style="position:absolute;left:0;top:226;height:478;width:540;rotation:11796480f;" coordsize="540,478" o:gfxdata="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2kIm2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0;top:478;flip:x;height:0;width:540;" filled="f" stroked="t" coordsize="21600,21600" o:gfxdata="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MXf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0;top:0;flip:x;height:0;width:540;" filled="f" stroked="t" coordsize="21600,21600" o:gfxdata="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fdJp&#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540;top:10;flip:y;height:468;width:0;" filled="f" stroked="t" coordsize="21600,21600" o:gfxdata="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TVb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v:line id="_x0000_s1026" o:spid="_x0000_s1026" o:spt="20" style="position:absolute;left:1450;top:462;flip:x;height:0;width:540;" filled="f" stroked="t" coordsize="21600,21600" o:gfxdata="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4ZLG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_x0000_s1026" o:spid="_x0000_s1026" o:spt="20" style="position:absolute;left:3226;top:682;height:580;width:0;" filled="f" stroked="t" coordsize="21600,21600" o:gfxdata="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K+kz&#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group>
                <w10:wrap type="none"/>
                <w10:anchorlock/>
              </v:group>
            </w:pict>
          </mc:Fallback>
        </mc:AlternateContent>
      </w:r>
    </w:p>
    <w:p>
      <w:pPr>
        <w:pStyle w:val="29"/>
        <w:ind w:firstLine="482"/>
        <w:jc w:val="center"/>
        <w:rPr>
          <w:rFonts w:ascii="Times New Roman" w:hAnsi="Times New Roman"/>
          <w:b/>
          <w:bCs w:val="0"/>
          <w:color w:val="auto"/>
          <w:highlight w:val="none"/>
          <w:lang w:val="zh-CN"/>
        </w:rPr>
      </w:pPr>
      <w:r>
        <w:rPr>
          <w:rFonts w:ascii="Times New Roman" w:hAnsi="Times New Roman"/>
          <w:b/>
          <w:bCs w:val="0"/>
          <w:color w:val="auto"/>
          <w:highlight w:val="none"/>
          <w:lang w:val="zh-CN"/>
        </w:rPr>
        <w:t>图</w:t>
      </w:r>
      <w:r>
        <w:rPr>
          <w:rFonts w:ascii="Times New Roman" w:hAnsi="Times New Roman"/>
          <w:b/>
          <w:bCs w:val="0"/>
          <w:color w:val="auto"/>
          <w:highlight w:val="none"/>
        </w:rPr>
        <w:t>6.3</w:t>
      </w:r>
      <w:r>
        <w:rPr>
          <w:rFonts w:ascii="Times New Roman" w:hAnsi="Times New Roman"/>
          <w:b/>
          <w:bCs w:val="0"/>
          <w:color w:val="auto"/>
          <w:highlight w:val="none"/>
          <w:lang w:val="zh-CN"/>
        </w:rPr>
        <w:t>-</w:t>
      </w:r>
      <w:r>
        <w:rPr>
          <w:rFonts w:ascii="Times New Roman" w:hAnsi="Times New Roman"/>
          <w:b/>
          <w:bCs w:val="0"/>
          <w:color w:val="auto"/>
          <w:highlight w:val="none"/>
        </w:rPr>
        <w:t>3</w:t>
      </w:r>
      <w:r>
        <w:rPr>
          <w:rFonts w:ascii="Times New Roman" w:hAnsi="Times New Roman"/>
          <w:b/>
          <w:bCs w:val="0"/>
          <w:color w:val="auto"/>
          <w:highlight w:val="none"/>
          <w:lang w:val="zh-CN"/>
        </w:rPr>
        <w:t xml:space="preserve">  Ⅲ级环境污染事件应急响应流程图</w:t>
      </w:r>
    </w:p>
    <w:p>
      <w:pPr>
        <w:pStyle w:val="6"/>
        <w:rPr>
          <w:color w:val="auto"/>
          <w:highlight w:val="none"/>
        </w:rPr>
      </w:pPr>
      <w:bookmarkStart w:id="136" w:name="_Toc28103272"/>
      <w:bookmarkStart w:id="137" w:name="_Toc273391340"/>
      <w:bookmarkStart w:id="138" w:name="_Toc273391664"/>
      <w:r>
        <w:rPr>
          <w:color w:val="auto"/>
          <w:highlight w:val="none"/>
        </w:rPr>
        <w:t>6.3.2 与上级应急预案的衔接</w:t>
      </w:r>
      <w:bookmarkEnd w:id="136"/>
    </w:p>
    <w:p>
      <w:pPr>
        <w:pStyle w:val="29"/>
        <w:rPr>
          <w:rFonts w:ascii="Times New Roman" w:hAnsi="Times New Roman"/>
          <w:color w:val="auto"/>
          <w:kern w:val="0"/>
          <w:highlight w:val="none"/>
        </w:rPr>
      </w:pPr>
      <w:r>
        <w:rPr>
          <w:rFonts w:ascii="Times New Roman" w:hAnsi="Times New Roman"/>
          <w:color w:val="auto"/>
          <w:kern w:val="0"/>
          <w:highlight w:val="none"/>
        </w:rPr>
        <w:t>厂内事故相应主要分为三级，</w:t>
      </w:r>
      <w:r>
        <w:rPr>
          <w:rFonts w:ascii="Times New Roman" w:hAnsi="Times New Roman"/>
          <w:color w:val="auto"/>
          <w:highlight w:val="none"/>
          <w:lang w:val="zh-CN"/>
        </w:rPr>
        <w:t>当公司出现Ⅲ级事故，</w:t>
      </w:r>
      <w:r>
        <w:rPr>
          <w:rFonts w:ascii="Times New Roman" w:hAnsi="Times New Roman"/>
          <w:color w:val="auto"/>
          <w:kern w:val="0"/>
          <w:highlight w:val="none"/>
        </w:rPr>
        <w:t>如</w:t>
      </w:r>
      <w:r>
        <w:rPr>
          <w:rFonts w:hint="eastAsia" w:ascii="Times New Roman" w:hAnsi="Times New Roman"/>
          <w:color w:val="auto"/>
          <w:kern w:val="0"/>
          <w:highlight w:val="none"/>
          <w:lang w:val="en-US" w:eastAsia="zh-CN"/>
        </w:rPr>
        <w:t>危废仓库、酸性库</w:t>
      </w:r>
      <w:r>
        <w:rPr>
          <w:rFonts w:ascii="Times New Roman" w:hAnsi="Times New Roman"/>
          <w:color w:val="auto"/>
          <w:kern w:val="0"/>
          <w:highlight w:val="none"/>
        </w:rPr>
        <w:t>和</w:t>
      </w:r>
      <w:r>
        <w:rPr>
          <w:rFonts w:hint="eastAsia" w:ascii="Times New Roman" w:hAnsi="Times New Roman"/>
          <w:color w:val="auto"/>
          <w:kern w:val="0"/>
          <w:highlight w:val="none"/>
          <w:lang w:val="en-US" w:eastAsia="zh-CN"/>
        </w:rPr>
        <w:t>生产</w:t>
      </w:r>
      <w:r>
        <w:rPr>
          <w:rFonts w:ascii="Times New Roman" w:hAnsi="Times New Roman"/>
          <w:color w:val="auto"/>
          <w:kern w:val="0"/>
          <w:highlight w:val="none"/>
        </w:rPr>
        <w:t>车间</w:t>
      </w:r>
      <w:r>
        <w:rPr>
          <w:rFonts w:hint="eastAsia" w:ascii="Times New Roman" w:hAnsi="Times New Roman"/>
          <w:color w:val="auto"/>
          <w:kern w:val="0"/>
          <w:highlight w:val="none"/>
          <w:lang w:eastAsia="zh-CN"/>
        </w:rPr>
        <w:t>（</w:t>
      </w:r>
      <w:r>
        <w:rPr>
          <w:rFonts w:hint="eastAsia" w:ascii="Times New Roman" w:hAnsi="Times New Roman"/>
          <w:color w:val="auto"/>
          <w:kern w:val="0"/>
          <w:highlight w:val="none"/>
          <w:lang w:val="en-US" w:eastAsia="zh-CN"/>
        </w:rPr>
        <w:t>电镀线、清洗线</w:t>
      </w:r>
      <w:r>
        <w:rPr>
          <w:rFonts w:hint="eastAsia" w:ascii="Times New Roman" w:hAnsi="Times New Roman"/>
          <w:color w:val="auto"/>
          <w:kern w:val="0"/>
          <w:highlight w:val="none"/>
          <w:lang w:eastAsia="zh-CN"/>
        </w:rPr>
        <w:t>）</w:t>
      </w:r>
      <w:r>
        <w:rPr>
          <w:rFonts w:ascii="Times New Roman" w:hAnsi="Times New Roman"/>
          <w:color w:val="auto"/>
          <w:kern w:val="0"/>
          <w:highlight w:val="none"/>
        </w:rPr>
        <w:t>等区域发生化学品泄漏事故等，在事故未扩大，未对外环境造成影响的前提下，启动公司车间级应急预案；</w:t>
      </w:r>
    </w:p>
    <w:p>
      <w:pPr>
        <w:pStyle w:val="29"/>
        <w:rPr>
          <w:rFonts w:ascii="Times New Roman" w:hAnsi="Times New Roman"/>
          <w:color w:val="auto"/>
          <w:kern w:val="0"/>
          <w:highlight w:val="none"/>
        </w:rPr>
      </w:pPr>
      <w:r>
        <w:rPr>
          <w:rFonts w:ascii="Times New Roman" w:hAnsi="Times New Roman"/>
          <w:color w:val="auto"/>
          <w:kern w:val="0"/>
          <w:highlight w:val="none"/>
        </w:rPr>
        <w:t>当</w:t>
      </w:r>
      <w:r>
        <w:rPr>
          <w:rFonts w:hint="eastAsia" w:ascii="Times New Roman" w:hAnsi="Times New Roman"/>
          <w:color w:val="auto"/>
          <w:kern w:val="0"/>
          <w:highlight w:val="none"/>
          <w:lang w:val="en-US" w:eastAsia="zh-CN"/>
        </w:rPr>
        <w:t>危废仓库</w:t>
      </w:r>
      <w:r>
        <w:rPr>
          <w:rFonts w:ascii="Times New Roman" w:hAnsi="Times New Roman"/>
          <w:color w:val="auto"/>
          <w:kern w:val="0"/>
          <w:highlight w:val="none"/>
        </w:rPr>
        <w:t>发生火灾事故等Ⅱ级事故，事故可能对外环境造成一定影响，未对外环境造成影响的前提下，启动公司应急预案，最终将事故报惠山区备案即可，无需启动惠山区突发环境事件应急预案</w:t>
      </w:r>
      <w:r>
        <w:rPr>
          <w:rFonts w:hint="eastAsia" w:ascii="Times New Roman" w:hAnsi="Times New Roman"/>
          <w:color w:val="auto"/>
          <w:kern w:val="0"/>
          <w:highlight w:val="none"/>
        </w:rPr>
        <w:t>；</w:t>
      </w:r>
    </w:p>
    <w:p>
      <w:pPr>
        <w:pStyle w:val="29"/>
        <w:rPr>
          <w:rFonts w:ascii="Times New Roman" w:hAnsi="Times New Roman"/>
          <w:color w:val="auto"/>
          <w:kern w:val="0"/>
          <w:highlight w:val="none"/>
        </w:rPr>
      </w:pPr>
      <w:r>
        <w:rPr>
          <w:rFonts w:ascii="Times New Roman" w:hAnsi="Times New Roman"/>
          <w:color w:val="auto"/>
          <w:kern w:val="0"/>
          <w:highlight w:val="none"/>
        </w:rPr>
        <w:t>当</w:t>
      </w:r>
      <w:r>
        <w:rPr>
          <w:rFonts w:hint="eastAsia" w:ascii="Times New Roman" w:hAnsi="Times New Roman"/>
          <w:color w:val="auto"/>
          <w:kern w:val="0"/>
          <w:highlight w:val="none"/>
          <w:lang w:val="en-US" w:eastAsia="zh-CN"/>
        </w:rPr>
        <w:t>生产</w:t>
      </w:r>
      <w:r>
        <w:rPr>
          <w:rFonts w:ascii="Times New Roman" w:hAnsi="Times New Roman"/>
          <w:color w:val="auto"/>
          <w:kern w:val="0"/>
          <w:highlight w:val="none"/>
        </w:rPr>
        <w:t>车间</w:t>
      </w:r>
      <w:r>
        <w:rPr>
          <w:rFonts w:hint="eastAsia" w:ascii="Times New Roman" w:hAnsi="Times New Roman"/>
          <w:color w:val="auto"/>
          <w:kern w:val="0"/>
          <w:highlight w:val="none"/>
          <w:lang w:eastAsia="zh-CN"/>
        </w:rPr>
        <w:t>（</w:t>
      </w:r>
      <w:r>
        <w:rPr>
          <w:rFonts w:hint="eastAsia" w:ascii="Times New Roman" w:hAnsi="Times New Roman"/>
          <w:color w:val="auto"/>
          <w:kern w:val="0"/>
          <w:highlight w:val="none"/>
          <w:lang w:val="en-US" w:eastAsia="zh-CN"/>
        </w:rPr>
        <w:t>电镀线、清洗线</w:t>
      </w:r>
      <w:r>
        <w:rPr>
          <w:rFonts w:hint="eastAsia" w:ascii="Times New Roman" w:hAnsi="Times New Roman"/>
          <w:color w:val="auto"/>
          <w:kern w:val="0"/>
          <w:highlight w:val="none"/>
          <w:lang w:eastAsia="zh-CN"/>
        </w:rPr>
        <w:t>）</w:t>
      </w:r>
      <w:r>
        <w:rPr>
          <w:rFonts w:hint="eastAsia" w:ascii="Times New Roman" w:hAnsi="Times New Roman"/>
          <w:color w:val="auto"/>
          <w:kern w:val="0"/>
          <w:highlight w:val="none"/>
          <w:lang w:val="en-US" w:eastAsia="zh-CN"/>
        </w:rPr>
        <w:t>发生槽体泄漏</w:t>
      </w:r>
      <w:r>
        <w:rPr>
          <w:rFonts w:ascii="Times New Roman" w:hAnsi="Times New Roman"/>
          <w:color w:val="auto"/>
          <w:kern w:val="0"/>
          <w:highlight w:val="none"/>
        </w:rPr>
        <w:t>，废水处理</w:t>
      </w:r>
      <w:r>
        <w:rPr>
          <w:rFonts w:hint="eastAsia" w:ascii="Times New Roman" w:hAnsi="Times New Roman"/>
          <w:color w:val="auto"/>
          <w:kern w:val="0"/>
          <w:highlight w:val="none"/>
          <w:lang w:val="en-US" w:eastAsia="zh-CN"/>
        </w:rPr>
        <w:t>设施</w:t>
      </w:r>
      <w:r>
        <w:rPr>
          <w:rFonts w:ascii="Times New Roman" w:hAnsi="Times New Roman"/>
          <w:color w:val="auto"/>
          <w:kern w:val="0"/>
          <w:highlight w:val="none"/>
        </w:rPr>
        <w:t>发生故障出现的环境</w:t>
      </w:r>
      <w:r>
        <w:rPr>
          <w:rFonts w:ascii="Times New Roman" w:hAnsi="Times New Roman"/>
          <w:color w:val="auto"/>
          <w:kern w:val="0"/>
          <w:sz w:val="24"/>
          <w:szCs w:val="24"/>
          <w:highlight w:val="none"/>
        </w:rPr>
        <w:t>污染事故等Ⅰ级事故，事故可能对外环境造成一定影响，同时公司现有应急能力无法满足应急处理要求的情况下，立即启动</w:t>
      </w:r>
      <w:r>
        <w:rPr>
          <w:rFonts w:hint="eastAsia"/>
          <w:color w:val="auto"/>
          <w:sz w:val="24"/>
          <w:szCs w:val="24"/>
          <w:highlight w:val="none"/>
        </w:rPr>
        <w:t>无锡金属表面处理科技工业园</w:t>
      </w:r>
      <w:r>
        <w:rPr>
          <w:rFonts w:hint="eastAsia"/>
          <w:color w:val="auto"/>
          <w:sz w:val="24"/>
          <w:szCs w:val="24"/>
          <w:highlight w:val="none"/>
          <w:lang w:val="en-US" w:eastAsia="zh-CN"/>
        </w:rPr>
        <w:t>区</w:t>
      </w:r>
      <w:r>
        <w:rPr>
          <w:rFonts w:ascii="Times New Roman" w:hAnsi="Times New Roman"/>
          <w:color w:val="auto"/>
          <w:kern w:val="0"/>
          <w:sz w:val="24"/>
          <w:szCs w:val="24"/>
          <w:highlight w:val="none"/>
        </w:rPr>
        <w:t>突发环境事件应急预案，将指挥权移交给</w:t>
      </w:r>
      <w:r>
        <w:rPr>
          <w:rFonts w:hint="eastAsia"/>
          <w:color w:val="auto"/>
          <w:sz w:val="24"/>
          <w:szCs w:val="24"/>
          <w:highlight w:val="none"/>
        </w:rPr>
        <w:t>无锡金属表面处理科技工业园</w:t>
      </w:r>
      <w:r>
        <w:rPr>
          <w:rFonts w:hint="eastAsia"/>
          <w:color w:val="auto"/>
          <w:sz w:val="24"/>
          <w:szCs w:val="24"/>
          <w:highlight w:val="none"/>
          <w:lang w:val="en-US" w:eastAsia="zh-CN"/>
        </w:rPr>
        <w:t>区</w:t>
      </w:r>
      <w:r>
        <w:rPr>
          <w:rFonts w:ascii="Times New Roman" w:hAnsi="Times New Roman"/>
          <w:color w:val="auto"/>
          <w:kern w:val="0"/>
          <w:sz w:val="24"/>
          <w:szCs w:val="24"/>
          <w:highlight w:val="none"/>
        </w:rPr>
        <w:t>，由</w:t>
      </w:r>
      <w:r>
        <w:rPr>
          <w:rFonts w:hint="eastAsia"/>
          <w:color w:val="auto"/>
          <w:sz w:val="24"/>
          <w:szCs w:val="24"/>
          <w:highlight w:val="none"/>
        </w:rPr>
        <w:t>无锡金属表面处理科技工业园</w:t>
      </w:r>
      <w:r>
        <w:rPr>
          <w:rFonts w:hint="eastAsia"/>
          <w:color w:val="auto"/>
          <w:sz w:val="24"/>
          <w:szCs w:val="24"/>
          <w:highlight w:val="none"/>
          <w:lang w:val="en-US" w:eastAsia="zh-CN"/>
        </w:rPr>
        <w:t>区</w:t>
      </w:r>
      <w:r>
        <w:rPr>
          <w:rFonts w:ascii="Times New Roman" w:hAnsi="Times New Roman"/>
          <w:color w:val="auto"/>
          <w:kern w:val="0"/>
          <w:sz w:val="24"/>
          <w:szCs w:val="24"/>
          <w:highlight w:val="none"/>
        </w:rPr>
        <w:t>进一步采取措施进行管控</w:t>
      </w:r>
      <w:r>
        <w:rPr>
          <w:rFonts w:hint="eastAsia" w:ascii="Times New Roman" w:hAnsi="Times New Roman"/>
          <w:color w:val="auto"/>
          <w:kern w:val="0"/>
          <w:sz w:val="24"/>
          <w:szCs w:val="24"/>
          <w:highlight w:val="none"/>
        </w:rPr>
        <w:t>。</w:t>
      </w:r>
    </w:p>
    <w:p>
      <w:pPr>
        <w:pStyle w:val="5"/>
        <w:rPr>
          <w:color w:val="auto"/>
          <w:highlight w:val="none"/>
        </w:rPr>
      </w:pPr>
      <w:bookmarkStart w:id="139" w:name="_Toc28103273"/>
      <w:bookmarkStart w:id="140" w:name="_Toc7512"/>
      <w:r>
        <w:rPr>
          <w:color w:val="auto"/>
          <w:highlight w:val="none"/>
        </w:rPr>
        <w:t>6.4 应急</w:t>
      </w:r>
      <w:bookmarkEnd w:id="137"/>
      <w:bookmarkEnd w:id="138"/>
      <w:bookmarkEnd w:id="139"/>
      <w:r>
        <w:rPr>
          <w:color w:val="auto"/>
          <w:highlight w:val="none"/>
        </w:rPr>
        <w:t>处置</w:t>
      </w:r>
      <w:bookmarkEnd w:id="140"/>
    </w:p>
    <w:p>
      <w:pPr>
        <w:pStyle w:val="6"/>
        <w:rPr>
          <w:color w:val="auto"/>
          <w:highlight w:val="none"/>
        </w:rPr>
      </w:pPr>
      <w:bookmarkStart w:id="141" w:name="_Toc28103274"/>
      <w:r>
        <w:rPr>
          <w:color w:val="auto"/>
          <w:highlight w:val="none"/>
        </w:rPr>
        <w:t>6.4.1 突发环境事件现场应急</w:t>
      </w:r>
      <w:bookmarkEnd w:id="141"/>
      <w:r>
        <w:rPr>
          <w:color w:val="auto"/>
          <w:highlight w:val="none"/>
        </w:rPr>
        <w:t>处置</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大多数火灾都是从小到大，由弱到强。在生产过程中，初起火灾的发现和扑救，意义重大。生产操作人员（或现场人员）一旦发现火情，根据火势大小应果断采取措施；如果是小火，应使用就近配备的一定数量的灭火器材及时扑灭（干粉灭火器：拉掉</w:t>
      </w:r>
      <w:r>
        <w:rPr>
          <w:rFonts w:hint="eastAsia"/>
          <w:color w:val="auto"/>
          <w:kern w:val="0"/>
          <w:szCs w:val="28"/>
          <w:highlight w:val="none"/>
        </w:rPr>
        <w:t>插销</w:t>
      </w:r>
      <w:r>
        <w:rPr>
          <w:color w:val="auto"/>
          <w:kern w:val="0"/>
          <w:szCs w:val="28"/>
          <w:highlight w:val="none"/>
        </w:rPr>
        <w:t>，压下压把对准火源喷出）；如果火势不能扑灭，火势扩展速度快不能有效控制（或发生大火）时，应立即拨打消防报警电话119报警，并通知应急救援指挥部。视情况尽量扑救，为专业消防队伍赶到现场扑救赢得时间。操作人员或现场人员应立即进行紧急停车处理。</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发生爆炸事故时，当班操作人员或现场人员应采取自救互救措施，无人员受伤时，采取自救，可使用湿毛巾或逆风脱离现场；有人员受伤时，采取互救，使用湿毛巾协助受伤人员逆风脱离现场，脱离现场后</w:t>
      </w:r>
      <w:r>
        <w:rPr>
          <w:rFonts w:hint="eastAsia"/>
          <w:color w:val="auto"/>
          <w:kern w:val="0"/>
          <w:szCs w:val="28"/>
          <w:highlight w:val="none"/>
        </w:rPr>
        <w:t>如有</w:t>
      </w:r>
      <w:r>
        <w:rPr>
          <w:color w:val="auto"/>
          <w:kern w:val="0"/>
          <w:szCs w:val="28"/>
          <w:highlight w:val="none"/>
        </w:rPr>
        <w:t>必要采取人工呼吸等急救措施，同时向应急救援指挥部、消防队报警。</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当发生重大火灾事故或环境污染事故时，由最高应急指挥部实施紧急疏散、撤离计划。事故区域所有员工必须执行紧急疏散、撤离命令。应急指挥组应立即设立警戒区域，指导警戒区内的员工有序的离开。当员工接到紧急撤离命令后，应对生产装置进行紧急停车，并对物料进行安全处置无危险后，方可撤离岗位到指定地点进行集合。</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员工在撤离过程中，应戴好防毒面具，在无防毒面具的情况下，不能剧烈跑步和碰撞容易产生火花的铁器或石块，应憋住呼吸，用湿毛巾唔住口、鼻部位，缓缓地朝逆风方向，或指定的集中地点走去。</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突发环境事件发生后，迅速撤离污染区人员至上风向，并立即设立150m范围隔离区，严格限制出入；警戒区内应切断火源。</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应急处理人员戴正压自给式呼吸器，穿化学防护服进入抢险区域。不要直接接触泄漏物，勿使泄漏物与可燃物质(木材、纸、油等)接触，在确保安全情况下堵漏。</w:t>
      </w:r>
    </w:p>
    <w:p>
      <w:pPr>
        <w:widowControl/>
        <w:snapToGrid w:val="0"/>
        <w:spacing w:line="360" w:lineRule="auto"/>
        <w:ind w:firstLine="480" w:firstLineChars="200"/>
        <w:jc w:val="left"/>
        <w:rPr>
          <w:color w:val="auto"/>
          <w:kern w:val="0"/>
          <w:szCs w:val="28"/>
          <w:highlight w:val="none"/>
        </w:rPr>
      </w:pPr>
      <w:bookmarkStart w:id="142" w:name="_Toc224965886"/>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可能或已经对企业外部环境产生影响时，立即上报</w:t>
      </w:r>
      <w:r>
        <w:rPr>
          <w:rFonts w:hint="eastAsia"/>
          <w:color w:val="auto"/>
          <w:sz w:val="24"/>
          <w:szCs w:val="24"/>
          <w:highlight w:val="none"/>
        </w:rPr>
        <w:t>无锡金属表面处理科技工业园</w:t>
      </w:r>
      <w:r>
        <w:rPr>
          <w:rFonts w:hint="eastAsia"/>
          <w:color w:val="auto"/>
          <w:sz w:val="24"/>
          <w:szCs w:val="24"/>
          <w:highlight w:val="none"/>
          <w:lang w:val="en-US" w:eastAsia="zh-CN"/>
        </w:rPr>
        <w:t>区应急救援指挥部</w:t>
      </w:r>
      <w:r>
        <w:rPr>
          <w:color w:val="auto"/>
          <w:kern w:val="0"/>
          <w:szCs w:val="28"/>
          <w:highlight w:val="none"/>
        </w:rPr>
        <w:t>，接到信息报告后，</w:t>
      </w:r>
      <w:r>
        <w:rPr>
          <w:rFonts w:hint="eastAsia"/>
          <w:color w:val="auto"/>
          <w:sz w:val="24"/>
          <w:szCs w:val="24"/>
          <w:highlight w:val="none"/>
        </w:rPr>
        <w:t>无锡金属表面处理科技工业园</w:t>
      </w:r>
      <w:r>
        <w:rPr>
          <w:rFonts w:hint="eastAsia"/>
          <w:color w:val="auto"/>
          <w:sz w:val="24"/>
          <w:szCs w:val="24"/>
          <w:highlight w:val="none"/>
          <w:lang w:val="en-US" w:eastAsia="zh-CN"/>
        </w:rPr>
        <w:t>区应急救援指挥部</w:t>
      </w:r>
      <w:r>
        <w:rPr>
          <w:color w:val="auto"/>
          <w:kern w:val="0"/>
          <w:szCs w:val="28"/>
          <w:highlight w:val="none"/>
        </w:rPr>
        <w:t>要立即派出有关部门及应急救援队伍赶赴现场，迅速开展处置工作，控制或切断污染源，全力控制事件态势，避免污染物扩散，严防发生二次污染和次生、衍生灾害。组织、动员和帮助群众开展安全防护工作。</w:t>
      </w:r>
    </w:p>
    <w:p>
      <w:pPr>
        <w:pStyle w:val="6"/>
        <w:rPr>
          <w:color w:val="auto"/>
          <w:highlight w:val="none"/>
        </w:rPr>
      </w:pPr>
      <w:bookmarkStart w:id="143" w:name="_Toc28103275"/>
      <w:r>
        <w:rPr>
          <w:color w:val="auto"/>
          <w:highlight w:val="none"/>
        </w:rPr>
        <w:t>6.4.2 生产车间、</w:t>
      </w:r>
      <w:r>
        <w:rPr>
          <w:rFonts w:hint="eastAsia"/>
          <w:color w:val="auto"/>
          <w:highlight w:val="none"/>
          <w:lang w:val="en-US" w:eastAsia="zh-CN"/>
        </w:rPr>
        <w:t>酸性库</w:t>
      </w:r>
      <w:r>
        <w:rPr>
          <w:color w:val="auto"/>
          <w:highlight w:val="none"/>
        </w:rPr>
        <w:t>、危废仓库发生泄漏、火灾事故的应急</w:t>
      </w:r>
      <w:bookmarkEnd w:id="143"/>
      <w:r>
        <w:rPr>
          <w:color w:val="auto"/>
          <w:highlight w:val="none"/>
        </w:rPr>
        <w:t>处置</w:t>
      </w:r>
    </w:p>
    <w:p>
      <w:pPr>
        <w:spacing w:line="360" w:lineRule="auto"/>
        <w:ind w:firstLine="480" w:firstLineChars="200"/>
        <w:rPr>
          <w:bCs/>
          <w:color w:val="auto"/>
          <w:kern w:val="0"/>
          <w:szCs w:val="20"/>
          <w:highlight w:val="none"/>
        </w:rPr>
      </w:pPr>
      <w:r>
        <w:rPr>
          <w:rFonts w:hint="eastAsia"/>
          <w:color w:val="auto"/>
          <w:szCs w:val="28"/>
          <w:highlight w:val="none"/>
          <w:lang w:val="en-US" w:eastAsia="zh-CN"/>
        </w:rPr>
        <w:t>酸性库存放硫酸和盐酸以及镀铬起镀液，硫酸为助燃物质，</w:t>
      </w:r>
      <w:r>
        <w:rPr>
          <w:color w:val="auto"/>
          <w:szCs w:val="28"/>
          <w:highlight w:val="none"/>
        </w:rPr>
        <w:t>硫酸、盐酸</w:t>
      </w:r>
      <w:r>
        <w:rPr>
          <w:color w:val="auto"/>
          <w:highlight w:val="none"/>
        </w:rPr>
        <w:t>均为腐蚀性</w:t>
      </w:r>
      <w:r>
        <w:rPr>
          <w:rFonts w:hint="eastAsia"/>
          <w:color w:val="auto"/>
          <w:highlight w:val="none"/>
          <w:lang w:val="en-US" w:eastAsia="zh-CN"/>
        </w:rPr>
        <w:t>物质；</w:t>
      </w:r>
      <w:r>
        <w:rPr>
          <w:rFonts w:hint="eastAsia"/>
          <w:color w:val="auto"/>
          <w:szCs w:val="28"/>
          <w:highlight w:val="none"/>
          <w:lang w:val="en-US" w:eastAsia="zh-CN"/>
        </w:rPr>
        <w:t>镀铬起镀液为有毒物质；危废仓库存放废油、含铬废液</w:t>
      </w:r>
      <w:r>
        <w:rPr>
          <w:bCs/>
          <w:color w:val="auto"/>
          <w:kern w:val="0"/>
          <w:szCs w:val="20"/>
          <w:highlight w:val="none"/>
        </w:rPr>
        <w:t>等危废，存在泄漏、火灾风险。一切防火措施都是为了防止燃烧的3个条件同时存在，所能采取的基本措施是：控制可燃物；隔绝助燃物；消除点火源；阻止火势蔓延。</w:t>
      </w:r>
    </w:p>
    <w:p>
      <w:pPr>
        <w:spacing w:line="360" w:lineRule="auto"/>
        <w:ind w:firstLine="480" w:firstLineChars="200"/>
        <w:rPr>
          <w:bCs/>
          <w:color w:val="auto"/>
          <w:kern w:val="0"/>
          <w:szCs w:val="20"/>
          <w:highlight w:val="none"/>
        </w:rPr>
      </w:pPr>
      <w:r>
        <w:rPr>
          <w:color w:val="auto"/>
          <w:highlight w:val="none"/>
        </w:rPr>
        <w:t>生产车间、</w:t>
      </w:r>
      <w:r>
        <w:rPr>
          <w:rFonts w:hint="eastAsia"/>
          <w:color w:val="auto"/>
          <w:highlight w:val="none"/>
          <w:lang w:val="en-US" w:eastAsia="zh-CN"/>
        </w:rPr>
        <w:t>酸性库</w:t>
      </w:r>
      <w:r>
        <w:rPr>
          <w:color w:val="auto"/>
          <w:highlight w:val="none"/>
        </w:rPr>
        <w:t>、危废仓库</w:t>
      </w:r>
      <w:r>
        <w:rPr>
          <w:bCs/>
          <w:color w:val="auto"/>
          <w:kern w:val="0"/>
          <w:szCs w:val="20"/>
          <w:highlight w:val="none"/>
        </w:rPr>
        <w:t>物料泄漏、火灾事故应急处置措施详见专项应急预案。</w:t>
      </w:r>
    </w:p>
    <w:p>
      <w:pPr>
        <w:pStyle w:val="6"/>
        <w:rPr>
          <w:color w:val="auto"/>
          <w:highlight w:val="none"/>
        </w:rPr>
      </w:pPr>
      <w:bookmarkStart w:id="144" w:name="_Toc28103276"/>
      <w:r>
        <w:rPr>
          <w:color w:val="auto"/>
          <w:highlight w:val="none"/>
        </w:rPr>
        <w:t>6.4.3 环保设施发生故障的应急</w:t>
      </w:r>
      <w:bookmarkEnd w:id="144"/>
      <w:r>
        <w:rPr>
          <w:color w:val="auto"/>
          <w:highlight w:val="none"/>
        </w:rPr>
        <w:t>处置</w:t>
      </w:r>
    </w:p>
    <w:p>
      <w:pPr>
        <w:spacing w:line="360" w:lineRule="auto"/>
        <w:ind w:firstLine="480" w:firstLineChars="200"/>
        <w:rPr>
          <w:color w:val="auto"/>
          <w:highlight w:val="none"/>
        </w:rPr>
      </w:pPr>
      <w:r>
        <w:rPr>
          <w:color w:val="auto"/>
          <w:highlight w:val="none"/>
        </w:rPr>
        <w:t>（1）废气处理设施的应急处置</w:t>
      </w:r>
    </w:p>
    <w:p>
      <w:pPr>
        <w:spacing w:line="360" w:lineRule="auto"/>
        <w:ind w:firstLine="480" w:firstLineChars="200"/>
        <w:rPr>
          <w:rFonts w:hint="eastAsia" w:eastAsia="宋体"/>
          <w:color w:val="auto"/>
          <w:highlight w:val="none"/>
          <w:lang w:val="en-US" w:eastAsia="zh-CN"/>
        </w:rPr>
      </w:pPr>
      <w:r>
        <w:rPr>
          <w:color w:val="auto"/>
          <w:highlight w:val="none"/>
        </w:rPr>
        <w:t>全厂废气</w:t>
      </w:r>
      <w:r>
        <w:rPr>
          <w:rFonts w:hint="eastAsia"/>
          <w:color w:val="auto"/>
          <w:highlight w:val="none"/>
          <w:lang w:val="en-US" w:eastAsia="zh-CN"/>
        </w:rPr>
        <w:t>主要是</w:t>
      </w:r>
      <w:r>
        <w:rPr>
          <w:rFonts w:hint="eastAsia" w:ascii="Times New Roman" w:hAnsi="Times New Roman" w:eastAsia="宋体" w:cs="Times New Roman"/>
          <w:color w:val="auto"/>
          <w:sz w:val="24"/>
          <w:szCs w:val="24"/>
          <w:highlight w:val="none"/>
          <w:lang w:val="en-US" w:eastAsia="zh-CN"/>
        </w:rPr>
        <w:t>各条电镀线和废水零排放设备产生的</w:t>
      </w:r>
      <w:r>
        <w:rPr>
          <w:rFonts w:hint="eastAsia" w:ascii="Times New Roman" w:hAnsi="Times New Roman" w:eastAsia="宋体" w:cs="Times New Roman"/>
          <w:color w:val="auto"/>
          <w:sz w:val="24"/>
          <w:szCs w:val="24"/>
          <w:highlight w:val="none"/>
        </w:rPr>
        <w:t>铬酸雾</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以及实验室产生的硫酸雾、氯化氢</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所有生产线均设置全封闭顶吸风装置，镀铬产生的铬酸雾及零排放蒸发废水设备产生的铬酸雾共同经全封闭顶吸风装置收集后经铬酸雾回收器</w:t>
      </w:r>
      <w:r>
        <w:rPr>
          <w:rFonts w:hint="eastAsia" w:ascii="Times New Roman" w:hAnsi="Times New Roman" w:eastAsia="宋体"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lang w:val="en-US" w:eastAsia="zh-CN"/>
        </w:rPr>
        <w:t>然后和</w:t>
      </w:r>
      <w:r>
        <w:rPr>
          <w:rFonts w:hint="eastAsia" w:ascii="Times New Roman" w:hAnsi="Times New Roman" w:eastAsia="宋体" w:cs="Times New Roman"/>
          <w:color w:val="auto"/>
          <w:sz w:val="24"/>
          <w:szCs w:val="24"/>
          <w:highlight w:val="none"/>
        </w:rPr>
        <w:t>实验室检验产生的少量硫酸雾、氯化氢</w:t>
      </w:r>
      <w:r>
        <w:rPr>
          <w:rFonts w:hint="eastAsia" w:ascii="Times New Roman" w:hAnsi="Times New Roman" w:eastAsia="宋体" w:cs="Times New Roman"/>
          <w:color w:val="auto"/>
          <w:sz w:val="24"/>
          <w:szCs w:val="24"/>
          <w:highlight w:val="none"/>
          <w:lang w:val="en-US" w:eastAsia="zh-CN"/>
        </w:rPr>
        <w:t>经四</w:t>
      </w:r>
      <w:r>
        <w:rPr>
          <w:rFonts w:hint="eastAsia" w:ascii="Times New Roman" w:hAnsi="Times New Roman" w:eastAsia="宋体" w:cs="Times New Roman"/>
          <w:color w:val="auto"/>
          <w:sz w:val="24"/>
          <w:szCs w:val="24"/>
          <w:highlight w:val="none"/>
        </w:rPr>
        <w:t>级水喷淋净化处理后由1根15m高排气筒高空排放。</w:t>
      </w:r>
    </w:p>
    <w:p>
      <w:pPr>
        <w:spacing w:line="360" w:lineRule="auto"/>
        <w:ind w:firstLine="480" w:firstLineChars="200"/>
        <w:rPr>
          <w:color w:val="auto"/>
          <w:highlight w:val="none"/>
        </w:rPr>
      </w:pPr>
      <w:r>
        <w:rPr>
          <w:rFonts w:hint="eastAsia"/>
          <w:color w:val="auto"/>
          <w:highlight w:val="none"/>
        </w:rPr>
        <w:t>针对废气处理设施可能出现的故障，采取的应急措施如下：</w:t>
      </w:r>
    </w:p>
    <w:p>
      <w:pPr>
        <w:spacing w:line="360" w:lineRule="auto"/>
        <w:ind w:firstLine="480" w:firstLineChars="200"/>
        <w:rPr>
          <w:color w:val="auto"/>
          <w:highlight w:val="none"/>
        </w:rPr>
      </w:pPr>
      <w:r>
        <w:rPr>
          <w:color w:val="auto"/>
          <w:highlight w:val="none"/>
        </w:rPr>
        <w:t>①若废气处理设施损坏时，生产车间应停止相应工段的废气排放，直到废气处理设备良好运作。</w:t>
      </w:r>
    </w:p>
    <w:p>
      <w:pPr>
        <w:spacing w:line="360" w:lineRule="auto"/>
        <w:ind w:firstLine="480" w:firstLineChars="200"/>
        <w:rPr>
          <w:color w:val="auto"/>
          <w:highlight w:val="none"/>
        </w:rPr>
      </w:pPr>
      <w:r>
        <w:rPr>
          <w:color w:val="auto"/>
          <w:highlight w:val="none"/>
        </w:rPr>
        <w:t>②若废气处理设施发生故障时，操作人员及时采取防治措施，停止废气超标排放，并立即向领导报告。由领导向相关</w:t>
      </w:r>
      <w:r>
        <w:rPr>
          <w:rFonts w:hint="eastAsia"/>
          <w:color w:val="auto"/>
          <w:highlight w:val="none"/>
          <w:lang w:val="en-US" w:eastAsia="zh-CN"/>
        </w:rPr>
        <w:t>工程</w:t>
      </w:r>
      <w:r>
        <w:rPr>
          <w:color w:val="auto"/>
          <w:highlight w:val="none"/>
        </w:rPr>
        <w:t>单位进行协调处理。</w:t>
      </w:r>
    </w:p>
    <w:p>
      <w:pPr>
        <w:spacing w:line="360" w:lineRule="auto"/>
        <w:ind w:firstLine="480" w:firstLineChars="200"/>
        <w:rPr>
          <w:color w:val="auto"/>
          <w:highlight w:val="none"/>
        </w:rPr>
      </w:pPr>
      <w:r>
        <w:rPr>
          <w:color w:val="auto"/>
          <w:highlight w:val="none"/>
        </w:rPr>
        <w:t>③每年定期组织一次污染治理设施意外事故的应急措施落实情况和应急设备的检查。</w:t>
      </w:r>
    </w:p>
    <w:p>
      <w:pPr>
        <w:spacing w:line="360" w:lineRule="auto"/>
        <w:ind w:firstLine="480" w:firstLineChars="200"/>
        <w:rPr>
          <w:color w:val="auto"/>
          <w:highlight w:val="none"/>
        </w:rPr>
      </w:pPr>
      <w:r>
        <w:rPr>
          <w:color w:val="auto"/>
          <w:highlight w:val="none"/>
        </w:rPr>
        <w:t>④定期对废气处理设施进行维护。</w:t>
      </w:r>
    </w:p>
    <w:p>
      <w:pPr>
        <w:autoSpaceDE w:val="0"/>
        <w:autoSpaceDN w:val="0"/>
        <w:adjustRightInd w:val="0"/>
        <w:snapToGrid w:val="0"/>
        <w:spacing w:line="360" w:lineRule="auto"/>
        <w:ind w:firstLine="480" w:firstLineChars="200"/>
        <w:rPr>
          <w:color w:val="auto"/>
          <w:kern w:val="0"/>
          <w:highlight w:val="none"/>
        </w:rPr>
      </w:pPr>
      <w:r>
        <w:rPr>
          <w:color w:val="auto"/>
          <w:kern w:val="0"/>
          <w:highlight w:val="none"/>
        </w:rPr>
        <w:t>责任人：</w:t>
      </w:r>
      <w:r>
        <w:rPr>
          <w:rFonts w:hint="default"/>
          <w:color w:val="auto"/>
          <w:kern w:val="0"/>
          <w:highlight w:val="none"/>
        </w:rPr>
        <w:t>周卫平</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应急物资：无。</w:t>
      </w:r>
    </w:p>
    <w:p>
      <w:pPr>
        <w:spacing w:line="360" w:lineRule="auto"/>
        <w:ind w:firstLine="480" w:firstLineChars="200"/>
        <w:rPr>
          <w:color w:val="auto"/>
          <w:sz w:val="24"/>
          <w:szCs w:val="24"/>
          <w:highlight w:val="none"/>
        </w:rPr>
      </w:pPr>
      <w:r>
        <w:rPr>
          <w:color w:val="auto"/>
          <w:sz w:val="24"/>
          <w:szCs w:val="24"/>
          <w:highlight w:val="none"/>
        </w:rPr>
        <w:t>（2）废水处理设施的应急处置</w:t>
      </w:r>
    </w:p>
    <w:p>
      <w:pPr>
        <w:spacing w:line="360" w:lineRule="auto"/>
        <w:ind w:firstLine="480" w:firstLineChars="200"/>
        <w:rPr>
          <w:color w:val="auto"/>
          <w:sz w:val="24"/>
          <w:szCs w:val="24"/>
          <w:highlight w:val="none"/>
        </w:rPr>
      </w:pPr>
      <w:r>
        <w:rPr>
          <w:color w:val="auto"/>
          <w:sz w:val="24"/>
          <w:szCs w:val="24"/>
          <w:highlight w:val="none"/>
        </w:rPr>
        <w:t>公司厂内设有污水处理</w:t>
      </w:r>
      <w:r>
        <w:rPr>
          <w:rFonts w:hint="eastAsia"/>
          <w:color w:val="auto"/>
          <w:sz w:val="24"/>
          <w:szCs w:val="24"/>
          <w:highlight w:val="none"/>
          <w:lang w:val="en-US" w:eastAsia="zh-CN"/>
        </w:rPr>
        <w:t>设施</w:t>
      </w:r>
      <w:r>
        <w:rPr>
          <w:color w:val="auto"/>
          <w:sz w:val="24"/>
          <w:szCs w:val="24"/>
          <w:highlight w:val="none"/>
        </w:rPr>
        <w:t>处理生产废水。针对废水处理站可能出现的故障，采取的应急措施如下：</w:t>
      </w:r>
    </w:p>
    <w:p>
      <w:pPr>
        <w:spacing w:line="360" w:lineRule="auto"/>
        <w:ind w:firstLine="480" w:firstLineChars="200"/>
        <w:rPr>
          <w:color w:val="auto"/>
          <w:sz w:val="24"/>
          <w:szCs w:val="24"/>
          <w:highlight w:val="none"/>
        </w:rPr>
      </w:pPr>
      <w:r>
        <w:rPr>
          <w:color w:val="auto"/>
          <w:sz w:val="24"/>
          <w:szCs w:val="24"/>
          <w:highlight w:val="none"/>
        </w:rPr>
        <w:t>①若各废水处理系统的提取泵发生故障，污水处理人员可启动备用泵，机电维修人员对故障泵进行维修。</w:t>
      </w:r>
    </w:p>
    <w:p>
      <w:pPr>
        <w:spacing w:line="360" w:lineRule="auto"/>
        <w:ind w:firstLine="480" w:firstLineChars="200"/>
        <w:rPr>
          <w:color w:val="auto"/>
          <w:sz w:val="24"/>
          <w:szCs w:val="24"/>
          <w:highlight w:val="none"/>
        </w:rPr>
      </w:pPr>
      <w:r>
        <w:rPr>
          <w:color w:val="auto"/>
          <w:sz w:val="24"/>
          <w:szCs w:val="24"/>
          <w:highlight w:val="none"/>
        </w:rPr>
        <w:t>②若废水处理系统站内管路出现故障，泄露出的废水收集</w:t>
      </w:r>
      <w:r>
        <w:rPr>
          <w:rFonts w:hint="eastAsia"/>
          <w:color w:val="auto"/>
          <w:sz w:val="24"/>
          <w:szCs w:val="24"/>
          <w:highlight w:val="none"/>
        </w:rPr>
        <w:t>后</w:t>
      </w:r>
      <w:r>
        <w:rPr>
          <w:color w:val="auto"/>
          <w:sz w:val="24"/>
          <w:szCs w:val="24"/>
          <w:highlight w:val="none"/>
        </w:rPr>
        <w:t>，通过潜水泵输送至备用的废水收集池内，</w:t>
      </w:r>
      <w:r>
        <w:rPr>
          <w:rFonts w:hint="eastAsia"/>
          <w:color w:val="auto"/>
          <w:sz w:val="24"/>
          <w:szCs w:val="24"/>
          <w:highlight w:val="none"/>
        </w:rPr>
        <w:t>维修</w:t>
      </w:r>
      <w:r>
        <w:rPr>
          <w:color w:val="auto"/>
          <w:sz w:val="24"/>
          <w:szCs w:val="24"/>
          <w:highlight w:val="none"/>
        </w:rPr>
        <w:t>人员对故障管路进行维修。</w:t>
      </w:r>
    </w:p>
    <w:p>
      <w:pPr>
        <w:spacing w:line="360" w:lineRule="auto"/>
        <w:ind w:firstLine="480" w:firstLineChars="200"/>
        <w:rPr>
          <w:color w:val="auto"/>
          <w:sz w:val="24"/>
          <w:szCs w:val="24"/>
          <w:highlight w:val="none"/>
        </w:rPr>
      </w:pPr>
      <w:r>
        <w:rPr>
          <w:color w:val="auto"/>
          <w:sz w:val="24"/>
          <w:szCs w:val="24"/>
          <w:highlight w:val="none"/>
        </w:rPr>
        <w:t>③如果处理后的废水进监测达不到</w:t>
      </w:r>
      <w:r>
        <w:rPr>
          <w:rFonts w:hint="eastAsia"/>
          <w:color w:val="auto"/>
          <w:sz w:val="24"/>
          <w:szCs w:val="24"/>
          <w:highlight w:val="none"/>
          <w:lang w:val="en-US" w:eastAsia="zh-CN"/>
        </w:rPr>
        <w:t>回用</w:t>
      </w:r>
      <w:r>
        <w:rPr>
          <w:color w:val="auto"/>
          <w:sz w:val="24"/>
          <w:szCs w:val="24"/>
          <w:highlight w:val="none"/>
        </w:rPr>
        <w:t>标准，切断废水</w:t>
      </w:r>
      <w:r>
        <w:rPr>
          <w:rFonts w:hint="eastAsia"/>
          <w:color w:val="auto"/>
          <w:sz w:val="24"/>
          <w:szCs w:val="24"/>
          <w:highlight w:val="none"/>
          <w:lang w:val="en-US" w:eastAsia="zh-CN"/>
        </w:rPr>
        <w:t>回用</w:t>
      </w:r>
      <w:r>
        <w:rPr>
          <w:color w:val="auto"/>
          <w:sz w:val="24"/>
          <w:szCs w:val="24"/>
          <w:highlight w:val="none"/>
        </w:rPr>
        <w:t>的阀门，将废水泵回调节池处理，多余的废水则储存在应急池内，并对故障进行分析、排除。</w:t>
      </w:r>
    </w:p>
    <w:p>
      <w:pPr>
        <w:spacing w:line="360" w:lineRule="auto"/>
        <w:ind w:firstLine="480" w:firstLineChars="200"/>
        <w:rPr>
          <w:color w:val="auto"/>
          <w:sz w:val="24"/>
          <w:szCs w:val="24"/>
          <w:highlight w:val="none"/>
        </w:rPr>
      </w:pPr>
      <w:r>
        <w:rPr>
          <w:color w:val="auto"/>
          <w:sz w:val="24"/>
          <w:szCs w:val="24"/>
          <w:highlight w:val="none"/>
        </w:rPr>
        <w:t>④当污水处理系统无法运行，将切换阀门，将废水排入废水调节池内，在此时间内，将逐级上报停止响应生产工序的生产，至故障排除。否则应立即停止响应工段的生产。</w:t>
      </w:r>
    </w:p>
    <w:p>
      <w:pPr>
        <w:spacing w:line="360" w:lineRule="auto"/>
        <w:ind w:firstLine="480" w:firstLineChars="200"/>
        <w:rPr>
          <w:color w:val="auto"/>
          <w:sz w:val="24"/>
          <w:szCs w:val="24"/>
          <w:highlight w:val="none"/>
        </w:rPr>
      </w:pPr>
      <w:r>
        <w:rPr>
          <w:color w:val="auto"/>
          <w:sz w:val="24"/>
          <w:szCs w:val="24"/>
          <w:highlight w:val="none"/>
        </w:rPr>
        <w:t>⑤定期对废水处理设施进行维护。</w:t>
      </w:r>
    </w:p>
    <w:p>
      <w:pPr>
        <w:autoSpaceDE w:val="0"/>
        <w:autoSpaceDN w:val="0"/>
        <w:adjustRightInd w:val="0"/>
        <w:snapToGrid w:val="0"/>
        <w:spacing w:line="360" w:lineRule="auto"/>
        <w:ind w:firstLine="480" w:firstLineChars="200"/>
        <w:rPr>
          <w:color w:val="auto"/>
          <w:kern w:val="0"/>
          <w:highlight w:val="none"/>
        </w:rPr>
      </w:pPr>
      <w:r>
        <w:rPr>
          <w:color w:val="auto"/>
          <w:kern w:val="0"/>
          <w:highlight w:val="none"/>
        </w:rPr>
        <w:t>责任人：</w:t>
      </w:r>
      <w:r>
        <w:rPr>
          <w:rFonts w:hint="default"/>
          <w:color w:val="auto"/>
          <w:kern w:val="0"/>
          <w:highlight w:val="none"/>
        </w:rPr>
        <w:t>周卫平</w:t>
      </w:r>
    </w:p>
    <w:p>
      <w:pPr>
        <w:autoSpaceDE w:val="0"/>
        <w:autoSpaceDN w:val="0"/>
        <w:adjustRightInd w:val="0"/>
        <w:snapToGrid w:val="0"/>
        <w:spacing w:line="360" w:lineRule="auto"/>
        <w:ind w:firstLine="480" w:firstLineChars="200"/>
        <w:rPr>
          <w:color w:val="auto"/>
          <w:kern w:val="0"/>
          <w:highlight w:val="none"/>
        </w:rPr>
      </w:pPr>
      <w:r>
        <w:rPr>
          <w:color w:val="auto"/>
          <w:kern w:val="0"/>
          <w:highlight w:val="none"/>
        </w:rPr>
        <w:t>应急物资：</w:t>
      </w:r>
      <w:r>
        <w:rPr>
          <w:rFonts w:hint="eastAsia"/>
          <w:color w:val="auto"/>
          <w:kern w:val="0"/>
          <w:highlight w:val="none"/>
          <w:lang w:val="en-US" w:eastAsia="zh-CN"/>
        </w:rPr>
        <w:t>生产废水收集桶</w:t>
      </w:r>
      <w:r>
        <w:rPr>
          <w:color w:val="auto"/>
          <w:kern w:val="0"/>
          <w:highlight w:val="none"/>
        </w:rPr>
        <w:t>。</w:t>
      </w:r>
    </w:p>
    <w:p>
      <w:pPr>
        <w:spacing w:line="360" w:lineRule="auto"/>
        <w:ind w:firstLine="480" w:firstLineChars="200"/>
        <w:rPr>
          <w:color w:val="auto"/>
          <w:sz w:val="24"/>
          <w:szCs w:val="24"/>
          <w:highlight w:val="none"/>
        </w:rPr>
      </w:pPr>
      <w:r>
        <w:rPr>
          <w:color w:val="auto"/>
          <w:sz w:val="24"/>
          <w:szCs w:val="24"/>
          <w:highlight w:val="none"/>
        </w:rPr>
        <w:t>（3）危险废物仓库的应急处置</w:t>
      </w:r>
    </w:p>
    <w:p>
      <w:pPr>
        <w:spacing w:line="360" w:lineRule="auto"/>
        <w:ind w:firstLine="480" w:firstLineChars="200"/>
        <w:rPr>
          <w:color w:val="auto"/>
          <w:sz w:val="24"/>
          <w:szCs w:val="24"/>
          <w:highlight w:val="none"/>
        </w:rPr>
      </w:pPr>
      <w:r>
        <w:rPr>
          <w:color w:val="auto"/>
          <w:sz w:val="24"/>
          <w:szCs w:val="24"/>
          <w:highlight w:val="none"/>
        </w:rPr>
        <w:t>危险废物贮存场所应按照《危险废物贮存污染控制标准》(GB18597-2001)及 2013 年修改单和苏环办[2019]327号文要求设置，主要有以下方面：</w:t>
      </w:r>
    </w:p>
    <w:p>
      <w:pPr>
        <w:spacing w:line="360" w:lineRule="auto"/>
        <w:ind w:firstLine="480" w:firstLineChars="200"/>
        <w:rPr>
          <w:color w:val="auto"/>
          <w:sz w:val="24"/>
          <w:szCs w:val="24"/>
          <w:highlight w:val="none"/>
        </w:rPr>
      </w:pPr>
      <w:r>
        <w:rPr>
          <w:color w:val="auto"/>
          <w:sz w:val="24"/>
          <w:szCs w:val="24"/>
          <w:highlight w:val="none"/>
        </w:rPr>
        <w:t>①应建造专用的危险废物贮存设施，也可利用原有构筑物改建成危险废物贮存设施。</w:t>
      </w:r>
    </w:p>
    <w:p>
      <w:pPr>
        <w:spacing w:line="360" w:lineRule="auto"/>
        <w:ind w:firstLine="480" w:firstLineChars="200"/>
        <w:rPr>
          <w:color w:val="auto"/>
          <w:sz w:val="24"/>
          <w:szCs w:val="24"/>
          <w:highlight w:val="none"/>
        </w:rPr>
      </w:pPr>
      <w:r>
        <w:rPr>
          <w:color w:val="auto"/>
          <w:sz w:val="24"/>
          <w:szCs w:val="24"/>
          <w:highlight w:val="none"/>
        </w:rPr>
        <w:t>②应在易燃易爆等危险品仓库、高压输电线路防护区域以外。</w:t>
      </w:r>
    </w:p>
    <w:p>
      <w:pPr>
        <w:spacing w:line="360" w:lineRule="auto"/>
        <w:ind w:firstLine="480" w:firstLineChars="200"/>
        <w:rPr>
          <w:color w:val="auto"/>
          <w:sz w:val="24"/>
          <w:szCs w:val="24"/>
          <w:highlight w:val="none"/>
        </w:rPr>
      </w:pPr>
      <w:r>
        <w:rPr>
          <w:color w:val="auto"/>
          <w:sz w:val="24"/>
          <w:szCs w:val="24"/>
          <w:highlight w:val="none"/>
        </w:rPr>
        <w:t>③必须有泄漏液体收集装置，按照规定设置气体导出口及气体净化装置。</w:t>
      </w:r>
    </w:p>
    <w:p>
      <w:pPr>
        <w:spacing w:line="360" w:lineRule="auto"/>
        <w:ind w:firstLine="480" w:firstLineChars="200"/>
        <w:rPr>
          <w:color w:val="auto"/>
          <w:sz w:val="24"/>
          <w:szCs w:val="24"/>
          <w:highlight w:val="none"/>
        </w:rPr>
      </w:pPr>
      <w:r>
        <w:rPr>
          <w:color w:val="auto"/>
          <w:sz w:val="24"/>
          <w:szCs w:val="24"/>
          <w:highlight w:val="none"/>
        </w:rPr>
        <w:t>④装载液体、半固体危险废物的容器内须留足够空间，容器顶部与液体表面之间保留 100 毫米以上的空间。</w:t>
      </w:r>
    </w:p>
    <w:p>
      <w:pPr>
        <w:spacing w:line="360" w:lineRule="auto"/>
        <w:ind w:firstLine="480" w:firstLineChars="200"/>
        <w:rPr>
          <w:color w:val="auto"/>
          <w:sz w:val="24"/>
          <w:szCs w:val="24"/>
          <w:highlight w:val="none"/>
        </w:rPr>
      </w:pPr>
      <w:r>
        <w:rPr>
          <w:color w:val="auto"/>
          <w:sz w:val="24"/>
          <w:szCs w:val="24"/>
          <w:highlight w:val="none"/>
        </w:rPr>
        <w:t>⑤危险废物堆场要做到防风、防雨、防晒、防渗等。还应配备通讯设备、照明设施等。</w:t>
      </w:r>
    </w:p>
    <w:p>
      <w:pPr>
        <w:spacing w:line="360" w:lineRule="auto"/>
        <w:ind w:firstLine="480" w:firstLineChars="200"/>
        <w:rPr>
          <w:color w:val="auto"/>
          <w:sz w:val="24"/>
          <w:szCs w:val="24"/>
          <w:highlight w:val="none"/>
        </w:rPr>
      </w:pPr>
      <w:r>
        <w:rPr>
          <w:color w:val="auto"/>
          <w:sz w:val="24"/>
          <w:szCs w:val="24"/>
          <w:highlight w:val="none"/>
        </w:rPr>
        <w:t>危险废物在包装、收集时，应按《关于加强危险废物交换和转移管理工作的通知》要求，根据危险废物的性质和形态，采用相应材质、容器进行安全包装，并在包装的明显位置附上危险废物标签。通过严格检查，严防在装载、搬迁或运输中出现渗漏、溢出、抛洒或挥发等不利情况。</w:t>
      </w:r>
    </w:p>
    <w:p>
      <w:pPr>
        <w:spacing w:line="360" w:lineRule="auto"/>
        <w:ind w:firstLine="480" w:firstLineChars="200"/>
        <w:rPr>
          <w:color w:val="auto"/>
          <w:sz w:val="24"/>
          <w:szCs w:val="24"/>
          <w:highlight w:val="none"/>
        </w:rPr>
      </w:pPr>
      <w:r>
        <w:rPr>
          <w:color w:val="auto"/>
          <w:sz w:val="24"/>
          <w:szCs w:val="24"/>
          <w:highlight w:val="none"/>
        </w:rPr>
        <w:t>危险废物场所应依据《环境保护图形标志－固体废物贮存(处置)场》(GB15562.2-1995)设置环境保护图形标志。</w:t>
      </w:r>
    </w:p>
    <w:p>
      <w:pPr>
        <w:spacing w:line="360"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目前公司产生的危险固废均根据其特性进行了分类存放。存放区地面经过水泥硬化，做过防渗漏处理，设有灭火器和消防栓，并设有明显的危险废物存放区标识牌。</w:t>
      </w:r>
      <w:r>
        <w:rPr>
          <w:color w:val="auto"/>
          <w:sz w:val="24"/>
          <w:szCs w:val="24"/>
          <w:highlight w:val="none"/>
        </w:rPr>
        <w:t>危险废物贮存间严格按照《危险废物贮存污染控制标准》(GB18597-2001)</w:t>
      </w:r>
      <w:r>
        <w:rPr>
          <w:bCs/>
          <w:color w:val="auto"/>
          <w:sz w:val="24"/>
          <w:szCs w:val="24"/>
          <w:highlight w:val="none"/>
        </w:rPr>
        <w:t>及修改公告(环境保护部公告2013年第36号)</w:t>
      </w:r>
      <w:r>
        <w:rPr>
          <w:rFonts w:hint="eastAsia"/>
          <w:bCs/>
          <w:color w:val="auto"/>
          <w:sz w:val="24"/>
          <w:szCs w:val="24"/>
          <w:highlight w:val="none"/>
        </w:rPr>
        <w:t>及《省生态环境厅关于进一步加强危险废物污染防治工作的实施意见》（苏环办[2019]327号）等文件</w:t>
      </w:r>
      <w:r>
        <w:rPr>
          <w:color w:val="auto"/>
          <w:sz w:val="24"/>
          <w:szCs w:val="24"/>
          <w:highlight w:val="none"/>
        </w:rPr>
        <w:t>要求设置，</w:t>
      </w:r>
      <w:r>
        <w:rPr>
          <w:bCs/>
          <w:color w:val="auto"/>
          <w:sz w:val="24"/>
          <w:szCs w:val="24"/>
          <w:highlight w:val="none"/>
        </w:rPr>
        <w:t>并采取防流失、防渗漏及其他防止污染环境的措施，</w:t>
      </w:r>
      <w:r>
        <w:rPr>
          <w:rFonts w:hint="eastAsia"/>
          <w:bCs/>
          <w:color w:val="auto"/>
          <w:sz w:val="24"/>
          <w:szCs w:val="24"/>
          <w:highlight w:val="none"/>
        </w:rPr>
        <w:t>未</w:t>
      </w:r>
      <w:r>
        <w:rPr>
          <w:bCs/>
          <w:color w:val="auto"/>
          <w:sz w:val="24"/>
          <w:szCs w:val="24"/>
          <w:highlight w:val="none"/>
        </w:rPr>
        <w:t>随意露天堆放。</w:t>
      </w:r>
    </w:p>
    <w:p>
      <w:pPr>
        <w:autoSpaceDE w:val="0"/>
        <w:autoSpaceDN w:val="0"/>
        <w:adjustRightInd w:val="0"/>
        <w:snapToGrid w:val="0"/>
        <w:spacing w:line="360" w:lineRule="auto"/>
        <w:ind w:firstLine="480" w:firstLineChars="200"/>
        <w:rPr>
          <w:color w:val="auto"/>
          <w:kern w:val="0"/>
          <w:highlight w:val="none"/>
        </w:rPr>
      </w:pPr>
      <w:r>
        <w:rPr>
          <w:color w:val="auto"/>
          <w:kern w:val="0"/>
          <w:highlight w:val="none"/>
        </w:rPr>
        <w:t>责任人：</w:t>
      </w:r>
      <w:r>
        <w:rPr>
          <w:rFonts w:hint="default" w:ascii="Times New Roman" w:hAnsi="Times New Roman" w:eastAsia="宋体" w:cs="Times New Roman"/>
          <w:color w:val="auto"/>
          <w:sz w:val="21"/>
          <w:szCs w:val="21"/>
          <w:highlight w:val="none"/>
        </w:rPr>
        <w:t>周卫平</w:t>
      </w:r>
    </w:p>
    <w:p>
      <w:pPr>
        <w:pStyle w:val="3"/>
        <w:numPr>
          <w:ilvl w:val="0"/>
          <w:numId w:val="0"/>
        </w:numPr>
        <w:spacing w:line="360" w:lineRule="auto"/>
        <w:ind w:firstLine="480" w:firstLineChars="200"/>
        <w:rPr>
          <w:color w:val="auto"/>
          <w:kern w:val="0"/>
          <w:szCs w:val="28"/>
          <w:highlight w:val="none"/>
        </w:rPr>
      </w:pPr>
      <w:r>
        <w:rPr>
          <w:color w:val="auto"/>
          <w:kern w:val="0"/>
          <w:szCs w:val="28"/>
          <w:highlight w:val="none"/>
        </w:rPr>
        <w:t>应急物资：</w:t>
      </w:r>
      <w:r>
        <w:rPr>
          <w:rFonts w:hint="eastAsia"/>
          <w:color w:val="auto"/>
          <w:kern w:val="0"/>
          <w:szCs w:val="28"/>
          <w:highlight w:val="none"/>
          <w:lang w:val="en-US" w:eastAsia="zh-CN"/>
        </w:rPr>
        <w:t>带有收集系统的防渗漏托盘</w:t>
      </w:r>
      <w:r>
        <w:rPr>
          <w:color w:val="auto"/>
          <w:kern w:val="0"/>
          <w:szCs w:val="28"/>
          <w:highlight w:val="none"/>
        </w:rPr>
        <w:t>。</w:t>
      </w:r>
    </w:p>
    <w:p>
      <w:pPr>
        <w:pStyle w:val="3"/>
        <w:numPr>
          <w:ilvl w:val="0"/>
          <w:numId w:val="0"/>
        </w:numPr>
        <w:spacing w:line="360" w:lineRule="auto"/>
        <w:ind w:firstLine="480" w:firstLineChars="200"/>
        <w:rPr>
          <w:color w:val="auto"/>
          <w:szCs w:val="22"/>
          <w:highlight w:val="none"/>
        </w:rPr>
      </w:pPr>
      <w:r>
        <w:rPr>
          <w:color w:val="auto"/>
          <w:highlight w:val="none"/>
        </w:rPr>
        <w:t>（</w:t>
      </w:r>
      <w:r>
        <w:rPr>
          <w:rFonts w:hint="eastAsia"/>
          <w:color w:val="auto"/>
          <w:highlight w:val="none"/>
        </w:rPr>
        <w:t>4</w:t>
      </w:r>
      <w:r>
        <w:rPr>
          <w:color w:val="auto"/>
          <w:highlight w:val="none"/>
        </w:rPr>
        <w:t>）</w:t>
      </w:r>
      <w:r>
        <w:rPr>
          <w:rFonts w:hint="eastAsia"/>
          <w:color w:val="auto"/>
          <w:szCs w:val="22"/>
          <w:highlight w:val="none"/>
        </w:rPr>
        <w:t>环保设施及危废仓库安全评价</w:t>
      </w:r>
    </w:p>
    <w:p>
      <w:pPr>
        <w:widowControl/>
        <w:autoSpaceDE w:val="0"/>
        <w:autoSpaceDN w:val="0"/>
        <w:adjustRightInd w:val="0"/>
        <w:snapToGrid w:val="0"/>
        <w:spacing w:line="360" w:lineRule="auto"/>
        <w:ind w:firstLine="482"/>
        <w:jc w:val="left"/>
        <w:rPr>
          <w:color w:val="auto"/>
          <w:highlight w:val="none"/>
        </w:rPr>
      </w:pPr>
      <w:r>
        <w:rPr>
          <w:color w:val="auto"/>
          <w:highlight w:val="none"/>
        </w:rPr>
        <w:t>目前企业现有废气处理设施、危废仓库已开展安全风险辨识</w:t>
      </w:r>
      <w:r>
        <w:rPr>
          <w:rFonts w:hint="eastAsia"/>
          <w:color w:val="auto"/>
          <w:highlight w:val="none"/>
        </w:rPr>
        <w:t>。公司已编制安全评价报告，</w:t>
      </w:r>
      <w:r>
        <w:rPr>
          <w:rFonts w:hint="eastAsia" w:ascii="Times New Roman" w:hAnsi="Times New Roman" w:eastAsia="宋体" w:cs="Times New Roman"/>
          <w:color w:val="auto"/>
          <w:kern w:val="2"/>
          <w:sz w:val="24"/>
          <w:szCs w:val="22"/>
          <w:highlight w:val="none"/>
          <w:lang w:val="en-US" w:eastAsia="zh-CN" w:bidi="ar-SA"/>
        </w:rPr>
        <w:t>现有废气处理设施、危废仓库基本符合其安全生产条件和设施安全相关要求。</w:t>
      </w:r>
    </w:p>
    <w:p>
      <w:pPr>
        <w:pStyle w:val="6"/>
        <w:rPr>
          <w:color w:val="auto"/>
          <w:highlight w:val="none"/>
        </w:rPr>
      </w:pPr>
      <w:bookmarkStart w:id="145" w:name="_Toc28103277"/>
      <w:r>
        <w:rPr>
          <w:color w:val="auto"/>
          <w:highlight w:val="none"/>
        </w:rPr>
        <w:t>6.4.4 大气污染事件保护目标的应急</w:t>
      </w:r>
      <w:bookmarkEnd w:id="145"/>
      <w:r>
        <w:rPr>
          <w:color w:val="auto"/>
          <w:highlight w:val="none"/>
        </w:rPr>
        <w:t>处置</w:t>
      </w:r>
    </w:p>
    <w:p>
      <w:pPr>
        <w:autoSpaceDE w:val="0"/>
        <w:autoSpaceDN w:val="0"/>
        <w:adjustRightInd w:val="0"/>
        <w:spacing w:line="360" w:lineRule="auto"/>
        <w:ind w:firstLine="480" w:firstLineChars="200"/>
        <w:rPr>
          <w:color w:val="auto"/>
          <w:highlight w:val="none"/>
          <w:lang w:val="zh-CN"/>
        </w:rPr>
      </w:pPr>
      <w:r>
        <w:rPr>
          <w:color w:val="auto"/>
          <w:highlight w:val="none"/>
        </w:rPr>
        <w:t>企业大气污染事故的影响范围主要为企业、周边道路。</w:t>
      </w:r>
      <w:r>
        <w:rPr>
          <w:color w:val="auto"/>
          <w:highlight w:val="none"/>
          <w:lang w:val="zh-CN"/>
        </w:rPr>
        <w:t>突发环境事件处理过程中，</w:t>
      </w:r>
      <w:r>
        <w:rPr>
          <w:rFonts w:hint="eastAsia"/>
          <w:color w:val="auto"/>
          <w:highlight w:val="none"/>
          <w:lang w:val="zh-CN"/>
        </w:rPr>
        <w:t>兴达路</w:t>
      </w:r>
      <w:r>
        <w:rPr>
          <w:color w:val="auto"/>
          <w:highlight w:val="none"/>
          <w:lang w:val="zh-CN"/>
        </w:rPr>
        <w:t>经本公司段禁止非应急车辆通行。过往车辆可选择其他道路绕行。</w:t>
      </w:r>
    </w:p>
    <w:p>
      <w:pPr>
        <w:autoSpaceDE w:val="0"/>
        <w:autoSpaceDN w:val="0"/>
        <w:adjustRightInd w:val="0"/>
        <w:spacing w:line="360" w:lineRule="auto"/>
        <w:ind w:firstLine="480" w:firstLineChars="200"/>
        <w:rPr>
          <w:color w:val="auto"/>
          <w:highlight w:val="none"/>
        </w:rPr>
      </w:pPr>
      <w:r>
        <w:rPr>
          <w:color w:val="auto"/>
          <w:highlight w:val="none"/>
        </w:rPr>
        <w:t>当发生泄漏事故时，</w:t>
      </w:r>
      <w:r>
        <w:rPr>
          <w:rFonts w:hint="eastAsia"/>
          <w:color w:val="auto"/>
          <w:highlight w:val="none"/>
        </w:rPr>
        <w:t>现场协调员</w:t>
      </w:r>
      <w:r>
        <w:rPr>
          <w:color w:val="auto"/>
          <w:highlight w:val="none"/>
        </w:rPr>
        <w:t>应立即用电话等方式及时通知疏散厂内人员；当发生重大泄漏事故，由</w:t>
      </w:r>
      <w:r>
        <w:rPr>
          <w:rFonts w:hint="eastAsia"/>
          <w:color w:val="auto"/>
          <w:highlight w:val="none"/>
        </w:rPr>
        <w:t>急救组</w:t>
      </w:r>
      <w:r>
        <w:rPr>
          <w:color w:val="auto"/>
          <w:highlight w:val="none"/>
        </w:rPr>
        <w:t>负责厂内人员疏散，应急</w:t>
      </w:r>
      <w:r>
        <w:rPr>
          <w:rFonts w:hint="eastAsia"/>
          <w:color w:val="auto"/>
          <w:highlight w:val="none"/>
        </w:rPr>
        <w:t>处置</w:t>
      </w:r>
      <w:r>
        <w:rPr>
          <w:color w:val="auto"/>
          <w:highlight w:val="none"/>
        </w:rPr>
        <w:t>组应立即用电话等方式及时通知上级政府部门，由政府部门对事件下风向、可能受影响的单位、社区（主要是附近企业的职工、居民）通报事件及影响，说明疏散的有关事项及方向，减少污染危害。对于车间可通过加强车间通风等方式，尽快稀释车间中的污染物浓度，降低污染危害。进入泄漏现场进行处理时注意事项：进入现场人员必须配备必要的个人防护器具：如防护服、必要的呼吸防护装备等。应急处理时，严禁单独行动，要有监护人，必要时用水枪、水炮掩护。应从上风、上坡处接近现场，严禁盲目进入。</w:t>
      </w:r>
    </w:p>
    <w:p>
      <w:pPr>
        <w:autoSpaceDE w:val="0"/>
        <w:autoSpaceDN w:val="0"/>
        <w:adjustRightInd w:val="0"/>
        <w:spacing w:line="360" w:lineRule="auto"/>
        <w:ind w:firstLine="480" w:firstLineChars="200"/>
        <w:rPr>
          <w:color w:val="auto"/>
          <w:highlight w:val="none"/>
          <w:lang w:val="zh-CN"/>
        </w:rPr>
      </w:pPr>
      <w:r>
        <w:rPr>
          <w:color w:val="auto"/>
          <w:highlight w:val="none"/>
          <w:lang w:val="zh-CN"/>
        </w:rPr>
        <w:t>当发生火灾爆炸事故时，燃烧产生废气对周围局部大气环境造成污染。因此发生事件后立即隔离污染区，切断火源，同时应急通讯组应立即用电话等方式及时通知疏散厂内人员；当发生重大事件时，应急指挥组应立即用电话等方式及时通知上级政府部门，由政府部门对事件下风向、可能受影响的单位、社区（主要是附近企业的职工、居民）通报事件及影响，说明疏散的有关事项及方向，减少污染危害。同时对于车间可通过加强车间通风等方式，尽快稀释车间中的污染物浓度，降低污染危害。</w:t>
      </w:r>
    </w:p>
    <w:p>
      <w:pPr>
        <w:spacing w:line="360" w:lineRule="auto"/>
        <w:ind w:firstLine="480" w:firstLineChars="200"/>
        <w:rPr>
          <w:color w:val="auto"/>
          <w:highlight w:val="none"/>
        </w:rPr>
      </w:pPr>
      <w:r>
        <w:rPr>
          <w:color w:val="auto"/>
          <w:highlight w:val="none"/>
          <w:lang w:val="zh-CN"/>
        </w:rPr>
        <w:t>当事件影响进一步扩大可能危及周边区域的单位安全时，领导小组应与政府有关部门联系，配合政府领导人员疏散至安全地点</w:t>
      </w:r>
      <w:r>
        <w:rPr>
          <w:color w:val="auto"/>
          <w:highlight w:val="none"/>
        </w:rPr>
        <w:t>。</w:t>
      </w:r>
    </w:p>
    <w:p>
      <w:pPr>
        <w:autoSpaceDE w:val="0"/>
        <w:autoSpaceDN w:val="0"/>
        <w:adjustRightInd w:val="0"/>
        <w:snapToGrid w:val="0"/>
        <w:spacing w:line="360" w:lineRule="auto"/>
        <w:ind w:firstLine="480" w:firstLineChars="200"/>
        <w:rPr>
          <w:rFonts w:hint="eastAsia" w:eastAsia="宋体"/>
          <w:color w:val="auto"/>
          <w:kern w:val="0"/>
          <w:highlight w:val="none"/>
          <w:lang w:eastAsia="zh-CN"/>
        </w:rPr>
      </w:pPr>
      <w:bookmarkStart w:id="146" w:name="_Toc28103278"/>
      <w:r>
        <w:rPr>
          <w:color w:val="auto"/>
          <w:kern w:val="0"/>
          <w:highlight w:val="none"/>
        </w:rPr>
        <w:t>责任人：</w:t>
      </w:r>
      <w:r>
        <w:rPr>
          <w:rFonts w:hint="eastAsia"/>
          <w:color w:val="auto"/>
          <w:szCs w:val="21"/>
          <w:highlight w:val="none"/>
          <w:lang w:val="en-US" w:eastAsia="zh-CN"/>
        </w:rPr>
        <w:t>吴科飞</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应急物资：电话、手提式扩音器、警报器等。</w:t>
      </w:r>
    </w:p>
    <w:p>
      <w:pPr>
        <w:pStyle w:val="6"/>
        <w:rPr>
          <w:color w:val="auto"/>
          <w:highlight w:val="none"/>
        </w:rPr>
      </w:pPr>
      <w:r>
        <w:rPr>
          <w:color w:val="auto"/>
          <w:highlight w:val="none"/>
        </w:rPr>
        <w:t>6.4.5 水污染事件保护目标的应急</w:t>
      </w:r>
      <w:bookmarkEnd w:id="146"/>
      <w:r>
        <w:rPr>
          <w:color w:val="auto"/>
          <w:highlight w:val="none"/>
        </w:rPr>
        <w:t>处置</w:t>
      </w:r>
    </w:p>
    <w:p>
      <w:pPr>
        <w:snapToGrid w:val="0"/>
        <w:spacing w:line="360" w:lineRule="auto"/>
        <w:ind w:firstLine="570"/>
        <w:rPr>
          <w:color w:val="auto"/>
          <w:highlight w:val="none"/>
        </w:rPr>
      </w:pPr>
      <w:r>
        <w:rPr>
          <w:color w:val="auto"/>
          <w:highlight w:val="none"/>
        </w:rPr>
        <w:t>公司排水实行“雨污分流”</w:t>
      </w:r>
      <w:r>
        <w:rPr>
          <w:bCs/>
          <w:color w:val="auto"/>
          <w:highlight w:val="none"/>
        </w:rPr>
        <w:t>。</w:t>
      </w:r>
      <w:r>
        <w:rPr>
          <w:rFonts w:hAnsi="宋体"/>
          <w:color w:val="auto"/>
          <w:highlight w:val="none"/>
          <w:lang w:val="zh-CN"/>
        </w:rPr>
        <w:t>全厂设</w:t>
      </w:r>
      <w:r>
        <w:rPr>
          <w:rFonts w:hint="eastAsia"/>
          <w:color w:val="auto"/>
          <w:highlight w:val="none"/>
          <w:lang w:val="zh-CN"/>
        </w:rPr>
        <w:t>1</w:t>
      </w:r>
      <w:r>
        <w:rPr>
          <w:rFonts w:hAnsi="宋体"/>
          <w:color w:val="auto"/>
          <w:highlight w:val="none"/>
          <w:lang w:val="zh-CN"/>
        </w:rPr>
        <w:t>个雨水排放口，</w:t>
      </w:r>
      <w:r>
        <w:rPr>
          <w:rFonts w:hint="eastAsia"/>
          <w:color w:val="auto"/>
          <w:highlight w:val="none"/>
          <w:lang w:val="zh-CN"/>
        </w:rPr>
        <w:t>1</w:t>
      </w:r>
      <w:r>
        <w:rPr>
          <w:rFonts w:hAnsi="宋体"/>
          <w:color w:val="auto"/>
          <w:highlight w:val="none"/>
          <w:lang w:val="zh-CN"/>
        </w:rPr>
        <w:t>个</w:t>
      </w:r>
      <w:r>
        <w:rPr>
          <w:rFonts w:hint="eastAsia" w:hAnsi="宋体"/>
          <w:color w:val="auto"/>
          <w:highlight w:val="none"/>
          <w:lang w:val="en-US" w:eastAsia="zh-CN"/>
        </w:rPr>
        <w:t>生活污水</w:t>
      </w:r>
      <w:r>
        <w:rPr>
          <w:rFonts w:hint="eastAsia" w:hAnsi="宋体"/>
          <w:color w:val="auto"/>
          <w:highlight w:val="none"/>
          <w:lang w:val="zh-CN"/>
        </w:rPr>
        <w:t>排放口。正常情况下，厂区产生的生产废水经污水处理</w:t>
      </w:r>
      <w:r>
        <w:rPr>
          <w:rFonts w:hint="eastAsia" w:hAnsi="宋体"/>
          <w:color w:val="auto"/>
          <w:highlight w:val="none"/>
          <w:lang w:val="en-US" w:eastAsia="zh-CN"/>
        </w:rPr>
        <w:t>设施处理后回用不外排；生活污水经化粪池预</w:t>
      </w:r>
      <w:r>
        <w:rPr>
          <w:rFonts w:hint="eastAsia" w:hAnsi="宋体"/>
          <w:color w:val="auto"/>
          <w:highlight w:val="none"/>
          <w:lang w:val="zh-CN"/>
        </w:rPr>
        <w:t>处理达标后，排入</w:t>
      </w:r>
      <w:r>
        <w:rPr>
          <w:rFonts w:hint="eastAsia" w:ascii="宋体_x0002_." w:hAnsi="宋体_x0002_." w:eastAsia="宋体_x0002_."/>
          <w:color w:val="auto"/>
          <w:sz w:val="24"/>
          <w:szCs w:val="24"/>
          <w:highlight w:val="none"/>
          <w:lang w:val="en-US" w:eastAsia="zh-CN"/>
        </w:rPr>
        <w:t>无锡永达污水处理有限公司集中处理</w:t>
      </w:r>
      <w:r>
        <w:rPr>
          <w:rFonts w:hint="eastAsia" w:hAnsi="宋体"/>
          <w:color w:val="auto"/>
          <w:highlight w:val="none"/>
          <w:lang w:val="zh-CN"/>
        </w:rPr>
        <w:t>。</w:t>
      </w:r>
      <w:r>
        <w:rPr>
          <w:color w:val="auto"/>
          <w:highlight w:val="none"/>
        </w:rPr>
        <w:t>企业若发生水污染事件可能影响周边水体</w:t>
      </w:r>
      <w:r>
        <w:rPr>
          <w:rFonts w:hint="eastAsia"/>
          <w:color w:val="auto"/>
          <w:highlight w:val="none"/>
          <w:lang w:val="en-US" w:eastAsia="zh-CN"/>
        </w:rPr>
        <w:t>白塘河、锡溧运河等</w:t>
      </w:r>
      <w:r>
        <w:rPr>
          <w:color w:val="auto"/>
          <w:highlight w:val="none"/>
        </w:rPr>
        <w:t>。</w:t>
      </w:r>
    </w:p>
    <w:p>
      <w:pPr>
        <w:autoSpaceDE w:val="0"/>
        <w:autoSpaceDN w:val="0"/>
        <w:adjustRightInd w:val="0"/>
        <w:spacing w:line="360" w:lineRule="auto"/>
        <w:ind w:firstLine="480" w:firstLineChars="200"/>
        <w:rPr>
          <w:color w:val="auto"/>
          <w:highlight w:val="none"/>
        </w:rPr>
      </w:pPr>
      <w:r>
        <w:rPr>
          <w:color w:val="auto"/>
          <w:kern w:val="0"/>
          <w:szCs w:val="28"/>
          <w:highlight w:val="none"/>
        </w:rPr>
        <w:t>火灾爆炸事故发生时，消防尾水可能引发次生水污染事故风险。如使用消防栓控制火势，在消防灭火的同时，</w:t>
      </w:r>
      <w:r>
        <w:rPr>
          <w:rFonts w:hint="eastAsia"/>
          <w:color w:val="auto"/>
          <w:szCs w:val="36"/>
          <w:highlight w:val="none"/>
        </w:rPr>
        <w:t>生产车间内的事故废水经收集沟进入厂内的污水管网中，并将其引入事故池</w:t>
      </w:r>
      <w:r>
        <w:rPr>
          <w:rFonts w:hint="eastAsia"/>
          <w:color w:val="auto"/>
          <w:szCs w:val="36"/>
          <w:highlight w:val="none"/>
          <w:lang w:val="en-US" w:eastAsia="zh-CN"/>
        </w:rPr>
        <w:t>以及雨水收集</w:t>
      </w:r>
      <w:r>
        <w:rPr>
          <w:rFonts w:hint="eastAsia"/>
          <w:color w:val="auto"/>
          <w:szCs w:val="36"/>
          <w:highlight w:val="none"/>
        </w:rPr>
        <w:t>池中收集；</w:t>
      </w:r>
      <w:r>
        <w:rPr>
          <w:color w:val="auto"/>
          <w:szCs w:val="36"/>
          <w:highlight w:val="none"/>
          <w:lang w:val="zh-CN"/>
        </w:rPr>
        <w:t>采用雨水切换阀截断废水，</w:t>
      </w:r>
      <w:r>
        <w:rPr>
          <w:rFonts w:hint="eastAsia"/>
          <w:color w:val="auto"/>
          <w:highlight w:val="none"/>
        </w:rPr>
        <w:t>并将</w:t>
      </w:r>
      <w:r>
        <w:rPr>
          <w:color w:val="auto"/>
          <w:highlight w:val="none"/>
        </w:rPr>
        <w:t>废水</w:t>
      </w:r>
      <w:r>
        <w:rPr>
          <w:rFonts w:hint="eastAsia"/>
          <w:color w:val="auto"/>
          <w:highlight w:val="none"/>
        </w:rPr>
        <w:t>抽入污水管网中确保其进</w:t>
      </w:r>
      <w:r>
        <w:rPr>
          <w:color w:val="auto"/>
          <w:highlight w:val="none"/>
        </w:rPr>
        <w:t>入</w:t>
      </w:r>
      <w:r>
        <w:rPr>
          <w:rFonts w:hint="eastAsia"/>
          <w:color w:val="auto"/>
          <w:szCs w:val="36"/>
          <w:highlight w:val="none"/>
        </w:rPr>
        <w:t>事故池</w:t>
      </w:r>
      <w:r>
        <w:rPr>
          <w:rFonts w:hint="eastAsia"/>
          <w:color w:val="auto"/>
          <w:szCs w:val="36"/>
          <w:highlight w:val="none"/>
          <w:lang w:val="en-US" w:eastAsia="zh-CN"/>
        </w:rPr>
        <w:t>以及雨水收集</w:t>
      </w:r>
      <w:r>
        <w:rPr>
          <w:rFonts w:hint="eastAsia"/>
          <w:color w:val="auto"/>
          <w:szCs w:val="36"/>
          <w:highlight w:val="none"/>
        </w:rPr>
        <w:t>池中</w:t>
      </w:r>
      <w:r>
        <w:rPr>
          <w:rFonts w:hint="eastAsia"/>
          <w:color w:val="auto"/>
          <w:highlight w:val="none"/>
        </w:rPr>
        <w:t>收集，</w:t>
      </w:r>
      <w:r>
        <w:rPr>
          <w:rFonts w:hint="eastAsia"/>
          <w:color w:val="auto"/>
          <w:szCs w:val="36"/>
          <w:highlight w:val="none"/>
        </w:rPr>
        <w:t>待事故结束后，通过厂内污水处理站处理达标后排放，或不能处理时</w:t>
      </w:r>
      <w:r>
        <w:rPr>
          <w:rFonts w:hint="eastAsia"/>
          <w:color w:val="auto"/>
          <w:szCs w:val="36"/>
          <w:highlight w:val="none"/>
          <w:lang w:val="zh-CN"/>
        </w:rPr>
        <w:t>根据事故废水水质委托相关单位处置。</w:t>
      </w:r>
    </w:p>
    <w:p>
      <w:pPr>
        <w:snapToGrid w:val="0"/>
        <w:spacing w:line="360" w:lineRule="auto"/>
        <w:ind w:firstLine="570"/>
        <w:rPr>
          <w:color w:val="auto"/>
          <w:highlight w:val="none"/>
        </w:rPr>
      </w:pPr>
      <w:r>
        <w:rPr>
          <w:rFonts w:hint="eastAsia"/>
          <w:color w:val="auto"/>
          <w:highlight w:val="none"/>
        </w:rPr>
        <w:t>当发生事故时，在处置及时有效的情况下，水污染只影响到周边水域，不会大范围扩散；处置不利时，事故废水、消防废水或泄漏物料流入周边河道时，须立即向环保、水利等部门汇报，通知有关部门关闭河道水体控制阀门，防止水污染事故扩大。具体处置措施如下：</w:t>
      </w:r>
    </w:p>
    <w:p>
      <w:pPr>
        <w:snapToGrid w:val="0"/>
        <w:spacing w:line="360" w:lineRule="auto"/>
        <w:ind w:firstLine="570"/>
        <w:rPr>
          <w:color w:val="auto"/>
          <w:highlight w:val="none"/>
        </w:rPr>
      </w:pPr>
      <w:r>
        <w:rPr>
          <w:rFonts w:hint="eastAsia"/>
          <w:color w:val="auto"/>
          <w:highlight w:val="none"/>
        </w:rPr>
        <w:t>（1）现场人员发现事故后，立即按事故报告程序进行报告，公司领导请求政府部门应急指挥中心、生态环境局、环境监测站等和周边企业的支援；</w:t>
      </w:r>
    </w:p>
    <w:p>
      <w:pPr>
        <w:snapToGrid w:val="0"/>
        <w:spacing w:line="360" w:lineRule="auto"/>
        <w:ind w:firstLine="570"/>
        <w:rPr>
          <w:color w:val="auto"/>
          <w:highlight w:val="none"/>
        </w:rPr>
      </w:pPr>
      <w:r>
        <w:rPr>
          <w:rFonts w:hint="eastAsia"/>
          <w:color w:val="auto"/>
          <w:highlight w:val="none"/>
        </w:rPr>
        <w:t>（2）向污染河道内投加絮凝剂、吸附剂、中和剂进行处理；</w:t>
      </w:r>
    </w:p>
    <w:p>
      <w:pPr>
        <w:snapToGrid w:val="0"/>
        <w:spacing w:line="360" w:lineRule="auto"/>
        <w:ind w:firstLine="570"/>
        <w:rPr>
          <w:color w:val="auto"/>
          <w:highlight w:val="none"/>
        </w:rPr>
      </w:pPr>
      <w:r>
        <w:rPr>
          <w:rFonts w:hint="eastAsia"/>
          <w:color w:val="auto"/>
          <w:highlight w:val="none"/>
        </w:rPr>
        <w:t>（3）待应急指挥中心工程救援车到场后，将污染河道段两段用块石、砂袋等进行封堵，切断与外界水体的联系，有效防止污染物进一步扩散；</w:t>
      </w:r>
    </w:p>
    <w:p>
      <w:pPr>
        <w:snapToGrid w:val="0"/>
        <w:spacing w:line="360" w:lineRule="auto"/>
        <w:ind w:firstLine="570"/>
        <w:rPr>
          <w:color w:val="auto"/>
          <w:highlight w:val="none"/>
        </w:rPr>
      </w:pPr>
      <w:r>
        <w:rPr>
          <w:rFonts w:hint="eastAsia"/>
          <w:color w:val="auto"/>
          <w:highlight w:val="none"/>
        </w:rPr>
        <w:t>（4）用抽水泵将被污染的水抽至槽车内，底泥进行清理，作为危险废物进行处置；</w:t>
      </w:r>
    </w:p>
    <w:p>
      <w:pPr>
        <w:snapToGrid w:val="0"/>
        <w:spacing w:line="360" w:lineRule="auto"/>
        <w:ind w:firstLine="570"/>
        <w:rPr>
          <w:color w:val="auto"/>
          <w:highlight w:val="none"/>
        </w:rPr>
      </w:pPr>
      <w:r>
        <w:rPr>
          <w:rFonts w:hint="eastAsia"/>
          <w:color w:val="auto"/>
          <w:highlight w:val="none"/>
        </w:rPr>
        <w:t>（5）将封堵物移走，污染河道重新汇入水流，监测站人员取样分析，当监测指标符合水体功能标准后，通知有关取水部门打开水阀。</w:t>
      </w:r>
    </w:p>
    <w:p>
      <w:pPr>
        <w:snapToGrid w:val="0"/>
        <w:spacing w:line="360" w:lineRule="auto"/>
        <w:ind w:firstLine="570"/>
        <w:rPr>
          <w:color w:val="auto"/>
          <w:highlight w:val="none"/>
        </w:rPr>
      </w:pPr>
      <w:r>
        <w:rPr>
          <w:rFonts w:hint="eastAsia"/>
          <w:color w:val="auto"/>
          <w:highlight w:val="none"/>
        </w:rPr>
        <w:t>（6）当物料大量泄漏或消防尾水产生量较大时，通过管网收集废液，在事故得到控制后，根据污染物的特性，选择合适的处置、吸收措施和药剂进行处置，减少污染物排放量，或作为危险废物委外处理。</w:t>
      </w:r>
    </w:p>
    <w:p>
      <w:pPr>
        <w:autoSpaceDE w:val="0"/>
        <w:autoSpaceDN w:val="0"/>
        <w:adjustRightInd w:val="0"/>
        <w:snapToGrid w:val="0"/>
        <w:spacing w:line="360" w:lineRule="auto"/>
        <w:ind w:firstLine="480" w:firstLineChars="200"/>
        <w:rPr>
          <w:rFonts w:hint="eastAsia" w:eastAsia="宋体"/>
          <w:color w:val="auto"/>
          <w:kern w:val="0"/>
          <w:highlight w:val="none"/>
          <w:lang w:val="en-US" w:eastAsia="zh-CN"/>
        </w:rPr>
      </w:pPr>
      <w:r>
        <w:rPr>
          <w:color w:val="auto"/>
          <w:kern w:val="0"/>
          <w:highlight w:val="none"/>
        </w:rPr>
        <w:t>责任人：</w:t>
      </w:r>
      <w:r>
        <w:rPr>
          <w:rFonts w:hint="eastAsia"/>
          <w:color w:val="auto"/>
          <w:szCs w:val="21"/>
          <w:highlight w:val="none"/>
          <w:lang w:val="en-US" w:eastAsia="zh-CN"/>
        </w:rPr>
        <w:t>吴科飞</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应急物资：</w:t>
      </w:r>
      <w:r>
        <w:rPr>
          <w:rFonts w:hint="eastAsia"/>
          <w:color w:val="auto"/>
          <w:kern w:val="0"/>
          <w:szCs w:val="28"/>
          <w:highlight w:val="none"/>
        </w:rPr>
        <w:t>雨水切断阀、</w:t>
      </w:r>
      <w:r>
        <w:rPr>
          <w:color w:val="auto"/>
          <w:kern w:val="0"/>
          <w:szCs w:val="28"/>
          <w:highlight w:val="none"/>
        </w:rPr>
        <w:t>事故应急池</w:t>
      </w:r>
      <w:r>
        <w:rPr>
          <w:rFonts w:hint="eastAsia"/>
          <w:color w:val="auto"/>
          <w:kern w:val="0"/>
          <w:szCs w:val="28"/>
          <w:highlight w:val="none"/>
          <w:lang w:eastAsia="zh-CN"/>
        </w:rPr>
        <w:t>、</w:t>
      </w:r>
      <w:r>
        <w:rPr>
          <w:rFonts w:hint="eastAsia"/>
          <w:color w:val="auto"/>
          <w:kern w:val="0"/>
          <w:szCs w:val="28"/>
          <w:highlight w:val="none"/>
          <w:lang w:val="en-US" w:eastAsia="zh-CN"/>
        </w:rPr>
        <w:t>雨水收集池、应急泵、应急电源（救援单位提供）</w:t>
      </w:r>
      <w:r>
        <w:rPr>
          <w:color w:val="auto"/>
          <w:kern w:val="0"/>
          <w:szCs w:val="28"/>
          <w:highlight w:val="none"/>
        </w:rPr>
        <w:t>等。</w:t>
      </w:r>
    </w:p>
    <w:p>
      <w:pPr>
        <w:pStyle w:val="6"/>
        <w:rPr>
          <w:color w:val="auto"/>
          <w:highlight w:val="none"/>
        </w:rPr>
      </w:pPr>
      <w:bookmarkStart w:id="147" w:name="_Toc28103279"/>
      <w:r>
        <w:rPr>
          <w:color w:val="auto"/>
          <w:highlight w:val="none"/>
        </w:rPr>
        <w:t>6.4.6 人员撤离及疏散</w:t>
      </w:r>
      <w:bookmarkEnd w:id="147"/>
    </w:p>
    <w:p>
      <w:pPr>
        <w:pStyle w:val="29"/>
        <w:rPr>
          <w:rFonts w:ascii="Times New Roman" w:hAnsi="Times New Roman"/>
          <w:color w:val="auto"/>
          <w:highlight w:val="none"/>
        </w:rPr>
      </w:pPr>
      <w:r>
        <w:rPr>
          <w:rFonts w:ascii="Times New Roman" w:hAnsi="Times New Roman"/>
          <w:color w:val="auto"/>
          <w:highlight w:val="none"/>
        </w:rPr>
        <w:t>当事故后果较为严重，可能对人群造成较为严重危害时应发出隔离与疏散指令。</w:t>
      </w:r>
    </w:p>
    <w:p>
      <w:pPr>
        <w:pStyle w:val="29"/>
        <w:rPr>
          <w:rFonts w:ascii="Times New Roman" w:hAnsi="Times New Roman"/>
          <w:color w:val="auto"/>
          <w:highlight w:val="none"/>
        </w:rPr>
      </w:pPr>
      <w:r>
        <w:rPr>
          <w:rFonts w:ascii="Times New Roman" w:hAnsi="Times New Roman"/>
          <w:color w:val="auto"/>
          <w:highlight w:val="none"/>
        </w:rPr>
        <w:t>（1）人员隔离</w:t>
      </w:r>
    </w:p>
    <w:p>
      <w:pPr>
        <w:pStyle w:val="29"/>
        <w:rPr>
          <w:rFonts w:ascii="Times New Roman" w:hAnsi="Times New Roman"/>
          <w:color w:val="auto"/>
          <w:highlight w:val="none"/>
        </w:rPr>
      </w:pPr>
      <w:r>
        <w:rPr>
          <w:rFonts w:ascii="Times New Roman" w:hAnsi="Times New Roman"/>
          <w:color w:val="auto"/>
          <w:highlight w:val="none"/>
        </w:rPr>
        <w:t>1）危险区设定依据、初始危险区域设定的一般原则</w:t>
      </w:r>
    </w:p>
    <w:p>
      <w:pPr>
        <w:pStyle w:val="29"/>
        <w:rPr>
          <w:rFonts w:ascii="Times New Roman" w:hAnsi="Times New Roman"/>
          <w:color w:val="auto"/>
          <w:highlight w:val="none"/>
        </w:rPr>
      </w:pPr>
      <w:r>
        <w:rPr>
          <w:rFonts w:ascii="Times New Roman" w:hAnsi="Times New Roman"/>
          <w:color w:val="auto"/>
          <w:highlight w:val="none"/>
        </w:rPr>
        <w:t>根据泄漏物质特性以及当时风向和厂区内地面环境状况，由应急指挥部划定紧急隔离区域，除污区域和支援区（见图6.4-1），以便及时开展抢险和救援。</w:t>
      </w:r>
    </w:p>
    <w:p>
      <w:pPr>
        <w:pStyle w:val="31"/>
        <w:rPr>
          <w:rFonts w:ascii="Times New Roman" w:hAnsi="Times New Roman" w:eastAsia="宋体"/>
          <w:color w:val="auto"/>
          <w:highlight w:val="none"/>
        </w:rPr>
      </w:pPr>
      <w:r>
        <w:rPr>
          <w:rFonts w:ascii="Times New Roman" w:hAnsi="Times New Roman" w:eastAsia="宋体"/>
          <w:color w:val="auto"/>
          <w:highlight w:val="none"/>
        </w:rPr>
        <w:t xml:space="preserve"> </w:t>
      </w:r>
      <w:r>
        <w:rPr>
          <w:rFonts w:ascii="Times New Roman" w:hAnsi="Times New Roman" w:eastAsia="宋体"/>
          <w:color w:val="auto"/>
          <w:highlight w:val="none"/>
        </w:rPr>
        <w:drawing>
          <wp:inline distT="0" distB="0" distL="114300" distR="114300">
            <wp:extent cx="3709670" cy="2226945"/>
            <wp:effectExtent l="0" t="0" r="5080" b="1905"/>
            <wp:docPr id="370" name="图片 2"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2" descr="未命名"/>
                    <pic:cNvPicPr>
                      <a:picLocks noChangeAspect="1"/>
                    </pic:cNvPicPr>
                  </pic:nvPicPr>
                  <pic:blipFill>
                    <a:blip r:embed="rId11"/>
                    <a:stretch>
                      <a:fillRect/>
                    </a:stretch>
                  </pic:blipFill>
                  <pic:spPr>
                    <a:xfrm>
                      <a:off x="0" y="0"/>
                      <a:ext cx="3709670" cy="2226945"/>
                    </a:xfrm>
                    <a:prstGeom prst="rect">
                      <a:avLst/>
                    </a:prstGeom>
                    <a:noFill/>
                    <a:ln>
                      <a:noFill/>
                    </a:ln>
                  </pic:spPr>
                </pic:pic>
              </a:graphicData>
            </a:graphic>
          </wp:inline>
        </w:drawing>
      </w:r>
    </w:p>
    <w:p>
      <w:pPr>
        <w:pStyle w:val="30"/>
        <w:spacing w:line="360" w:lineRule="auto"/>
        <w:rPr>
          <w:color w:val="auto"/>
          <w:highlight w:val="none"/>
        </w:rPr>
      </w:pPr>
      <w:r>
        <w:rPr>
          <w:color w:val="auto"/>
          <w:highlight w:val="none"/>
        </w:rPr>
        <w:t>图6.4-1  事故处理管制区域划分示意图</w:t>
      </w:r>
    </w:p>
    <w:p>
      <w:pPr>
        <w:spacing w:line="360" w:lineRule="auto"/>
        <w:ind w:firstLine="560"/>
        <w:rPr>
          <w:color w:val="auto"/>
          <w:szCs w:val="21"/>
          <w:highlight w:val="none"/>
        </w:rPr>
      </w:pPr>
      <w:r>
        <w:rPr>
          <w:color w:val="auto"/>
          <w:highlight w:val="none"/>
        </w:rPr>
        <w:t>热区又称禁区、隔离区，为泄漏事故发生地点。其紧急隔离距离，随着化学物质种类及泄漏火灾状况的不同而有差异。</w:t>
      </w:r>
    </w:p>
    <w:p>
      <w:pPr>
        <w:pStyle w:val="29"/>
        <w:rPr>
          <w:rFonts w:ascii="Times New Roman" w:hAnsi="Times New Roman"/>
          <w:color w:val="auto"/>
          <w:highlight w:val="none"/>
        </w:rPr>
      </w:pPr>
      <w:r>
        <w:rPr>
          <w:rFonts w:ascii="Times New Roman" w:hAnsi="Times New Roman"/>
          <w:color w:val="auto"/>
          <w:highlight w:val="none"/>
        </w:rPr>
        <w:t>暖区又称除污区，主要作用是供除污设备架设，可作为指挥部及救护站架设位置所在区域(冷区)的缓冲区域。这个缓冲地带根据现场除污设备的需求，大约需要25米的距离，但考虑大量泄漏、伴随火灾、及大量气体扩散时，必要时可</w:t>
      </w:r>
      <w:r>
        <w:rPr>
          <w:rFonts w:hint="eastAsia" w:ascii="Times New Roman" w:hAnsi="Times New Roman"/>
          <w:color w:val="auto"/>
          <w:highlight w:val="none"/>
        </w:rPr>
        <w:t>增加距离</w:t>
      </w:r>
      <w:r>
        <w:rPr>
          <w:rFonts w:hint="eastAsia" w:ascii="Times New Roman" w:hAnsi="Times New Roman"/>
          <w:color w:val="auto"/>
          <w:highlight w:val="none"/>
          <w:lang w:eastAsia="zh-CN"/>
        </w:rPr>
        <w:t>。</w:t>
      </w:r>
      <w:r>
        <w:rPr>
          <w:rFonts w:ascii="Times New Roman" w:hAnsi="Times New Roman"/>
          <w:color w:val="auto"/>
          <w:highlight w:val="none"/>
        </w:rPr>
        <w:t>除污站必须设在事故地点上风处，但仍需注意火灾爆炸的破片以及有害气体扩散的威胁。</w:t>
      </w:r>
    </w:p>
    <w:p>
      <w:pPr>
        <w:pStyle w:val="29"/>
        <w:rPr>
          <w:rFonts w:ascii="Times New Roman" w:hAnsi="Times New Roman"/>
          <w:color w:val="auto"/>
          <w:highlight w:val="none"/>
        </w:rPr>
      </w:pPr>
      <w:r>
        <w:rPr>
          <w:rFonts w:ascii="Times New Roman" w:hAnsi="Times New Roman"/>
          <w:color w:val="auto"/>
          <w:highlight w:val="none"/>
        </w:rPr>
        <w:t>冷区又称为安全区、支援区或指挥区，是尚未被污染之区域。但由于缓冲区域可能因任务需求而扩大，导致冷区也有部份区域或全部遭污染。指挥人员、救援队伍以及后勤人员，均在冷区集结，必要时可向后撤至适当距离。</w:t>
      </w:r>
    </w:p>
    <w:p>
      <w:pPr>
        <w:spacing w:line="360" w:lineRule="auto"/>
        <w:ind w:firstLine="560"/>
        <w:rPr>
          <w:color w:val="auto"/>
          <w:szCs w:val="21"/>
          <w:highlight w:val="none"/>
        </w:rPr>
      </w:pPr>
      <w:r>
        <w:rPr>
          <w:color w:val="auto"/>
          <w:szCs w:val="21"/>
          <w:highlight w:val="none"/>
        </w:rPr>
        <w:t>发生较大环境事件，以事故地为中心，将半径150米以内区域划分为危险核心区，将距事故点中心周边300米以内的区域划分为危险区，危险区以外为安全区。发生一般环境事件，以事故地为中心，将半径50米以内的区域为危险核心区，将距事故地周边150米区域内为危险区，危险区以外为安全区。</w:t>
      </w:r>
    </w:p>
    <w:p>
      <w:pPr>
        <w:pStyle w:val="29"/>
        <w:rPr>
          <w:rFonts w:ascii="Times New Roman" w:hAnsi="Times New Roman"/>
          <w:color w:val="auto"/>
          <w:highlight w:val="none"/>
        </w:rPr>
      </w:pPr>
      <w:r>
        <w:rPr>
          <w:rFonts w:ascii="Times New Roman" w:hAnsi="Times New Roman"/>
          <w:color w:val="auto"/>
          <w:highlight w:val="none"/>
        </w:rPr>
        <w:t>2）事故现场隔离方法</w:t>
      </w:r>
    </w:p>
    <w:p>
      <w:pPr>
        <w:spacing w:line="360" w:lineRule="auto"/>
        <w:ind w:firstLine="560"/>
        <w:rPr>
          <w:color w:val="auto"/>
          <w:szCs w:val="21"/>
          <w:highlight w:val="none"/>
        </w:rPr>
      </w:pPr>
      <w:r>
        <w:rPr>
          <w:color w:val="auto"/>
          <w:szCs w:val="21"/>
          <w:highlight w:val="none"/>
        </w:rPr>
        <w:t>①按设定的危险区边缘设置警示带（用红色彩带</w:t>
      </w:r>
      <w:r>
        <w:rPr>
          <w:rFonts w:hint="eastAsia"/>
          <w:color w:val="auto"/>
          <w:szCs w:val="21"/>
          <w:highlight w:val="none"/>
        </w:rPr>
        <w:t>等</w:t>
      </w:r>
      <w:r>
        <w:rPr>
          <w:color w:val="auto"/>
          <w:szCs w:val="21"/>
          <w:highlight w:val="none"/>
        </w:rPr>
        <w:t>）</w:t>
      </w:r>
    </w:p>
    <w:p>
      <w:pPr>
        <w:spacing w:line="360" w:lineRule="auto"/>
        <w:ind w:firstLine="560"/>
        <w:rPr>
          <w:color w:val="auto"/>
          <w:szCs w:val="21"/>
          <w:highlight w:val="none"/>
        </w:rPr>
      </w:pPr>
      <w:r>
        <w:rPr>
          <w:color w:val="auto"/>
          <w:szCs w:val="21"/>
          <w:highlight w:val="none"/>
        </w:rPr>
        <w:t>②各警戒隔区出入口设警戒哨、治安人员把守，限制人员车辆进入。</w:t>
      </w:r>
    </w:p>
    <w:p>
      <w:pPr>
        <w:spacing w:line="360" w:lineRule="auto"/>
        <w:ind w:firstLine="560"/>
        <w:rPr>
          <w:color w:val="auto"/>
          <w:szCs w:val="21"/>
          <w:highlight w:val="none"/>
        </w:rPr>
      </w:pPr>
      <w:r>
        <w:rPr>
          <w:color w:val="auto"/>
          <w:szCs w:val="21"/>
          <w:highlight w:val="none"/>
        </w:rPr>
        <w:t>③对事故周边区域周边道路实施隔离交通管制疏导车辆，保证应急救援的通道要畅通。</w:t>
      </w:r>
    </w:p>
    <w:p>
      <w:pPr>
        <w:pStyle w:val="29"/>
        <w:rPr>
          <w:rFonts w:ascii="Times New Roman" w:hAnsi="Times New Roman"/>
          <w:color w:val="auto"/>
          <w:highlight w:val="none"/>
        </w:rPr>
      </w:pPr>
      <w:r>
        <w:rPr>
          <w:rFonts w:ascii="Times New Roman" w:hAnsi="Times New Roman"/>
          <w:color w:val="auto"/>
          <w:highlight w:val="none"/>
        </w:rPr>
        <w:t>3）隔离措施</w:t>
      </w:r>
    </w:p>
    <w:p>
      <w:pPr>
        <w:pStyle w:val="29"/>
        <w:rPr>
          <w:rFonts w:ascii="Times New Roman" w:hAnsi="Times New Roman"/>
          <w:color w:val="auto"/>
          <w:highlight w:val="none"/>
        </w:rPr>
      </w:pPr>
      <w:r>
        <w:rPr>
          <w:rFonts w:ascii="Times New Roman" w:hAnsi="Times New Roman"/>
          <w:color w:val="auto"/>
          <w:highlight w:val="none"/>
        </w:rPr>
        <w:t xml:space="preserve">事故现场在主要进出点由保安队把守，禁止与事故处理无关人员进入现场。 </w:t>
      </w:r>
    </w:p>
    <w:p>
      <w:pPr>
        <w:pStyle w:val="29"/>
        <w:rPr>
          <w:rFonts w:ascii="Times New Roman" w:hAnsi="Times New Roman"/>
          <w:color w:val="auto"/>
          <w:highlight w:val="none"/>
        </w:rPr>
      </w:pPr>
      <w:r>
        <w:rPr>
          <w:rFonts w:ascii="Times New Roman" w:hAnsi="Times New Roman"/>
          <w:color w:val="auto"/>
          <w:highlight w:val="none"/>
        </w:rPr>
        <w:t>4）事故现场周边区域的交通</w:t>
      </w:r>
    </w:p>
    <w:p>
      <w:pPr>
        <w:pStyle w:val="29"/>
        <w:rPr>
          <w:rFonts w:ascii="Times New Roman" w:hAnsi="Times New Roman"/>
          <w:color w:val="auto"/>
          <w:highlight w:val="none"/>
        </w:rPr>
      </w:pPr>
      <w:r>
        <w:rPr>
          <w:rFonts w:ascii="Times New Roman" w:hAnsi="Times New Roman"/>
          <w:color w:val="auto"/>
          <w:highlight w:val="none"/>
        </w:rPr>
        <w:t>在事故发生后，根据需要由保安队协助公安部门对厂区和周边区域的相关道路进行交通管制，在相关路口设专门人员疏导交通。</w:t>
      </w:r>
    </w:p>
    <w:p>
      <w:pPr>
        <w:pStyle w:val="29"/>
        <w:rPr>
          <w:rFonts w:ascii="Times New Roman" w:hAnsi="Times New Roman"/>
          <w:color w:val="auto"/>
          <w:highlight w:val="none"/>
        </w:rPr>
      </w:pPr>
      <w:r>
        <w:rPr>
          <w:rFonts w:ascii="Times New Roman" w:hAnsi="Times New Roman"/>
          <w:color w:val="auto"/>
          <w:highlight w:val="none"/>
        </w:rPr>
        <w:t>（2）人员疏散</w:t>
      </w:r>
    </w:p>
    <w:p>
      <w:pPr>
        <w:pStyle w:val="29"/>
        <w:rPr>
          <w:rFonts w:ascii="Times New Roman" w:hAnsi="Times New Roman"/>
          <w:color w:val="auto"/>
          <w:highlight w:val="none"/>
        </w:rPr>
      </w:pPr>
      <w:r>
        <w:rPr>
          <w:rFonts w:ascii="Times New Roman" w:hAnsi="Times New Roman"/>
          <w:color w:val="auto"/>
          <w:highlight w:val="none"/>
        </w:rPr>
        <w:t>事故区的疏散指令由现场应急指挥部负责发布。本预案已明确了疏散线路、厂区疏散集合点与厂外疏散集合点。发出疏散指令后，本公司员工首先前往厂区疏散集合点集合。当应急领导小组认为需要时，相关人员继续向厂外疏散集合点疏散。应急领导小组应在厂区疏散集合点指定集合点指挥员，主要负责维持集合点的秩序，清单人数，指挥下一步的行动。治安队负责疏散行动的组织、引导工作。</w:t>
      </w:r>
    </w:p>
    <w:p>
      <w:pPr>
        <w:pStyle w:val="29"/>
        <w:rPr>
          <w:rFonts w:ascii="Times New Roman" w:hAnsi="Times New Roman"/>
          <w:color w:val="auto"/>
          <w:highlight w:val="none"/>
        </w:rPr>
      </w:pPr>
      <w:r>
        <w:rPr>
          <w:rFonts w:ascii="Times New Roman" w:hAnsi="Times New Roman"/>
          <w:color w:val="auto"/>
          <w:highlight w:val="none"/>
        </w:rPr>
        <w:t>事故区外的疏散指令由应急领导小组负责发布。本预案已明确了疏散线路、厂区疏散集合点与厂外疏散集合点。发出疏散指令后，本公司员工首先前往厂区疏散集合点集合。当应急领导小组认为需要时，相关人员继续向厂外疏散集合点疏散。应急领导小组应在厂区疏散集合点指定集合点指挥员，主要负责维持集合点的秩序，清单人数，指挥下一步的行动。治安队负责疏散行动的组织、引导工作。</w:t>
      </w:r>
    </w:p>
    <w:p>
      <w:pPr>
        <w:pStyle w:val="6"/>
        <w:rPr>
          <w:color w:val="auto"/>
          <w:highlight w:val="none"/>
        </w:rPr>
      </w:pPr>
      <w:bookmarkStart w:id="148" w:name="_Toc28103280"/>
      <w:r>
        <w:rPr>
          <w:color w:val="auto"/>
          <w:highlight w:val="none"/>
        </w:rPr>
        <w:t>6.4.7 受伤人员现场救护、救治与医院救治</w:t>
      </w:r>
      <w:bookmarkEnd w:id="148"/>
    </w:p>
    <w:p>
      <w:pPr>
        <w:widowControl/>
        <w:snapToGrid w:val="0"/>
        <w:spacing w:line="360" w:lineRule="auto"/>
        <w:ind w:firstLine="482" w:firstLineChars="200"/>
        <w:jc w:val="left"/>
        <w:rPr>
          <w:b/>
          <w:color w:val="auto"/>
          <w:kern w:val="0"/>
          <w:szCs w:val="28"/>
          <w:highlight w:val="none"/>
        </w:rPr>
      </w:pPr>
      <w:r>
        <w:rPr>
          <w:b/>
          <w:color w:val="auto"/>
          <w:kern w:val="0"/>
          <w:szCs w:val="28"/>
          <w:highlight w:val="none"/>
        </w:rPr>
        <w:t>A现场救护和医院救治</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伤者应迅速脱离现场，转移到空气新鲜的地方，松开扎紧的衣服，仔细检查病人的病情。在搬运过程中，要注意冷静，注意安全。现场急救注意事项</w:t>
      </w:r>
      <w:r>
        <w:rPr>
          <w:rFonts w:hint="eastAsia"/>
          <w:color w:val="auto"/>
          <w:kern w:val="0"/>
          <w:szCs w:val="28"/>
          <w:highlight w:val="none"/>
        </w:rPr>
        <w:t>：</w:t>
      </w:r>
      <w:r>
        <w:rPr>
          <w:color w:val="auto"/>
          <w:kern w:val="0"/>
          <w:szCs w:val="28"/>
          <w:highlight w:val="none"/>
        </w:rPr>
        <w:t>选择有利地形设置急救点；做好自身及伤病员的个体防护；防止继发性损害；至少2－3人为一组集体行动；</w:t>
      </w:r>
      <w:r>
        <w:rPr>
          <w:rFonts w:hint="eastAsia"/>
          <w:color w:val="auto"/>
          <w:kern w:val="0"/>
          <w:szCs w:val="28"/>
          <w:highlight w:val="none"/>
        </w:rPr>
        <w:t>进行爆炸性救援环境时</w:t>
      </w:r>
      <w:r>
        <w:rPr>
          <w:rFonts w:hint="eastAsia"/>
          <w:color w:val="auto"/>
          <w:kern w:val="0"/>
          <w:szCs w:val="28"/>
          <w:highlight w:val="none"/>
          <w:lang w:eastAsia="zh-CN"/>
        </w:rPr>
        <w:t>，</w:t>
      </w:r>
      <w:r>
        <w:rPr>
          <w:color w:val="auto"/>
          <w:kern w:val="0"/>
          <w:szCs w:val="28"/>
          <w:highlight w:val="none"/>
        </w:rPr>
        <w:t>所用救援器材</w:t>
      </w:r>
      <w:r>
        <w:rPr>
          <w:rFonts w:hint="eastAsia"/>
          <w:color w:val="auto"/>
          <w:kern w:val="0"/>
          <w:szCs w:val="28"/>
          <w:highlight w:val="none"/>
          <w:lang w:eastAsia="zh-CN"/>
        </w:rPr>
        <w:t>需</w:t>
      </w:r>
      <w:r>
        <w:rPr>
          <w:color w:val="auto"/>
          <w:kern w:val="0"/>
          <w:szCs w:val="28"/>
          <w:highlight w:val="none"/>
        </w:rPr>
        <w:t>具备防爆功能。</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尽快联系附近的无锡惠山区</w:t>
      </w:r>
      <w:r>
        <w:rPr>
          <w:rFonts w:hint="eastAsia"/>
          <w:color w:val="auto"/>
          <w:kern w:val="0"/>
          <w:szCs w:val="28"/>
          <w:highlight w:val="none"/>
        </w:rPr>
        <w:t>人民医院</w:t>
      </w:r>
      <w:r>
        <w:rPr>
          <w:color w:val="auto"/>
          <w:kern w:val="0"/>
          <w:szCs w:val="28"/>
          <w:highlight w:val="none"/>
        </w:rPr>
        <w:t>。到医院就诊后，由医师根据病情进行受伤程度分级。</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(1)</w:t>
      </w:r>
      <w:r>
        <w:rPr>
          <w:rFonts w:hint="eastAsia"/>
          <w:color w:val="auto"/>
          <w:kern w:val="0"/>
          <w:szCs w:val="28"/>
          <w:highlight w:val="none"/>
        </w:rPr>
        <w:t>惠山区</w:t>
      </w:r>
      <w:r>
        <w:rPr>
          <w:color w:val="auto"/>
          <w:kern w:val="0"/>
          <w:szCs w:val="28"/>
          <w:highlight w:val="none"/>
        </w:rPr>
        <w:t>人民医院  地址：</w:t>
      </w:r>
      <w:r>
        <w:rPr>
          <w:rFonts w:hint="eastAsia"/>
          <w:color w:val="auto"/>
          <w:kern w:val="0"/>
          <w:szCs w:val="28"/>
          <w:highlight w:val="none"/>
        </w:rPr>
        <w:t>无锡市惠山区洛社镇站前北路2号</w:t>
      </w:r>
      <w:r>
        <w:rPr>
          <w:color w:val="auto"/>
          <w:kern w:val="0"/>
          <w:szCs w:val="28"/>
          <w:highlight w:val="none"/>
        </w:rPr>
        <w:t>； 电话：</w:t>
      </w:r>
      <w:r>
        <w:rPr>
          <w:rFonts w:hint="eastAsia"/>
          <w:color w:val="auto"/>
          <w:kern w:val="0"/>
          <w:szCs w:val="28"/>
          <w:highlight w:val="none"/>
        </w:rPr>
        <w:t>83311241</w:t>
      </w:r>
    </w:p>
    <w:p>
      <w:pPr>
        <w:widowControl/>
        <w:snapToGrid w:val="0"/>
        <w:spacing w:line="360" w:lineRule="auto"/>
        <w:ind w:firstLine="480" w:firstLineChars="200"/>
        <w:jc w:val="left"/>
        <w:rPr>
          <w:color w:val="auto"/>
          <w:kern w:val="0"/>
          <w:szCs w:val="28"/>
          <w:highlight w:val="none"/>
        </w:rPr>
      </w:pPr>
      <w:r>
        <w:rPr>
          <w:rFonts w:hint="eastAsia"/>
          <w:color w:val="auto"/>
          <w:kern w:val="0"/>
          <w:szCs w:val="28"/>
          <w:highlight w:val="none"/>
        </w:rPr>
        <w:t>(</w:t>
      </w:r>
      <w:r>
        <w:rPr>
          <w:rFonts w:hint="eastAsia"/>
          <w:color w:val="auto"/>
          <w:kern w:val="0"/>
          <w:szCs w:val="28"/>
          <w:highlight w:val="none"/>
          <w:lang w:val="en-US" w:eastAsia="zh-CN"/>
        </w:rPr>
        <w:t>2</w:t>
      </w:r>
      <w:r>
        <w:rPr>
          <w:rFonts w:hint="eastAsia"/>
          <w:color w:val="auto"/>
          <w:kern w:val="0"/>
          <w:szCs w:val="28"/>
          <w:highlight w:val="none"/>
        </w:rPr>
        <w:t>)无锡第三人民医院  地址：无锡市兴源北路585号；电话：82607391</w:t>
      </w:r>
    </w:p>
    <w:p>
      <w:pPr>
        <w:widowControl/>
        <w:snapToGrid w:val="0"/>
        <w:spacing w:line="360" w:lineRule="auto"/>
        <w:ind w:firstLine="482" w:firstLineChars="200"/>
        <w:jc w:val="left"/>
        <w:rPr>
          <w:b/>
          <w:color w:val="auto"/>
          <w:kern w:val="0"/>
          <w:szCs w:val="28"/>
          <w:highlight w:val="none"/>
        </w:rPr>
      </w:pPr>
      <w:r>
        <w:rPr>
          <w:b/>
          <w:color w:val="auto"/>
          <w:kern w:val="0"/>
          <w:szCs w:val="28"/>
          <w:highlight w:val="none"/>
        </w:rPr>
        <w:t>B对患者进行分类现场紧急抢救方案</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(1)对呼吸心跳停止者应就地进行心肺复苏术，首先要得到呼吸道畅通，然后再进行人工呼吸和胸外心脏挤压术。具体方法：</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1)人工呼吸。采取口对口式人工呼吸，方法：抢救者用手捏住患者的鼻孔，以每分钟16-20次的速度向患者口中吹气。</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2)按压术。针对心跳骤停者，方法：患者平躺在硬地上或木板床上，抢救者用双手挤压患者胸骨下端略靠左方，每分钟挤压60-70次，挤压时不要用力过猛，防肋骨骨折，心跳恢复的可靠指征是颈动脉或股动脉搏动恢复，血压复升，听诊有心音。</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3)除立即作心脏胸外挤压术外，同时作人工呼吸、输氧、心内注射三联针（肾上腺素、异丙肾上腺素、去甲肾上腺素）和碳酸</w:t>
      </w:r>
      <w:r>
        <w:rPr>
          <w:rFonts w:hint="eastAsia"/>
          <w:color w:val="auto"/>
          <w:kern w:val="0"/>
          <w:szCs w:val="28"/>
          <w:highlight w:val="none"/>
        </w:rPr>
        <w:t>氢</w:t>
      </w:r>
      <w:r>
        <w:rPr>
          <w:color w:val="auto"/>
          <w:kern w:val="0"/>
          <w:szCs w:val="28"/>
          <w:highlight w:val="none"/>
        </w:rPr>
        <w:t>钠注射液并输液、升压、纠正、酸中毒，为保护脑细胞，用脱水和低温冬眠疗法及脑细胞代谢促进剂。</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(2)对生命体征不稳定的重度中毒和复苏后的患者，应积极维持生命体征的稳定。</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1)即吸氧，观察患者呼吸、脉搏、血压以及有无昏迷、惊厥；</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2)必要时可用呼吸兴奋剂；</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3)喉头梗阻或水肿时行切开气管术；</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4)休克者：如血压降低（低于80/50mmHg）时，应立即采取患者平卧位，头低脚高，吸氧、输液、补充电解质，纠正酸中毒，注射去甲肾上腺素提升血压；</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5)昏迷者：应首先检查患者的呼吸、循环血压情况并给予相应处理，如有躁动、惊厥、抽搐等应用镇静剂。</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(3)对中度中毒以上患者应积极送入医院进一步治疗。</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(4)对于烧伤或灼伤的人员应立即送往医院救治。</w:t>
      </w:r>
    </w:p>
    <w:p>
      <w:pPr>
        <w:widowControl/>
        <w:snapToGrid w:val="0"/>
        <w:spacing w:line="360" w:lineRule="auto"/>
        <w:ind w:firstLine="482" w:firstLineChars="200"/>
        <w:jc w:val="left"/>
        <w:rPr>
          <w:b/>
          <w:color w:val="auto"/>
          <w:kern w:val="0"/>
          <w:szCs w:val="28"/>
          <w:highlight w:val="none"/>
        </w:rPr>
      </w:pPr>
      <w:r>
        <w:rPr>
          <w:b/>
          <w:color w:val="auto"/>
          <w:kern w:val="0"/>
          <w:szCs w:val="28"/>
          <w:highlight w:val="none"/>
        </w:rPr>
        <w:t>C提供受伤人员的信息</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(1)受伤人员应有单位人员护送，给医生提供个人一般信息（年龄、职业、婚姻状况、原病史等资料）；</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(2)所接触毒物的名称、接触的时间、毒物浓度及现场抢救情况；</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(3)接触的有毒物质理化性质、中毒机理，临床表现、诊断标准及治疗方案；</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(4)必要时提供化学事故应急救援指挥中心信息，以便请求及时救援。</w:t>
      </w:r>
    </w:p>
    <w:p>
      <w:pPr>
        <w:widowControl/>
        <w:snapToGrid w:val="0"/>
        <w:spacing w:line="360" w:lineRule="auto"/>
        <w:ind w:firstLine="482" w:firstLineChars="200"/>
        <w:jc w:val="left"/>
        <w:rPr>
          <w:b/>
          <w:color w:val="auto"/>
          <w:kern w:val="0"/>
          <w:szCs w:val="28"/>
          <w:highlight w:val="none"/>
        </w:rPr>
      </w:pPr>
      <w:r>
        <w:rPr>
          <w:b/>
          <w:color w:val="auto"/>
          <w:kern w:val="0"/>
          <w:szCs w:val="28"/>
          <w:highlight w:val="none"/>
        </w:rPr>
        <w:t>D现场急救的一般原则：</w:t>
      </w:r>
    </w:p>
    <w:p>
      <w:pPr>
        <w:widowControl/>
        <w:snapToGrid w:val="0"/>
        <w:spacing w:line="360" w:lineRule="auto"/>
        <w:ind w:firstLine="480" w:firstLineChars="200"/>
        <w:jc w:val="left"/>
        <w:rPr>
          <w:color w:val="auto"/>
          <w:kern w:val="0"/>
          <w:szCs w:val="28"/>
          <w:highlight w:val="none"/>
        </w:rPr>
        <w:sectPr>
          <w:pgSz w:w="11907" w:h="16840"/>
          <w:pgMar w:top="1402" w:right="1440" w:bottom="1402" w:left="1440" w:header="851" w:footer="992" w:gutter="0"/>
          <w:pgBorders>
            <w:top w:val="none" w:sz="0" w:space="0"/>
            <w:left w:val="none" w:sz="0" w:space="0"/>
            <w:bottom w:val="none" w:sz="0" w:space="0"/>
            <w:right w:val="none" w:sz="0" w:space="0"/>
          </w:pgBorders>
          <w:pgNumType w:fmt="decimal"/>
          <w:cols w:space="720" w:num="1"/>
        </w:sectPr>
      </w:pPr>
      <w:r>
        <w:rPr>
          <w:color w:val="auto"/>
          <w:kern w:val="0"/>
          <w:szCs w:val="28"/>
          <w:highlight w:val="none"/>
        </w:rPr>
        <w:t>动作迅速，救治得法，现场开始，坚持到底。</w:t>
      </w:r>
    </w:p>
    <w:bookmarkEnd w:id="142"/>
    <w:p>
      <w:pPr>
        <w:pStyle w:val="4"/>
        <w:adjustRightInd w:val="0"/>
        <w:snapToGrid w:val="0"/>
        <w:rPr>
          <w:color w:val="auto"/>
          <w:kern w:val="0"/>
          <w:highlight w:val="none"/>
        </w:rPr>
      </w:pPr>
      <w:bookmarkStart w:id="149" w:name="_Toc28103284"/>
      <w:bookmarkStart w:id="150" w:name="_Toc273391666"/>
      <w:bookmarkStart w:id="151" w:name="_Toc31406"/>
      <w:bookmarkStart w:id="152" w:name="_Toc273391342"/>
      <w:r>
        <w:rPr>
          <w:color w:val="auto"/>
          <w:kern w:val="0"/>
          <w:highlight w:val="none"/>
        </w:rPr>
        <w:t>7 应急终止</w:t>
      </w:r>
      <w:bookmarkEnd w:id="149"/>
      <w:bookmarkEnd w:id="150"/>
      <w:bookmarkEnd w:id="151"/>
      <w:bookmarkEnd w:id="152"/>
    </w:p>
    <w:p>
      <w:pPr>
        <w:pStyle w:val="5"/>
        <w:rPr>
          <w:color w:val="auto"/>
          <w:highlight w:val="none"/>
        </w:rPr>
      </w:pPr>
      <w:bookmarkStart w:id="153" w:name="_Toc23085"/>
      <w:bookmarkStart w:id="154" w:name="_Toc28103285"/>
      <w:r>
        <w:rPr>
          <w:color w:val="auto"/>
          <w:highlight w:val="none"/>
        </w:rPr>
        <w:t>7.1 应急终止的条件</w:t>
      </w:r>
      <w:bookmarkEnd w:id="153"/>
      <w:bookmarkEnd w:id="154"/>
    </w:p>
    <w:p>
      <w:pPr>
        <w:snapToGrid w:val="0"/>
        <w:spacing w:line="360" w:lineRule="auto"/>
        <w:ind w:firstLine="480" w:firstLineChars="200"/>
        <w:rPr>
          <w:color w:val="auto"/>
          <w:highlight w:val="none"/>
        </w:rPr>
      </w:pPr>
      <w:r>
        <w:rPr>
          <w:color w:val="auto"/>
          <w:highlight w:val="none"/>
        </w:rPr>
        <w:t>突发环境污染事故经过处理后，符合下列条件后可宣布应急终止：</w:t>
      </w:r>
    </w:p>
    <w:p>
      <w:pPr>
        <w:snapToGrid w:val="0"/>
        <w:spacing w:line="360" w:lineRule="auto"/>
        <w:ind w:firstLine="480" w:firstLineChars="200"/>
        <w:rPr>
          <w:color w:val="auto"/>
          <w:highlight w:val="none"/>
        </w:rPr>
      </w:pPr>
      <w:r>
        <w:rPr>
          <w:color w:val="auto"/>
          <w:highlight w:val="none"/>
        </w:rPr>
        <w:t>（1）危险化学品泄漏、火灾等得到控制，事故发生条件以及危害已得到清除；</w:t>
      </w:r>
    </w:p>
    <w:p>
      <w:pPr>
        <w:snapToGrid w:val="0"/>
        <w:spacing w:line="360" w:lineRule="auto"/>
        <w:ind w:firstLine="480" w:firstLineChars="200"/>
        <w:rPr>
          <w:color w:val="auto"/>
          <w:highlight w:val="none"/>
        </w:rPr>
      </w:pPr>
      <w:r>
        <w:rPr>
          <w:color w:val="auto"/>
          <w:highlight w:val="none"/>
        </w:rPr>
        <w:t>（2）事故现场处置已完成，危险化学品等泄漏区基本恢复正常秩序，现场监测符合要求；</w:t>
      </w:r>
    </w:p>
    <w:p>
      <w:pPr>
        <w:snapToGrid w:val="0"/>
        <w:spacing w:line="360" w:lineRule="auto"/>
        <w:ind w:firstLine="480" w:firstLineChars="200"/>
        <w:rPr>
          <w:color w:val="auto"/>
          <w:highlight w:val="none"/>
        </w:rPr>
      </w:pPr>
      <w:r>
        <w:rPr>
          <w:color w:val="auto"/>
          <w:highlight w:val="none"/>
        </w:rPr>
        <w:t>（3）应急救援行动已经完成，无继续行动的必要；</w:t>
      </w:r>
    </w:p>
    <w:p>
      <w:pPr>
        <w:snapToGrid w:val="0"/>
        <w:spacing w:line="360" w:lineRule="auto"/>
        <w:ind w:firstLine="480" w:firstLineChars="200"/>
        <w:rPr>
          <w:color w:val="auto"/>
          <w:highlight w:val="none"/>
        </w:rPr>
      </w:pPr>
      <w:r>
        <w:rPr>
          <w:color w:val="auto"/>
          <w:highlight w:val="none"/>
        </w:rPr>
        <w:t>（4）采用了必要的防护措施，周边人群的危害降至较低水平，并无二次危害可能。</w:t>
      </w:r>
    </w:p>
    <w:p>
      <w:pPr>
        <w:pStyle w:val="5"/>
        <w:rPr>
          <w:color w:val="auto"/>
          <w:highlight w:val="none"/>
        </w:rPr>
      </w:pPr>
      <w:bookmarkStart w:id="155" w:name="_Toc28103286"/>
      <w:bookmarkStart w:id="156" w:name="_Toc29210"/>
      <w:r>
        <w:rPr>
          <w:color w:val="auto"/>
          <w:highlight w:val="none"/>
        </w:rPr>
        <w:t>7.2 应急终止的程序</w:t>
      </w:r>
      <w:bookmarkEnd w:id="155"/>
      <w:bookmarkEnd w:id="156"/>
    </w:p>
    <w:p>
      <w:pPr>
        <w:widowControl/>
        <w:snapToGrid w:val="0"/>
        <w:spacing w:line="360" w:lineRule="auto"/>
        <w:ind w:firstLine="480" w:firstLineChars="200"/>
        <w:jc w:val="left"/>
        <w:rPr>
          <w:color w:val="auto"/>
          <w:kern w:val="0"/>
          <w:szCs w:val="28"/>
          <w:highlight w:val="none"/>
        </w:rPr>
      </w:pPr>
      <w:r>
        <w:rPr>
          <w:color w:val="auto"/>
          <w:kern w:val="0"/>
          <w:szCs w:val="28"/>
          <w:highlight w:val="none"/>
        </w:rPr>
        <w:t>（1）应急终止时机由现场应急指挥组确认，经现场应急指挥组批准；</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（2）现场应急指挥组向所属各专业应急救援队伍下达应急终止命令；</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（3）应急状态终止后，开展跟踪环境监测和评估工作的方案，直至污染影响彻底消除为止。</w:t>
      </w:r>
    </w:p>
    <w:p>
      <w:pPr>
        <w:pStyle w:val="5"/>
        <w:rPr>
          <w:color w:val="auto"/>
          <w:highlight w:val="none"/>
        </w:rPr>
      </w:pPr>
      <w:bookmarkStart w:id="157" w:name="_Toc28745"/>
      <w:bookmarkStart w:id="158" w:name="_Toc273391343"/>
      <w:bookmarkStart w:id="159" w:name="_Toc273391667"/>
      <w:bookmarkStart w:id="160" w:name="_Toc28103287"/>
      <w:r>
        <w:rPr>
          <w:color w:val="auto"/>
          <w:highlight w:val="none"/>
        </w:rPr>
        <w:t>7.3 应急终止后的行动</w:t>
      </w:r>
      <w:bookmarkEnd w:id="157"/>
      <w:bookmarkEnd w:id="158"/>
      <w:bookmarkEnd w:id="159"/>
      <w:bookmarkEnd w:id="160"/>
    </w:p>
    <w:p>
      <w:pPr>
        <w:pStyle w:val="6"/>
        <w:rPr>
          <w:color w:val="auto"/>
          <w:highlight w:val="none"/>
        </w:rPr>
      </w:pPr>
      <w:bookmarkStart w:id="161" w:name="_Toc28103288"/>
      <w:r>
        <w:rPr>
          <w:color w:val="auto"/>
          <w:highlight w:val="none"/>
        </w:rPr>
        <w:t>7.3.1 跟踪监测和评估工作</w:t>
      </w:r>
    </w:p>
    <w:p>
      <w:pPr>
        <w:pStyle w:val="29"/>
        <w:snapToGrid w:val="0"/>
        <w:rPr>
          <w:rFonts w:ascii="Times New Roman" w:hAnsi="Times New Roman"/>
          <w:color w:val="auto"/>
          <w:highlight w:val="none"/>
        </w:rPr>
      </w:pPr>
      <w:r>
        <w:rPr>
          <w:rFonts w:ascii="Times New Roman" w:hAnsi="Times New Roman"/>
          <w:color w:val="auto"/>
          <w:highlight w:val="none"/>
        </w:rPr>
        <w:t>应急状态终止后，需开展跟踪环境监测和评估工作，跟踪环境监测方案见第5章节 环境应急监测，根据突发环境事故情形，选择对大气和水环境因子进行监测，以监测方案中得到的监测数据为基础进行评估，调查污染事件的诱因和性质，评估污染事件的危害范围和危险程度，查明人员伤亡情况，影响和损失评估、遗留待解决的问题等，确保污染影响已彻底消除。</w:t>
      </w:r>
    </w:p>
    <w:bookmarkEnd w:id="161"/>
    <w:p>
      <w:pPr>
        <w:pStyle w:val="6"/>
        <w:rPr>
          <w:color w:val="auto"/>
          <w:highlight w:val="none"/>
        </w:rPr>
      </w:pPr>
      <w:bookmarkStart w:id="162" w:name="_Toc28103290"/>
      <w:r>
        <w:rPr>
          <w:color w:val="auto"/>
          <w:highlight w:val="none"/>
        </w:rPr>
        <w:t>7.3.2 其他行动</w:t>
      </w:r>
      <w:bookmarkEnd w:id="162"/>
    </w:p>
    <w:p>
      <w:pPr>
        <w:widowControl/>
        <w:adjustRightInd w:val="0"/>
        <w:snapToGrid w:val="0"/>
        <w:spacing w:line="360" w:lineRule="auto"/>
        <w:ind w:firstLine="480" w:firstLineChars="200"/>
        <w:rPr>
          <w:color w:val="auto"/>
          <w:kern w:val="0"/>
          <w:szCs w:val="28"/>
          <w:highlight w:val="none"/>
        </w:rPr>
      </w:pPr>
      <w:r>
        <w:rPr>
          <w:color w:val="auto"/>
          <w:kern w:val="0"/>
          <w:szCs w:val="28"/>
          <w:highlight w:val="none"/>
        </w:rPr>
        <w:t>事故应急救援工作结束后，由指挥部通知公司相关部门，事故危险已解除。</w:t>
      </w:r>
    </w:p>
    <w:p>
      <w:pPr>
        <w:widowControl/>
        <w:adjustRightInd w:val="0"/>
        <w:snapToGrid w:val="0"/>
        <w:spacing w:line="360" w:lineRule="auto"/>
        <w:ind w:firstLine="480" w:firstLineChars="200"/>
        <w:rPr>
          <w:color w:val="auto"/>
          <w:kern w:val="0"/>
          <w:szCs w:val="28"/>
          <w:highlight w:val="none"/>
        </w:rPr>
      </w:pPr>
      <w:r>
        <w:rPr>
          <w:color w:val="auto"/>
          <w:kern w:val="0"/>
          <w:szCs w:val="28"/>
          <w:highlight w:val="none"/>
        </w:rPr>
        <w:t>(1)涉及周边社区及人员疏散的，由指挥部向上级有关部门报告后，由上级有关部门确认后，宣布解除危险。</w:t>
      </w:r>
    </w:p>
    <w:p>
      <w:pPr>
        <w:widowControl/>
        <w:adjustRightInd w:val="0"/>
        <w:snapToGrid w:val="0"/>
        <w:spacing w:line="360" w:lineRule="auto"/>
        <w:ind w:firstLine="480" w:firstLineChars="200"/>
        <w:rPr>
          <w:color w:val="auto"/>
          <w:kern w:val="0"/>
          <w:szCs w:val="28"/>
          <w:highlight w:val="none"/>
        </w:rPr>
      </w:pPr>
      <w:r>
        <w:rPr>
          <w:color w:val="auto"/>
          <w:kern w:val="0"/>
          <w:szCs w:val="28"/>
          <w:highlight w:val="none"/>
        </w:rPr>
        <w:t>事故危险解除的信息由公司安全环保管理部门或应急指挥部指定人员负责通知周边社区及人员：</w:t>
      </w:r>
    </w:p>
    <w:p>
      <w:pPr>
        <w:widowControl/>
        <w:adjustRightInd w:val="0"/>
        <w:snapToGrid w:val="0"/>
        <w:spacing w:line="360" w:lineRule="auto"/>
        <w:ind w:firstLine="480" w:firstLineChars="200"/>
        <w:rPr>
          <w:color w:val="auto"/>
          <w:kern w:val="0"/>
          <w:szCs w:val="28"/>
          <w:highlight w:val="none"/>
        </w:rPr>
      </w:pPr>
      <w:r>
        <w:rPr>
          <w:color w:val="auto"/>
          <w:kern w:val="0"/>
          <w:szCs w:val="28"/>
          <w:highlight w:val="none"/>
        </w:rPr>
        <w:t>①周边道路警戒解除；</w:t>
      </w:r>
    </w:p>
    <w:p>
      <w:pPr>
        <w:widowControl/>
        <w:adjustRightInd w:val="0"/>
        <w:snapToGrid w:val="0"/>
        <w:spacing w:line="360" w:lineRule="auto"/>
        <w:ind w:firstLine="480" w:firstLineChars="200"/>
        <w:rPr>
          <w:color w:val="auto"/>
          <w:kern w:val="0"/>
          <w:szCs w:val="28"/>
          <w:highlight w:val="none"/>
        </w:rPr>
      </w:pPr>
      <w:r>
        <w:rPr>
          <w:color w:val="auto"/>
          <w:kern w:val="0"/>
          <w:szCs w:val="28"/>
          <w:highlight w:val="none"/>
        </w:rPr>
        <w:t>②受影响区域危险解除；</w:t>
      </w:r>
    </w:p>
    <w:p>
      <w:pPr>
        <w:widowControl/>
        <w:adjustRightInd w:val="0"/>
        <w:snapToGrid w:val="0"/>
        <w:spacing w:line="360" w:lineRule="auto"/>
        <w:ind w:firstLine="480" w:firstLineChars="200"/>
        <w:rPr>
          <w:color w:val="auto"/>
          <w:kern w:val="0"/>
          <w:szCs w:val="28"/>
          <w:highlight w:val="none"/>
        </w:rPr>
      </w:pPr>
      <w:r>
        <w:rPr>
          <w:color w:val="auto"/>
          <w:kern w:val="0"/>
          <w:szCs w:val="28"/>
          <w:highlight w:val="none"/>
        </w:rPr>
        <w:t>③其它单位受影响区域危险解除；</w:t>
      </w:r>
    </w:p>
    <w:p>
      <w:pPr>
        <w:widowControl/>
        <w:adjustRightInd w:val="0"/>
        <w:snapToGrid w:val="0"/>
        <w:spacing w:line="360" w:lineRule="auto"/>
        <w:ind w:firstLine="480" w:firstLineChars="200"/>
        <w:rPr>
          <w:color w:val="auto"/>
          <w:kern w:val="0"/>
          <w:szCs w:val="28"/>
          <w:highlight w:val="none"/>
        </w:rPr>
      </w:pPr>
      <w:r>
        <w:rPr>
          <w:color w:val="auto"/>
          <w:kern w:val="0"/>
          <w:szCs w:val="28"/>
          <w:highlight w:val="none"/>
        </w:rPr>
        <w:t>④公司内部局部或全部范围危险解除。</w:t>
      </w:r>
    </w:p>
    <w:p>
      <w:pPr>
        <w:widowControl/>
        <w:numPr>
          <w:ilvl w:val="0"/>
          <w:numId w:val="6"/>
        </w:numPr>
        <w:adjustRightInd w:val="0"/>
        <w:snapToGrid w:val="0"/>
        <w:spacing w:line="360" w:lineRule="auto"/>
        <w:ind w:firstLine="480" w:firstLineChars="200"/>
        <w:rPr>
          <w:color w:val="auto"/>
          <w:kern w:val="0"/>
          <w:szCs w:val="28"/>
          <w:highlight w:val="none"/>
        </w:rPr>
      </w:pPr>
      <w:r>
        <w:rPr>
          <w:color w:val="auto"/>
          <w:kern w:val="0"/>
          <w:szCs w:val="28"/>
          <w:highlight w:val="none"/>
        </w:rPr>
        <w:t>对现场中暴露的工作人员、应急行动人员和受污染设备进行清洁净化。</w:t>
      </w:r>
    </w:p>
    <w:p>
      <w:pPr>
        <w:pStyle w:val="2"/>
        <w:widowControl w:val="0"/>
        <w:numPr>
          <w:ilvl w:val="0"/>
          <w:numId w:val="0"/>
        </w:numPr>
        <w:jc w:val="both"/>
        <w:rPr>
          <w:color w:val="auto"/>
          <w:highlight w:val="none"/>
        </w:rPr>
      </w:pPr>
    </w:p>
    <w:p>
      <w:pPr>
        <w:pStyle w:val="3"/>
        <w:numPr>
          <w:ilvl w:val="0"/>
          <w:numId w:val="0"/>
        </w:numPr>
        <w:ind w:left="1680" w:leftChars="0"/>
        <w:rPr>
          <w:color w:val="auto"/>
          <w:highlight w:val="none"/>
        </w:rPr>
      </w:pPr>
    </w:p>
    <w:p>
      <w:pPr>
        <w:pStyle w:val="4"/>
        <w:adjustRightInd w:val="0"/>
        <w:snapToGrid w:val="0"/>
        <w:rPr>
          <w:color w:val="auto"/>
          <w:kern w:val="0"/>
          <w:highlight w:val="none"/>
        </w:rPr>
      </w:pPr>
      <w:bookmarkStart w:id="163" w:name="_Toc273391668"/>
      <w:bookmarkStart w:id="164" w:name="_Toc273391344"/>
      <w:r>
        <w:rPr>
          <w:color w:val="auto"/>
          <w:kern w:val="0"/>
          <w:highlight w:val="none"/>
        </w:rPr>
        <w:br w:type="page"/>
      </w:r>
      <w:bookmarkStart w:id="165" w:name="_Toc28103291"/>
      <w:bookmarkStart w:id="166" w:name="_Toc10312"/>
      <w:r>
        <w:rPr>
          <w:color w:val="auto"/>
          <w:kern w:val="0"/>
          <w:highlight w:val="none"/>
        </w:rPr>
        <w:t xml:space="preserve">8 </w:t>
      </w:r>
      <w:bookmarkEnd w:id="163"/>
      <w:bookmarkEnd w:id="164"/>
      <w:bookmarkEnd w:id="165"/>
      <w:r>
        <w:rPr>
          <w:color w:val="auto"/>
          <w:kern w:val="0"/>
          <w:highlight w:val="none"/>
        </w:rPr>
        <w:t>事后恢复</w:t>
      </w:r>
      <w:bookmarkEnd w:id="166"/>
    </w:p>
    <w:p>
      <w:pPr>
        <w:pStyle w:val="5"/>
        <w:rPr>
          <w:color w:val="auto"/>
          <w:highlight w:val="none"/>
        </w:rPr>
      </w:pPr>
      <w:bookmarkStart w:id="167" w:name="_Toc16476"/>
      <w:bookmarkStart w:id="168" w:name="_Toc6998"/>
      <w:bookmarkStart w:id="169" w:name="_Toc28103292"/>
      <w:r>
        <w:rPr>
          <w:color w:val="auto"/>
          <w:highlight w:val="none"/>
        </w:rPr>
        <w:t>8.1 善后处理</w:t>
      </w:r>
      <w:bookmarkEnd w:id="167"/>
      <w:bookmarkEnd w:id="168"/>
      <w:bookmarkEnd w:id="169"/>
    </w:p>
    <w:p>
      <w:pPr>
        <w:widowControl/>
        <w:snapToGrid w:val="0"/>
        <w:spacing w:line="360" w:lineRule="auto"/>
        <w:ind w:firstLine="480" w:firstLineChars="200"/>
        <w:jc w:val="left"/>
        <w:rPr>
          <w:color w:val="auto"/>
          <w:kern w:val="0"/>
          <w:szCs w:val="28"/>
          <w:highlight w:val="none"/>
        </w:rPr>
      </w:pPr>
      <w:r>
        <w:rPr>
          <w:color w:val="auto"/>
          <w:kern w:val="0"/>
          <w:szCs w:val="28"/>
          <w:highlight w:val="none"/>
        </w:rPr>
        <w:t>为了准确地查明事故原因和责任，在采取恢复措施前应按有关法规要求对事故现场进行保护。</w:t>
      </w:r>
    </w:p>
    <w:p>
      <w:pPr>
        <w:pStyle w:val="6"/>
        <w:rPr>
          <w:color w:val="auto"/>
          <w:highlight w:val="none"/>
        </w:rPr>
      </w:pPr>
      <w:r>
        <w:rPr>
          <w:color w:val="auto"/>
          <w:highlight w:val="none"/>
        </w:rPr>
        <w:t>8.1.1 现场污染物的后续处置措施</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①空气污染</w:t>
      </w:r>
    </w:p>
    <w:p>
      <w:pPr>
        <w:autoSpaceDE w:val="0"/>
        <w:autoSpaceDN w:val="0"/>
        <w:adjustRightInd w:val="0"/>
        <w:snapToGrid w:val="0"/>
        <w:spacing w:line="360" w:lineRule="auto"/>
        <w:ind w:firstLine="480" w:firstLineChars="200"/>
        <w:rPr>
          <w:color w:val="auto"/>
          <w:kern w:val="0"/>
          <w:szCs w:val="28"/>
          <w:highlight w:val="none"/>
        </w:rPr>
      </w:pPr>
      <w:r>
        <w:rPr>
          <w:rFonts w:hint="eastAsia"/>
          <w:color w:val="auto"/>
          <w:kern w:val="0"/>
          <w:szCs w:val="28"/>
          <w:highlight w:val="none"/>
          <w:lang w:val="en-US" w:eastAsia="zh-CN"/>
        </w:rPr>
        <w:t>泄漏、</w:t>
      </w:r>
      <w:r>
        <w:rPr>
          <w:color w:val="auto"/>
          <w:kern w:val="0"/>
          <w:szCs w:val="28"/>
          <w:highlight w:val="none"/>
        </w:rPr>
        <w:t>火灾事故可能对事故周围区域的大气造成污染，污染物包括：</w:t>
      </w:r>
      <w:r>
        <w:rPr>
          <w:rFonts w:hint="eastAsia"/>
          <w:color w:val="auto"/>
          <w:highlight w:val="none"/>
        </w:rPr>
        <w:t>一氧化碳、二氧化碳、二氧化硫、氮氧化物、颗粒物、</w:t>
      </w:r>
      <w:r>
        <w:rPr>
          <w:rFonts w:hint="eastAsia"/>
          <w:color w:val="auto"/>
          <w:highlight w:val="none"/>
          <w:lang w:val="en-US" w:eastAsia="zh-CN"/>
        </w:rPr>
        <w:t>硫酸雾、氯化氢、铬酸雾</w:t>
      </w:r>
      <w:r>
        <w:rPr>
          <w:rFonts w:hint="eastAsia"/>
          <w:color w:val="auto"/>
          <w:highlight w:val="none"/>
        </w:rPr>
        <w:t>等</w:t>
      </w:r>
      <w:r>
        <w:rPr>
          <w:color w:val="auto"/>
          <w:kern w:val="0"/>
          <w:szCs w:val="28"/>
          <w:highlight w:val="none"/>
        </w:rPr>
        <w:t>。为防止人员因吸入有毒、有害气体影响身体健康，在事故现场警戒撤除之前应该对大气的质量进行有针对性的检测分析。</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该项工作由公司安全部门负责落实，联系有资质的环境监测</w:t>
      </w:r>
      <w:r>
        <w:rPr>
          <w:rFonts w:hint="eastAsia"/>
          <w:color w:val="auto"/>
          <w:kern w:val="0"/>
          <w:szCs w:val="28"/>
          <w:highlight w:val="none"/>
          <w:lang w:eastAsia="zh-CN"/>
        </w:rPr>
        <w:t>部门</w:t>
      </w:r>
      <w:r>
        <w:rPr>
          <w:color w:val="auto"/>
          <w:kern w:val="0"/>
          <w:szCs w:val="28"/>
          <w:highlight w:val="none"/>
        </w:rPr>
        <w:t>进行专业检测。</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②地表水污染</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为防止地表水污染事故发生，污染物包括：</w:t>
      </w:r>
      <w:r>
        <w:rPr>
          <w:color w:val="auto"/>
          <w:highlight w:val="none"/>
        </w:rPr>
        <w:t>pH、COD、</w:t>
      </w:r>
      <w:r>
        <w:rPr>
          <w:rFonts w:hint="eastAsia"/>
          <w:color w:val="auto"/>
          <w:highlight w:val="none"/>
          <w:lang w:val="en-US" w:eastAsia="zh-CN"/>
        </w:rPr>
        <w:t>总铬、六价铬</w:t>
      </w:r>
      <w:r>
        <w:rPr>
          <w:color w:val="auto"/>
          <w:highlight w:val="none"/>
        </w:rPr>
        <w:t>等</w:t>
      </w:r>
      <w:r>
        <w:rPr>
          <w:color w:val="auto"/>
          <w:kern w:val="0"/>
          <w:szCs w:val="28"/>
          <w:highlight w:val="none"/>
        </w:rPr>
        <w:t>。公司</w:t>
      </w:r>
      <w:r>
        <w:rPr>
          <w:rFonts w:hint="eastAsia"/>
          <w:color w:val="auto"/>
          <w:kern w:val="0"/>
          <w:szCs w:val="28"/>
          <w:highlight w:val="none"/>
          <w:lang w:val="en-US" w:eastAsia="zh-CN"/>
        </w:rPr>
        <w:t>应急监测组</w:t>
      </w:r>
      <w:r>
        <w:rPr>
          <w:color w:val="auto"/>
          <w:kern w:val="0"/>
          <w:szCs w:val="28"/>
          <w:highlight w:val="none"/>
        </w:rPr>
        <w:t>应及时与惠山生态环境局联系，加强雨污水排放口的监测工作。</w:t>
      </w:r>
    </w:p>
    <w:p>
      <w:pPr>
        <w:snapToGrid w:val="0"/>
        <w:spacing w:line="360" w:lineRule="auto"/>
        <w:ind w:firstLine="480" w:firstLineChars="200"/>
        <w:rPr>
          <w:color w:val="auto"/>
          <w:kern w:val="0"/>
          <w:szCs w:val="28"/>
          <w:highlight w:val="none"/>
        </w:rPr>
      </w:pPr>
      <w:r>
        <w:rPr>
          <w:color w:val="auto"/>
          <w:kern w:val="0"/>
          <w:szCs w:val="28"/>
          <w:highlight w:val="none"/>
        </w:rPr>
        <w:t>③应急处置废物的处置</w:t>
      </w:r>
    </w:p>
    <w:p>
      <w:pPr>
        <w:widowControl/>
        <w:snapToGrid w:val="0"/>
        <w:spacing w:line="360" w:lineRule="auto"/>
        <w:ind w:firstLine="480" w:firstLineChars="200"/>
        <w:jc w:val="left"/>
        <w:rPr>
          <w:color w:val="auto"/>
          <w:kern w:val="0"/>
          <w:szCs w:val="28"/>
          <w:highlight w:val="none"/>
        </w:rPr>
      </w:pPr>
      <w:r>
        <w:rPr>
          <w:color w:val="auto"/>
          <w:kern w:val="0"/>
          <w:szCs w:val="28"/>
          <w:highlight w:val="none"/>
        </w:rPr>
        <w:t>事故现场产生的消防废水、废液等进入</w:t>
      </w:r>
      <w:r>
        <w:rPr>
          <w:rFonts w:hint="eastAsia"/>
          <w:color w:val="auto"/>
          <w:kern w:val="0"/>
          <w:szCs w:val="28"/>
          <w:highlight w:val="none"/>
          <w:lang w:val="en-US" w:eastAsia="zh-CN"/>
        </w:rPr>
        <w:t>事故</w:t>
      </w:r>
      <w:r>
        <w:rPr>
          <w:rFonts w:hint="eastAsia"/>
          <w:color w:val="auto"/>
          <w:highlight w:val="none"/>
        </w:rPr>
        <w:t>应急池、</w:t>
      </w:r>
      <w:r>
        <w:rPr>
          <w:rFonts w:hint="eastAsia"/>
          <w:color w:val="auto"/>
          <w:highlight w:val="none"/>
          <w:lang w:val="en-US" w:eastAsia="zh-CN"/>
        </w:rPr>
        <w:t>雨水收集池，最后</w:t>
      </w:r>
      <w:r>
        <w:rPr>
          <w:rFonts w:hint="eastAsia"/>
          <w:color w:val="auto"/>
          <w:highlight w:val="none"/>
        </w:rPr>
        <w:t>进污水处理站</w:t>
      </w:r>
      <w:r>
        <w:rPr>
          <w:color w:val="auto"/>
          <w:kern w:val="0"/>
          <w:szCs w:val="28"/>
          <w:highlight w:val="none"/>
        </w:rPr>
        <w:t>集中处理。沙土或其它惰性材料吸收的化学物质等，用专用收集器收集，运至废物处理场所集中处理。</w:t>
      </w:r>
    </w:p>
    <w:p>
      <w:pPr>
        <w:pStyle w:val="6"/>
        <w:rPr>
          <w:color w:val="auto"/>
          <w:highlight w:val="none"/>
        </w:rPr>
      </w:pPr>
      <w:r>
        <w:rPr>
          <w:color w:val="auto"/>
          <w:highlight w:val="none"/>
        </w:rPr>
        <w:t>8.1.2 环境应急相关设施、设备、场所的维护措施</w:t>
      </w:r>
    </w:p>
    <w:p>
      <w:pPr>
        <w:widowControl/>
        <w:snapToGrid w:val="0"/>
        <w:spacing w:line="360" w:lineRule="auto"/>
        <w:ind w:firstLine="480" w:firstLineChars="200"/>
        <w:jc w:val="left"/>
        <w:rPr>
          <w:color w:val="auto"/>
          <w:highlight w:val="none"/>
        </w:rPr>
      </w:pPr>
      <w:r>
        <w:rPr>
          <w:color w:val="auto"/>
          <w:highlight w:val="none"/>
        </w:rPr>
        <w:t>1、相关设施、设备的维护措施</w:t>
      </w:r>
    </w:p>
    <w:p>
      <w:pPr>
        <w:widowControl/>
        <w:snapToGrid w:val="0"/>
        <w:spacing w:line="360" w:lineRule="auto"/>
        <w:ind w:firstLine="480" w:firstLineChars="200"/>
        <w:jc w:val="left"/>
        <w:rPr>
          <w:color w:val="auto"/>
          <w:highlight w:val="none"/>
        </w:rPr>
      </w:pPr>
      <w:r>
        <w:rPr>
          <w:color w:val="auto"/>
          <w:highlight w:val="none"/>
        </w:rPr>
        <w:t>现厂区应急物资储备主要包括包隔离及卫生防护用品、吸附材料、自动检测设备等。参加应急行动的部门分别组织、指导员工维护、保养应急仪器设备，使之始终保持良好的技术状态。突发环境应急处置中使用到的相关设施、设备使用完后要及时补充充足，归还至原处，产生的废弃物委托有资质单位处置。</w:t>
      </w:r>
    </w:p>
    <w:p>
      <w:pPr>
        <w:adjustRightInd w:val="0"/>
        <w:snapToGrid w:val="0"/>
        <w:ind w:firstLine="482" w:firstLineChars="200"/>
        <w:jc w:val="center"/>
        <w:rPr>
          <w:b/>
          <w:bCs/>
          <w:color w:val="auto"/>
          <w:highlight w:val="none"/>
        </w:rPr>
      </w:pPr>
      <w:r>
        <w:rPr>
          <w:b/>
          <w:bCs/>
          <w:color w:val="auto"/>
          <w:highlight w:val="none"/>
        </w:rPr>
        <w:t>表</w:t>
      </w:r>
      <w:r>
        <w:rPr>
          <w:rFonts w:hint="eastAsia"/>
          <w:b/>
          <w:bCs/>
          <w:color w:val="auto"/>
          <w:highlight w:val="none"/>
        </w:rPr>
        <w:t>8.1</w:t>
      </w:r>
      <w:r>
        <w:rPr>
          <w:b/>
          <w:bCs/>
          <w:color w:val="auto"/>
          <w:highlight w:val="none"/>
        </w:rPr>
        <w:t>-1  现有的</w:t>
      </w:r>
      <w:r>
        <w:rPr>
          <w:rFonts w:hint="eastAsia"/>
          <w:b/>
          <w:bCs/>
          <w:color w:val="auto"/>
          <w:highlight w:val="none"/>
        </w:rPr>
        <w:t>预防措施一览表</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44"/>
        <w:gridCol w:w="1871"/>
        <w:gridCol w:w="1030"/>
        <w:gridCol w:w="2177"/>
        <w:gridCol w:w="1085"/>
        <w:gridCol w:w="1015"/>
        <w:gridCol w:w="15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4" w:type="pct"/>
            <w:vAlign w:val="center"/>
          </w:tcPr>
          <w:p>
            <w:pPr>
              <w:adjustRightInd w:val="0"/>
              <w:snapToGrid w:val="0"/>
              <w:jc w:val="center"/>
              <w:rPr>
                <w:b/>
                <w:bCs/>
                <w:color w:val="auto"/>
                <w:kern w:val="0"/>
                <w:sz w:val="18"/>
                <w:szCs w:val="18"/>
                <w:highlight w:val="none"/>
              </w:rPr>
            </w:pPr>
            <w:r>
              <w:rPr>
                <w:rFonts w:hint="eastAsia"/>
                <w:b/>
                <w:bCs/>
                <w:color w:val="auto"/>
                <w:kern w:val="0"/>
                <w:sz w:val="18"/>
                <w:szCs w:val="18"/>
                <w:highlight w:val="none"/>
              </w:rPr>
              <w:t>序号</w:t>
            </w:r>
          </w:p>
        </w:tc>
        <w:tc>
          <w:tcPr>
            <w:tcW w:w="1012" w:type="pct"/>
            <w:vAlign w:val="center"/>
          </w:tcPr>
          <w:p>
            <w:pPr>
              <w:adjustRightInd w:val="0"/>
              <w:snapToGrid w:val="0"/>
              <w:jc w:val="center"/>
              <w:rPr>
                <w:b/>
                <w:bCs/>
                <w:color w:val="auto"/>
                <w:sz w:val="18"/>
                <w:szCs w:val="18"/>
                <w:highlight w:val="none"/>
              </w:rPr>
            </w:pPr>
            <w:r>
              <w:rPr>
                <w:b/>
                <w:bCs/>
                <w:color w:val="auto"/>
                <w:kern w:val="0"/>
                <w:sz w:val="18"/>
                <w:szCs w:val="18"/>
                <w:highlight w:val="none"/>
              </w:rPr>
              <w:t>名称</w:t>
            </w:r>
          </w:p>
        </w:tc>
        <w:tc>
          <w:tcPr>
            <w:tcW w:w="557" w:type="pct"/>
            <w:vAlign w:val="center"/>
          </w:tcPr>
          <w:p>
            <w:pPr>
              <w:adjustRightInd w:val="0"/>
              <w:snapToGrid w:val="0"/>
              <w:jc w:val="center"/>
              <w:rPr>
                <w:b/>
                <w:bCs/>
                <w:color w:val="auto"/>
                <w:sz w:val="18"/>
                <w:szCs w:val="18"/>
                <w:highlight w:val="none"/>
              </w:rPr>
            </w:pPr>
            <w:r>
              <w:rPr>
                <w:b/>
                <w:bCs/>
                <w:color w:val="auto"/>
                <w:kern w:val="0"/>
                <w:sz w:val="18"/>
                <w:szCs w:val="18"/>
                <w:highlight w:val="none"/>
              </w:rPr>
              <w:t>数量</w:t>
            </w:r>
          </w:p>
        </w:tc>
        <w:tc>
          <w:tcPr>
            <w:tcW w:w="1177" w:type="pct"/>
            <w:vAlign w:val="center"/>
          </w:tcPr>
          <w:p>
            <w:pPr>
              <w:adjustRightInd w:val="0"/>
              <w:snapToGrid w:val="0"/>
              <w:jc w:val="center"/>
              <w:rPr>
                <w:b/>
                <w:bCs/>
                <w:color w:val="auto"/>
                <w:sz w:val="18"/>
                <w:szCs w:val="18"/>
                <w:highlight w:val="none"/>
              </w:rPr>
            </w:pPr>
            <w:r>
              <w:rPr>
                <w:b/>
                <w:bCs/>
                <w:color w:val="auto"/>
                <w:sz w:val="18"/>
                <w:szCs w:val="18"/>
                <w:highlight w:val="none"/>
              </w:rPr>
              <w:t>存放位置</w:t>
            </w:r>
          </w:p>
        </w:tc>
        <w:tc>
          <w:tcPr>
            <w:tcW w:w="587" w:type="pct"/>
            <w:vAlign w:val="center"/>
          </w:tcPr>
          <w:p>
            <w:pPr>
              <w:adjustRightInd w:val="0"/>
              <w:snapToGrid w:val="0"/>
              <w:jc w:val="center"/>
              <w:rPr>
                <w:b/>
                <w:bCs/>
                <w:color w:val="auto"/>
                <w:sz w:val="18"/>
                <w:szCs w:val="18"/>
                <w:highlight w:val="none"/>
              </w:rPr>
            </w:pPr>
            <w:r>
              <w:rPr>
                <w:rFonts w:hint="eastAsia"/>
                <w:b/>
                <w:bCs/>
                <w:color w:val="auto"/>
                <w:sz w:val="18"/>
                <w:szCs w:val="18"/>
                <w:highlight w:val="none"/>
              </w:rPr>
              <w:t>有效期</w:t>
            </w:r>
          </w:p>
        </w:tc>
        <w:tc>
          <w:tcPr>
            <w:tcW w:w="549" w:type="pct"/>
            <w:vAlign w:val="center"/>
          </w:tcPr>
          <w:p>
            <w:pPr>
              <w:adjustRightInd w:val="0"/>
              <w:snapToGrid w:val="0"/>
              <w:jc w:val="center"/>
              <w:rPr>
                <w:b/>
                <w:bCs/>
                <w:color w:val="auto"/>
                <w:sz w:val="18"/>
                <w:szCs w:val="18"/>
                <w:highlight w:val="none"/>
              </w:rPr>
            </w:pPr>
            <w:r>
              <w:rPr>
                <w:rFonts w:hint="eastAsia"/>
                <w:b/>
                <w:bCs/>
                <w:color w:val="auto"/>
                <w:sz w:val="18"/>
                <w:szCs w:val="18"/>
                <w:highlight w:val="none"/>
              </w:rPr>
              <w:t>负责人</w:t>
            </w:r>
          </w:p>
        </w:tc>
        <w:tc>
          <w:tcPr>
            <w:tcW w:w="820" w:type="pct"/>
            <w:vAlign w:val="center"/>
          </w:tcPr>
          <w:p>
            <w:pPr>
              <w:adjustRightInd w:val="0"/>
              <w:snapToGrid w:val="0"/>
              <w:jc w:val="center"/>
              <w:rPr>
                <w:b/>
                <w:bCs/>
                <w:color w:val="auto"/>
                <w:sz w:val="18"/>
                <w:szCs w:val="18"/>
                <w:highlight w:val="none"/>
              </w:rPr>
            </w:pPr>
            <w:r>
              <w:rPr>
                <w:rFonts w:hint="eastAsia"/>
                <w:b/>
                <w:bCs/>
                <w:color w:val="auto"/>
                <w:sz w:val="18"/>
                <w:szCs w:val="18"/>
                <w:highlight w:val="none"/>
              </w:rPr>
              <w:t>负责人</w:t>
            </w:r>
          </w:p>
          <w:p>
            <w:pPr>
              <w:adjustRightInd w:val="0"/>
              <w:snapToGrid w:val="0"/>
              <w:jc w:val="center"/>
              <w:rPr>
                <w:b/>
                <w:bCs/>
                <w:color w:val="auto"/>
                <w:sz w:val="18"/>
                <w:szCs w:val="18"/>
                <w:highlight w:val="none"/>
              </w:rPr>
            </w:pPr>
            <w:r>
              <w:rPr>
                <w:rFonts w:hint="eastAsia"/>
                <w:b/>
                <w:bCs/>
                <w:color w:val="auto"/>
                <w:sz w:val="18"/>
                <w:szCs w:val="18"/>
                <w:highlight w:val="none"/>
              </w:rPr>
              <w:t>联系方式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4" w:type="pct"/>
            <w:vAlign w:val="center"/>
          </w:tcPr>
          <w:p>
            <w:pPr>
              <w:adjustRightInd w:val="0"/>
              <w:snapToGrid w:val="0"/>
              <w:jc w:val="center"/>
              <w:rPr>
                <w:bCs/>
                <w:color w:val="auto"/>
                <w:sz w:val="18"/>
                <w:szCs w:val="18"/>
                <w:highlight w:val="none"/>
              </w:rPr>
            </w:pPr>
            <w:r>
              <w:rPr>
                <w:rFonts w:hint="eastAsia"/>
                <w:bCs/>
                <w:color w:val="auto"/>
                <w:sz w:val="18"/>
                <w:szCs w:val="18"/>
                <w:highlight w:val="none"/>
              </w:rPr>
              <w:t>1</w:t>
            </w:r>
          </w:p>
        </w:tc>
        <w:tc>
          <w:tcPr>
            <w:tcW w:w="1012" w:type="pct"/>
            <w:vAlign w:val="center"/>
          </w:tcPr>
          <w:p>
            <w:pPr>
              <w:adjustRightInd w:val="0"/>
              <w:snapToGrid w:val="0"/>
              <w:jc w:val="center"/>
              <w:rPr>
                <w:bCs/>
                <w:color w:val="auto"/>
                <w:sz w:val="18"/>
                <w:szCs w:val="18"/>
                <w:highlight w:val="none"/>
              </w:rPr>
            </w:pPr>
            <w:r>
              <w:rPr>
                <w:rFonts w:hint="eastAsia"/>
                <w:bCs/>
                <w:color w:val="auto"/>
                <w:sz w:val="18"/>
                <w:szCs w:val="18"/>
                <w:highlight w:val="none"/>
              </w:rPr>
              <w:t>消防联动报警系统主机</w:t>
            </w:r>
          </w:p>
        </w:tc>
        <w:tc>
          <w:tcPr>
            <w:tcW w:w="557" w:type="pct"/>
            <w:vAlign w:val="center"/>
          </w:tcPr>
          <w:p>
            <w:pPr>
              <w:adjustRightInd w:val="0"/>
              <w:snapToGrid w:val="0"/>
              <w:jc w:val="center"/>
              <w:rPr>
                <w:bCs/>
                <w:color w:val="auto"/>
                <w:sz w:val="18"/>
                <w:szCs w:val="18"/>
                <w:highlight w:val="none"/>
              </w:rPr>
            </w:pPr>
            <w:r>
              <w:rPr>
                <w:rFonts w:hint="eastAsia"/>
                <w:bCs/>
                <w:color w:val="auto"/>
                <w:sz w:val="18"/>
                <w:szCs w:val="18"/>
                <w:highlight w:val="none"/>
              </w:rPr>
              <w:t>1套</w:t>
            </w:r>
          </w:p>
        </w:tc>
        <w:tc>
          <w:tcPr>
            <w:tcW w:w="1177" w:type="pct"/>
            <w:vAlign w:val="center"/>
          </w:tcPr>
          <w:p>
            <w:pPr>
              <w:adjustRightInd w:val="0"/>
              <w:snapToGrid w:val="0"/>
              <w:jc w:val="center"/>
              <w:rPr>
                <w:rFonts w:hint="eastAsia" w:eastAsia="宋体"/>
                <w:bCs/>
                <w:color w:val="auto"/>
                <w:sz w:val="18"/>
                <w:szCs w:val="18"/>
                <w:highlight w:val="none"/>
                <w:lang w:eastAsia="zh-CN"/>
              </w:rPr>
            </w:pPr>
            <w:r>
              <w:rPr>
                <w:rFonts w:hint="eastAsia"/>
                <w:bCs/>
                <w:color w:val="auto"/>
                <w:sz w:val="18"/>
                <w:szCs w:val="18"/>
                <w:highlight w:val="none"/>
                <w:lang w:val="en-US" w:eastAsia="zh-CN"/>
              </w:rPr>
              <w:t>门卫</w:t>
            </w:r>
          </w:p>
        </w:tc>
        <w:tc>
          <w:tcPr>
            <w:tcW w:w="587" w:type="pct"/>
            <w:vAlign w:val="center"/>
          </w:tcPr>
          <w:p>
            <w:pPr>
              <w:jc w:val="center"/>
              <w:rPr>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正常</w:t>
            </w:r>
          </w:p>
        </w:tc>
        <w:tc>
          <w:tcPr>
            <w:tcW w:w="549" w:type="pct"/>
            <w:vMerge w:val="restart"/>
            <w:vAlign w:val="center"/>
          </w:tcPr>
          <w:p>
            <w:pPr>
              <w:adjustRightInd w:val="0"/>
              <w:snapToGrid w:val="0"/>
              <w:jc w:val="center"/>
              <w:rPr>
                <w:rFonts w:hint="eastAsia" w:eastAsia="宋体"/>
                <w:bCs/>
                <w:color w:val="auto"/>
                <w:sz w:val="18"/>
                <w:szCs w:val="18"/>
                <w:highlight w:val="none"/>
                <w:lang w:val="en-US" w:eastAsia="zh-CN"/>
              </w:rPr>
            </w:pPr>
            <w:r>
              <w:rPr>
                <w:rFonts w:hint="eastAsia"/>
                <w:bCs/>
                <w:color w:val="auto"/>
                <w:sz w:val="18"/>
                <w:szCs w:val="18"/>
                <w:highlight w:val="none"/>
                <w:lang w:val="en-US" w:eastAsia="zh-CN"/>
              </w:rPr>
              <w:t>吴科飞</w:t>
            </w:r>
          </w:p>
        </w:tc>
        <w:tc>
          <w:tcPr>
            <w:tcW w:w="820" w:type="pct"/>
            <w:vMerge w:val="restart"/>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4" w:type="pct"/>
            <w:vAlign w:val="center"/>
          </w:tcPr>
          <w:p>
            <w:pPr>
              <w:adjustRightInd w:val="0"/>
              <w:snapToGrid w:val="0"/>
              <w:jc w:val="center"/>
              <w:rPr>
                <w:rFonts w:hint="eastAsia" w:eastAsia="宋体"/>
                <w:bCs/>
                <w:color w:val="auto"/>
                <w:sz w:val="18"/>
                <w:szCs w:val="18"/>
                <w:highlight w:val="none"/>
                <w:lang w:eastAsia="zh-CN"/>
              </w:rPr>
            </w:pPr>
            <w:r>
              <w:rPr>
                <w:rFonts w:hint="eastAsia"/>
                <w:bCs/>
                <w:color w:val="auto"/>
                <w:sz w:val="18"/>
                <w:szCs w:val="18"/>
                <w:highlight w:val="none"/>
                <w:lang w:val="en-US" w:eastAsia="zh-CN"/>
              </w:rPr>
              <w:t>2</w:t>
            </w:r>
          </w:p>
        </w:tc>
        <w:tc>
          <w:tcPr>
            <w:tcW w:w="1012" w:type="pct"/>
            <w:vAlign w:val="center"/>
          </w:tcPr>
          <w:p>
            <w:pPr>
              <w:adjustRightInd w:val="0"/>
              <w:snapToGrid w:val="0"/>
              <w:jc w:val="center"/>
              <w:rPr>
                <w:bCs/>
                <w:color w:val="auto"/>
                <w:sz w:val="18"/>
                <w:szCs w:val="18"/>
                <w:highlight w:val="none"/>
              </w:rPr>
            </w:pPr>
            <w:r>
              <w:rPr>
                <w:rFonts w:hint="eastAsia"/>
                <w:bCs/>
                <w:color w:val="auto"/>
                <w:sz w:val="18"/>
                <w:szCs w:val="18"/>
                <w:highlight w:val="none"/>
              </w:rPr>
              <w:t>手动报警装置</w:t>
            </w:r>
          </w:p>
        </w:tc>
        <w:tc>
          <w:tcPr>
            <w:tcW w:w="557" w:type="pct"/>
            <w:vAlign w:val="center"/>
          </w:tcPr>
          <w:p>
            <w:pPr>
              <w:adjustRightInd w:val="0"/>
              <w:snapToGrid w:val="0"/>
              <w:jc w:val="center"/>
              <w:rPr>
                <w:bCs/>
                <w:color w:val="auto"/>
                <w:sz w:val="18"/>
                <w:szCs w:val="18"/>
                <w:highlight w:val="none"/>
              </w:rPr>
            </w:pPr>
            <w:r>
              <w:rPr>
                <w:rFonts w:hint="eastAsia"/>
                <w:bCs/>
                <w:color w:val="auto"/>
                <w:sz w:val="18"/>
                <w:szCs w:val="18"/>
                <w:highlight w:val="none"/>
                <w:lang w:val="en-US" w:eastAsia="zh-CN"/>
              </w:rPr>
              <w:t>10</w:t>
            </w:r>
            <w:r>
              <w:rPr>
                <w:rFonts w:hint="eastAsia"/>
                <w:bCs/>
                <w:color w:val="auto"/>
                <w:sz w:val="18"/>
                <w:szCs w:val="18"/>
                <w:highlight w:val="none"/>
              </w:rPr>
              <w:t>个</w:t>
            </w:r>
          </w:p>
        </w:tc>
        <w:tc>
          <w:tcPr>
            <w:tcW w:w="1177" w:type="pct"/>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办公及生产车间</w:t>
            </w:r>
          </w:p>
        </w:tc>
        <w:tc>
          <w:tcPr>
            <w:tcW w:w="587" w:type="pct"/>
            <w:vAlign w:val="center"/>
          </w:tcPr>
          <w:p>
            <w:pPr>
              <w:jc w:val="center"/>
              <w:rPr>
                <w:bCs/>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正常</w:t>
            </w:r>
          </w:p>
        </w:tc>
        <w:tc>
          <w:tcPr>
            <w:tcW w:w="549" w:type="pct"/>
            <w:vMerge w:val="continue"/>
          </w:tcPr>
          <w:p>
            <w:pPr>
              <w:adjustRightInd w:val="0"/>
              <w:snapToGrid w:val="0"/>
              <w:jc w:val="center"/>
              <w:rPr>
                <w:bCs/>
                <w:color w:val="auto"/>
                <w:sz w:val="18"/>
                <w:szCs w:val="18"/>
                <w:highlight w:val="none"/>
              </w:rPr>
            </w:pPr>
          </w:p>
        </w:tc>
        <w:tc>
          <w:tcPr>
            <w:tcW w:w="820" w:type="pct"/>
            <w:vMerge w:val="continue"/>
          </w:tcPr>
          <w:p>
            <w:pPr>
              <w:adjustRightInd w:val="0"/>
              <w:snapToGrid w:val="0"/>
              <w:jc w:val="center"/>
              <w:rPr>
                <w:bCs/>
                <w:color w:val="auto"/>
                <w:sz w:val="18"/>
                <w:szCs w:val="18"/>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294" w:type="pct"/>
            <w:vAlign w:val="center"/>
          </w:tcPr>
          <w:p>
            <w:pPr>
              <w:adjustRightInd w:val="0"/>
              <w:snapToGrid w:val="0"/>
              <w:jc w:val="center"/>
              <w:rPr>
                <w:rFonts w:hint="default"/>
                <w:bCs/>
                <w:color w:val="auto"/>
                <w:sz w:val="18"/>
                <w:szCs w:val="18"/>
                <w:highlight w:val="none"/>
                <w:lang w:val="en-US" w:eastAsia="zh-CN"/>
              </w:rPr>
            </w:pPr>
            <w:r>
              <w:rPr>
                <w:rFonts w:hint="eastAsia"/>
                <w:bCs/>
                <w:color w:val="auto"/>
                <w:sz w:val="18"/>
                <w:szCs w:val="18"/>
                <w:highlight w:val="none"/>
                <w:lang w:val="en-US" w:eastAsia="zh-CN"/>
              </w:rPr>
              <w:t>3</w:t>
            </w:r>
          </w:p>
        </w:tc>
        <w:tc>
          <w:tcPr>
            <w:tcW w:w="1012" w:type="pct"/>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视频监控</w:t>
            </w:r>
          </w:p>
        </w:tc>
        <w:tc>
          <w:tcPr>
            <w:tcW w:w="557" w:type="pct"/>
            <w:vAlign w:val="center"/>
          </w:tcPr>
          <w:p>
            <w:pPr>
              <w:adjustRightInd w:val="0"/>
              <w:snapToGrid w:val="0"/>
              <w:jc w:val="center"/>
              <w:rPr>
                <w:rFonts w:hint="default"/>
                <w:bCs/>
                <w:color w:val="auto"/>
                <w:sz w:val="18"/>
                <w:szCs w:val="18"/>
                <w:highlight w:val="none"/>
                <w:lang w:val="en-US" w:eastAsia="zh-CN"/>
              </w:rPr>
            </w:pPr>
            <w:r>
              <w:rPr>
                <w:rFonts w:hint="eastAsia"/>
                <w:bCs/>
                <w:color w:val="auto"/>
                <w:sz w:val="18"/>
                <w:szCs w:val="18"/>
                <w:highlight w:val="none"/>
                <w:lang w:val="en-US" w:eastAsia="zh-CN"/>
              </w:rPr>
              <w:t>3个</w:t>
            </w:r>
          </w:p>
        </w:tc>
        <w:tc>
          <w:tcPr>
            <w:tcW w:w="1177" w:type="pct"/>
            <w:vAlign w:val="center"/>
          </w:tcPr>
          <w:p>
            <w:pPr>
              <w:adjustRightInd w:val="0"/>
              <w:snapToGrid w:val="0"/>
              <w:jc w:val="center"/>
              <w:rPr>
                <w:rFonts w:hint="default" w:eastAsia="宋体"/>
                <w:bCs/>
                <w:color w:val="auto"/>
                <w:sz w:val="18"/>
                <w:szCs w:val="18"/>
                <w:highlight w:val="none"/>
                <w:lang w:val="en-US" w:eastAsia="zh-CN"/>
              </w:rPr>
            </w:pPr>
            <w:r>
              <w:rPr>
                <w:rFonts w:hint="eastAsia"/>
                <w:bCs/>
                <w:color w:val="auto"/>
                <w:sz w:val="18"/>
                <w:szCs w:val="18"/>
                <w:highlight w:val="none"/>
                <w:lang w:val="en-US" w:eastAsia="zh-CN"/>
              </w:rPr>
              <w:t>生产车间、酸性库、危废仓库</w:t>
            </w:r>
          </w:p>
        </w:tc>
        <w:tc>
          <w:tcPr>
            <w:tcW w:w="587" w:type="pct"/>
            <w:vAlign w:val="center"/>
          </w:tcPr>
          <w:p>
            <w:pPr>
              <w:jc w:val="center"/>
              <w:rPr>
                <w:bCs/>
                <w:color w:val="auto"/>
                <w:sz w:val="18"/>
                <w:szCs w:val="18"/>
                <w:highlight w:val="none"/>
              </w:rPr>
            </w:pPr>
            <w:r>
              <w:rPr>
                <w:rFonts w:hint="eastAsia" w:ascii="Times New Roman" w:hAnsi="Times New Roman" w:eastAsia="宋体" w:cs="Times New Roman"/>
                <w:color w:val="auto"/>
                <w:kern w:val="2"/>
                <w:sz w:val="18"/>
                <w:szCs w:val="18"/>
                <w:highlight w:val="none"/>
                <w:lang w:val="en-US" w:eastAsia="zh-CN" w:bidi="ar-SA"/>
              </w:rPr>
              <w:t>正常</w:t>
            </w:r>
          </w:p>
        </w:tc>
        <w:tc>
          <w:tcPr>
            <w:tcW w:w="549" w:type="pct"/>
            <w:vMerge w:val="continue"/>
          </w:tcPr>
          <w:p>
            <w:pPr>
              <w:adjustRightInd w:val="0"/>
              <w:snapToGrid w:val="0"/>
              <w:jc w:val="center"/>
              <w:rPr>
                <w:bCs/>
                <w:color w:val="auto"/>
                <w:sz w:val="18"/>
                <w:szCs w:val="18"/>
                <w:highlight w:val="none"/>
              </w:rPr>
            </w:pPr>
          </w:p>
        </w:tc>
        <w:tc>
          <w:tcPr>
            <w:tcW w:w="820" w:type="pct"/>
            <w:vMerge w:val="continue"/>
          </w:tcPr>
          <w:p>
            <w:pPr>
              <w:adjustRightInd w:val="0"/>
              <w:snapToGrid w:val="0"/>
              <w:jc w:val="center"/>
              <w:rPr>
                <w:bCs/>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val="0"/>
        <w:snapToGrid w:val="0"/>
        <w:spacing w:before="0" w:beforeLines="50"/>
        <w:jc w:val="center"/>
        <w:textAlignment w:val="auto"/>
        <w:rPr>
          <w:b/>
          <w:color w:val="auto"/>
          <w:highlight w:val="none"/>
        </w:rPr>
      </w:pPr>
      <w:r>
        <w:rPr>
          <w:b/>
          <w:color w:val="auto"/>
          <w:highlight w:val="none"/>
        </w:rPr>
        <w:t>表</w:t>
      </w:r>
      <w:r>
        <w:rPr>
          <w:rFonts w:hint="eastAsia"/>
          <w:b/>
          <w:color w:val="auto"/>
          <w:highlight w:val="none"/>
        </w:rPr>
        <w:t>8.1-2</w:t>
      </w:r>
      <w:r>
        <w:rPr>
          <w:b/>
          <w:color w:val="auto"/>
          <w:highlight w:val="none"/>
        </w:rPr>
        <w:t xml:space="preserve">  现有的应急物资及装备</w:t>
      </w:r>
    </w:p>
    <w:tbl>
      <w:tblPr>
        <w:tblStyle w:val="20"/>
        <w:tblW w:w="474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88"/>
        <w:gridCol w:w="619"/>
        <w:gridCol w:w="2112"/>
        <w:gridCol w:w="1020"/>
        <w:gridCol w:w="1062"/>
        <w:gridCol w:w="739"/>
        <w:gridCol w:w="1363"/>
        <w:gridCol w:w="137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192" w:type="pct"/>
            <w:noWrap w:val="0"/>
            <w:vAlign w:val="center"/>
          </w:tcPr>
          <w:p>
            <w:pPr>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385" w:type="pct"/>
            <w:noWrap w:val="0"/>
            <w:vAlign w:val="center"/>
          </w:tcPr>
          <w:p>
            <w:pPr>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类别</w:t>
            </w:r>
          </w:p>
        </w:tc>
        <w:tc>
          <w:tcPr>
            <w:tcW w:w="1255" w:type="pct"/>
            <w:noWrap w:val="0"/>
            <w:vAlign w:val="center"/>
          </w:tcPr>
          <w:p>
            <w:pPr>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名称</w:t>
            </w:r>
          </w:p>
        </w:tc>
        <w:tc>
          <w:tcPr>
            <w:tcW w:w="619" w:type="pct"/>
            <w:noWrap w:val="0"/>
            <w:vAlign w:val="center"/>
          </w:tcPr>
          <w:p>
            <w:pPr>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数量</w:t>
            </w:r>
          </w:p>
        </w:tc>
        <w:tc>
          <w:tcPr>
            <w:tcW w:w="643" w:type="pct"/>
            <w:noWrap w:val="0"/>
            <w:vAlign w:val="center"/>
          </w:tcPr>
          <w:p>
            <w:pPr>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存放位置</w:t>
            </w:r>
          </w:p>
        </w:tc>
        <w:tc>
          <w:tcPr>
            <w:tcW w:w="455" w:type="pct"/>
            <w:noWrap w:val="0"/>
            <w:vAlign w:val="center"/>
          </w:tcPr>
          <w:p>
            <w:pPr>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有效期</w:t>
            </w:r>
          </w:p>
        </w:tc>
        <w:tc>
          <w:tcPr>
            <w:tcW w:w="818" w:type="pct"/>
            <w:noWrap w:val="0"/>
            <w:vAlign w:val="center"/>
          </w:tcPr>
          <w:p>
            <w:pPr>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负责人</w:t>
            </w:r>
            <w:r>
              <w:rPr>
                <w:rFonts w:hint="eastAsia" w:ascii="Times New Roman" w:hAnsi="Times New Roman" w:eastAsia="宋体" w:cs="Times New Roman"/>
                <w:b/>
                <w:bCs/>
                <w:color w:val="auto"/>
                <w:kern w:val="0"/>
                <w:sz w:val="21"/>
                <w:szCs w:val="21"/>
                <w:highlight w:val="none"/>
                <w:lang w:val="en-US" w:eastAsia="zh-CN"/>
              </w:rPr>
              <w:t>及</w:t>
            </w:r>
            <w:r>
              <w:rPr>
                <w:rFonts w:hint="default" w:ascii="Times New Roman" w:hAnsi="Times New Roman" w:eastAsia="宋体" w:cs="Times New Roman"/>
                <w:b/>
                <w:bCs/>
                <w:color w:val="auto"/>
                <w:kern w:val="0"/>
                <w:sz w:val="21"/>
                <w:szCs w:val="21"/>
                <w:highlight w:val="none"/>
              </w:rPr>
              <w:t>联系方式</w:t>
            </w:r>
          </w:p>
        </w:tc>
        <w:tc>
          <w:tcPr>
            <w:tcW w:w="629" w:type="pct"/>
            <w:noWrap w:val="0"/>
            <w:vAlign w:val="center"/>
          </w:tcPr>
          <w:p>
            <w:pPr>
              <w:snapToGrid w:val="0"/>
              <w:spacing w:line="240" w:lineRule="auto"/>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外部供应商及联系方式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76" w:hRule="atLeast"/>
        </w:trPr>
        <w:tc>
          <w:tcPr>
            <w:tcW w:w="192" w:type="pct"/>
            <w:noWrap w:val="0"/>
            <w:vAlign w:val="center"/>
          </w:tcPr>
          <w:p>
            <w:pPr>
              <w:numPr>
                <w:ilvl w:val="0"/>
                <w:numId w:val="7"/>
              </w:numPr>
              <w:snapToGrid w:val="0"/>
              <w:spacing w:line="240" w:lineRule="auto"/>
              <w:ind w:left="425" w:leftChars="0" w:hanging="425" w:firstLineChars="0"/>
              <w:jc w:val="both"/>
              <w:rPr>
                <w:rFonts w:hint="default" w:ascii="Times New Roman" w:hAnsi="Times New Roman" w:eastAsia="宋体" w:cs="Times New Roman"/>
                <w:bCs/>
                <w:color w:val="auto"/>
                <w:kern w:val="0"/>
                <w:sz w:val="21"/>
                <w:szCs w:val="21"/>
                <w:highlight w:val="none"/>
              </w:rPr>
            </w:pPr>
          </w:p>
        </w:tc>
        <w:tc>
          <w:tcPr>
            <w:tcW w:w="385" w:type="pct"/>
            <w:noWrap w:val="0"/>
            <w:vAlign w:val="center"/>
          </w:tcPr>
          <w:p>
            <w:pPr>
              <w:snapToGrid w:val="0"/>
              <w:spacing w:line="240" w:lineRule="auto"/>
              <w:jc w:val="both"/>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lang w:eastAsia="zh-CN" w:bidi="ar"/>
              </w:rPr>
              <w:t>污染源切断</w:t>
            </w: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沙袋</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100</w:t>
            </w:r>
          </w:p>
        </w:tc>
        <w:tc>
          <w:tcPr>
            <w:tcW w:w="643" w:type="pct"/>
            <w:noWrap w:val="0"/>
            <w:vAlign w:val="center"/>
          </w:tcPr>
          <w:p>
            <w:pPr>
              <w:adjustRightInd w:val="0"/>
              <w:snapToGrid w:val="0"/>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厂区周边</w:t>
            </w:r>
          </w:p>
        </w:tc>
        <w:tc>
          <w:tcPr>
            <w:tcW w:w="45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王苏衍18068285778</w:t>
            </w:r>
          </w:p>
        </w:tc>
        <w:tc>
          <w:tcPr>
            <w:tcW w:w="629"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无锡翌旸商贸有限公司</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0510-83559571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76" w:hRule="atLeast"/>
        </w:trPr>
        <w:tc>
          <w:tcPr>
            <w:tcW w:w="192" w:type="pct"/>
            <w:noWrap w:val="0"/>
            <w:vAlign w:val="center"/>
          </w:tcPr>
          <w:p>
            <w:pPr>
              <w:numPr>
                <w:ilvl w:val="0"/>
                <w:numId w:val="7"/>
              </w:numPr>
              <w:snapToGrid w:val="0"/>
              <w:spacing w:line="240" w:lineRule="auto"/>
              <w:ind w:left="425" w:leftChars="0" w:hanging="425" w:firstLineChars="0"/>
              <w:jc w:val="both"/>
              <w:rPr>
                <w:rFonts w:hint="default" w:ascii="Times New Roman" w:hAnsi="Times New Roman" w:eastAsia="宋体" w:cs="Times New Roman"/>
                <w:bCs/>
                <w:color w:val="auto"/>
                <w:kern w:val="0"/>
                <w:sz w:val="21"/>
                <w:szCs w:val="21"/>
                <w:highlight w:val="none"/>
                <w:lang w:val="en-US" w:eastAsia="zh-CN"/>
              </w:rPr>
            </w:pPr>
          </w:p>
        </w:tc>
        <w:tc>
          <w:tcPr>
            <w:tcW w:w="385" w:type="pct"/>
            <w:noWrap w:val="0"/>
            <w:vAlign w:val="center"/>
          </w:tcPr>
          <w:p>
            <w:pPr>
              <w:snapToGrid w:val="0"/>
              <w:spacing w:line="240" w:lineRule="auto"/>
              <w:jc w:val="both"/>
              <w:rPr>
                <w:rFonts w:hint="default" w:ascii="Times New Roman" w:hAnsi="Times New Roman" w:eastAsia="宋体" w:cs="Times New Roman"/>
                <w:color w:val="auto"/>
                <w:kern w:val="0"/>
                <w:sz w:val="21"/>
                <w:szCs w:val="21"/>
                <w:highlight w:val="none"/>
                <w:lang w:eastAsia="zh-CN" w:bidi="ar"/>
              </w:rPr>
            </w:pPr>
            <w:r>
              <w:rPr>
                <w:rFonts w:hint="default" w:ascii="Times New Roman" w:hAnsi="Times New Roman" w:eastAsia="宋体" w:cs="Times New Roman"/>
                <w:bCs/>
                <w:color w:val="auto"/>
                <w:kern w:val="0"/>
                <w:sz w:val="21"/>
                <w:szCs w:val="21"/>
                <w:highlight w:val="none"/>
                <w:lang w:eastAsia="zh-CN"/>
              </w:rPr>
              <w:t>污染物控制</w:t>
            </w: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w:t>
            </w:r>
          </w:p>
        </w:tc>
        <w:tc>
          <w:tcPr>
            <w:tcW w:w="643" w:type="pct"/>
            <w:noWrap w:val="0"/>
            <w:vAlign w:val="center"/>
          </w:tcPr>
          <w:p>
            <w:pPr>
              <w:adjustRightInd w:val="0"/>
              <w:snapToGrid w:val="0"/>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cs="Times New Roman"/>
                <w:bCs/>
                <w:color w:val="auto"/>
                <w:sz w:val="21"/>
                <w:szCs w:val="21"/>
                <w:highlight w:val="none"/>
              </w:rPr>
              <w:t>/</w:t>
            </w:r>
          </w:p>
        </w:tc>
        <w:tc>
          <w:tcPr>
            <w:tcW w:w="455" w:type="pct"/>
            <w:noWrap w:val="0"/>
            <w:vAlign w:val="center"/>
          </w:tcPr>
          <w:p>
            <w:pPr>
              <w:adjustRightInd w:val="0"/>
              <w:snapToGrid w:val="0"/>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c>
          <w:tcPr>
            <w:tcW w:w="629"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restart"/>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eastAsia="zh-CN"/>
              </w:rPr>
              <w:t>污染物收集</w:t>
            </w: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潜水泵</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机修间</w:t>
            </w:r>
          </w:p>
        </w:tc>
        <w:tc>
          <w:tcPr>
            <w:tcW w:w="45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王苏衍18068285778</w:t>
            </w:r>
          </w:p>
        </w:tc>
        <w:tc>
          <w:tcPr>
            <w:tcW w:w="629" w:type="pct"/>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无锡翌旸商贸有限公司</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0510-83559571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吸油棉</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条</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备品间、酸性库应急箱</w:t>
            </w:r>
          </w:p>
        </w:tc>
        <w:tc>
          <w:tcPr>
            <w:tcW w:w="45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vMerge w:val="continue"/>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c>
          <w:tcPr>
            <w:tcW w:w="629" w:type="pct"/>
            <w:vMerge w:val="continue"/>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反渗透托盘</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危废仓库、酸性库、碱性库</w:t>
            </w:r>
          </w:p>
        </w:tc>
        <w:tc>
          <w:tcPr>
            <w:tcW w:w="45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席志峰</w:t>
            </w:r>
            <w:r>
              <w:rPr>
                <w:rFonts w:hint="default" w:ascii="宋体" w:hAnsi="宋体" w:eastAsia="宋体" w:cs="宋体"/>
                <w:i w:val="0"/>
                <w:iCs w:val="0"/>
                <w:color w:val="auto"/>
                <w:kern w:val="0"/>
                <w:sz w:val="21"/>
                <w:szCs w:val="21"/>
                <w:highlight w:val="none"/>
                <w:u w:val="none"/>
                <w:lang w:val="en-US" w:eastAsia="zh-CN" w:bidi="ar"/>
              </w:rPr>
              <w:t>13951587060</w:t>
            </w:r>
          </w:p>
        </w:tc>
        <w:tc>
          <w:tcPr>
            <w:tcW w:w="629"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惠山区洛社镇汇潭机械部件厂</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13951587060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渗液收集池</w:t>
            </w:r>
          </w:p>
        </w:tc>
        <w:tc>
          <w:tcPr>
            <w:tcW w:w="619" w:type="pct"/>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3</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危废仓库外、酸性库外、废水处理区</w:t>
            </w:r>
          </w:p>
        </w:tc>
        <w:tc>
          <w:tcPr>
            <w:tcW w:w="455"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卢小琴</w:t>
            </w:r>
            <w:r>
              <w:rPr>
                <w:rFonts w:hint="default" w:ascii="宋体" w:hAnsi="宋体" w:eastAsia="宋体" w:cs="宋体"/>
                <w:i w:val="0"/>
                <w:iCs w:val="0"/>
                <w:color w:val="auto"/>
                <w:kern w:val="0"/>
                <w:sz w:val="21"/>
                <w:szCs w:val="21"/>
                <w:highlight w:val="none"/>
                <w:u w:val="none"/>
                <w:lang w:val="en-US" w:eastAsia="zh-CN" w:bidi="ar"/>
              </w:rPr>
              <w:t>13861689008</w:t>
            </w:r>
          </w:p>
        </w:tc>
        <w:tc>
          <w:tcPr>
            <w:tcW w:w="629"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运来顺工程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restart"/>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eastAsia="zh-CN"/>
              </w:rPr>
              <w:t>污染物降解</w:t>
            </w: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硫酸</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99</w:t>
            </w:r>
            <w:r>
              <w:rPr>
                <w:rFonts w:hint="eastAsia" w:ascii="宋体" w:hAnsi="宋体" w:eastAsia="宋体" w:cs="宋体"/>
                <w:i w:val="0"/>
                <w:iCs w:val="0"/>
                <w:color w:val="auto"/>
                <w:kern w:val="0"/>
                <w:sz w:val="21"/>
                <w:szCs w:val="21"/>
                <w:highlight w:val="none"/>
                <w:u w:val="none"/>
                <w:lang w:val="en-US" w:eastAsia="zh-CN" w:bidi="ar"/>
              </w:rPr>
              <w:t>瓶</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酸性库、实验室</w:t>
            </w:r>
          </w:p>
        </w:tc>
        <w:tc>
          <w:tcPr>
            <w:tcW w:w="455" w:type="pc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vMerge w:val="restar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林文豪15106194286</w:t>
            </w:r>
          </w:p>
        </w:tc>
        <w:tc>
          <w:tcPr>
            <w:tcW w:w="629" w:type="pct"/>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无锡得奇商贸有限公司</w:t>
            </w:r>
            <w:r>
              <w:rPr>
                <w:rFonts w:hint="eastAsia" w:ascii="宋体" w:hAnsi="宋体" w:eastAsia="宋体" w:cs="宋体"/>
                <w:i w:val="0"/>
                <w:iCs w:val="0"/>
                <w:color w:val="auto"/>
                <w:kern w:val="0"/>
                <w:sz w:val="21"/>
                <w:szCs w:val="21"/>
                <w:highlight w:val="none"/>
                <w:u w:val="none"/>
                <w:lang w:val="en-US" w:eastAsia="zh-CN" w:bidi="ar"/>
              </w:rPr>
              <w:t>0510-83556868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氢氧化钠</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120</w:t>
            </w:r>
            <w:r>
              <w:rPr>
                <w:rFonts w:hint="eastAsia" w:ascii="宋体" w:hAnsi="宋体" w:eastAsia="宋体" w:cs="宋体"/>
                <w:i w:val="0"/>
                <w:iCs w:val="0"/>
                <w:color w:val="auto"/>
                <w:kern w:val="0"/>
                <w:sz w:val="21"/>
                <w:szCs w:val="21"/>
                <w:highlight w:val="none"/>
                <w:u w:val="none"/>
                <w:lang w:val="en-US" w:eastAsia="zh-CN" w:bidi="ar"/>
              </w:rPr>
              <w:t>瓶</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碱性库、实验室</w:t>
            </w:r>
          </w:p>
        </w:tc>
        <w:tc>
          <w:tcPr>
            <w:tcW w:w="455" w:type="pct"/>
            <w:noWrap w:val="0"/>
            <w:vAlign w:val="center"/>
          </w:tcPr>
          <w:p>
            <w:pPr>
              <w:spacing w:line="240" w:lineRule="auto"/>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rPr>
            </w:pPr>
          </w:p>
        </w:tc>
        <w:tc>
          <w:tcPr>
            <w:tcW w:w="629" w:type="pct"/>
            <w:vMerge w:val="continue"/>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氢氧化钙</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箱</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厂区</w:t>
            </w:r>
          </w:p>
        </w:tc>
        <w:tc>
          <w:tcPr>
            <w:tcW w:w="455" w:type="pct"/>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vMerge w:val="continue"/>
            <w:noWrap w:val="0"/>
            <w:vAlign w:val="center"/>
          </w:tcPr>
          <w:p>
            <w:pPr>
              <w:spacing w:line="240" w:lineRule="auto"/>
              <w:jc w:val="center"/>
              <w:rPr>
                <w:rFonts w:hint="default" w:ascii="Times New Roman" w:hAnsi="Times New Roman" w:eastAsia="宋体" w:cs="Times New Roman"/>
                <w:color w:val="auto"/>
                <w:sz w:val="21"/>
                <w:szCs w:val="21"/>
                <w:highlight w:val="none"/>
                <w:lang w:val="en-US" w:eastAsia="zh-CN"/>
              </w:rPr>
            </w:pPr>
          </w:p>
        </w:tc>
        <w:tc>
          <w:tcPr>
            <w:tcW w:w="629" w:type="pct"/>
            <w:vMerge w:val="continue"/>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val="0"/>
                <w:color w:val="auto"/>
                <w:kern w:val="2"/>
                <w:sz w:val="21"/>
                <w:szCs w:val="21"/>
                <w:highlight w:val="none"/>
                <w:lang w:val="en-US" w:eastAsia="zh-CN" w:bidi="ar-SA"/>
              </w:rPr>
            </w:pPr>
          </w:p>
        </w:tc>
        <w:tc>
          <w:tcPr>
            <w:tcW w:w="385" w:type="pct"/>
            <w:vMerge w:val="restart"/>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eastAsia="zh-CN"/>
              </w:rPr>
              <w:t>安全防护</w:t>
            </w: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氯化氢气体检测报警器</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西厂界</w:t>
            </w:r>
          </w:p>
        </w:tc>
        <w:tc>
          <w:tcPr>
            <w:tcW w:w="45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r>
              <w:rPr>
                <w:rFonts w:hint="eastAsia" w:ascii="宋体" w:hAnsi="宋体" w:eastAsia="宋体" w:cs="宋体"/>
                <w:i w:val="0"/>
                <w:iCs w:val="0"/>
                <w:color w:val="auto"/>
                <w:kern w:val="0"/>
                <w:sz w:val="21"/>
                <w:szCs w:val="21"/>
                <w:highlight w:val="none"/>
                <w:u w:val="none"/>
                <w:lang w:val="en-US" w:eastAsia="zh-CN" w:bidi="ar"/>
              </w:rPr>
              <w:t>黄邵桢</w:t>
            </w:r>
            <w:r>
              <w:rPr>
                <w:rFonts w:hint="default" w:ascii="Times New Roman" w:hAnsi="Times New Roman" w:eastAsia="宋体" w:cs="Times New Roman"/>
                <w:i w:val="0"/>
                <w:iCs w:val="0"/>
                <w:color w:val="auto"/>
                <w:kern w:val="0"/>
                <w:sz w:val="21"/>
                <w:szCs w:val="21"/>
                <w:highlight w:val="none"/>
                <w:u w:val="none"/>
                <w:lang w:val="en-US" w:eastAsia="zh-CN" w:bidi="ar"/>
              </w:rPr>
              <w:t>13382224370</w:t>
            </w:r>
          </w:p>
        </w:tc>
        <w:tc>
          <w:tcPr>
            <w:tcW w:w="629"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统安建设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val="0"/>
                <w:color w:val="auto"/>
                <w:kern w:val="2"/>
                <w:sz w:val="21"/>
                <w:szCs w:val="21"/>
                <w:highlight w:val="none"/>
                <w:lang w:val="en-US" w:eastAsia="zh-CN" w:bidi="ar-SA"/>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防毒面具</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vMerge w:val="restart"/>
            <w:noWrap w:val="0"/>
            <w:vAlign w:val="center"/>
          </w:tcPr>
          <w:p>
            <w:pPr>
              <w:adjustRightInd w:val="0"/>
              <w:snapToGrid w:val="0"/>
              <w:spacing w:line="240" w:lineRule="auto"/>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车间应急救援柜</w:t>
            </w:r>
          </w:p>
        </w:tc>
        <w:tc>
          <w:tcPr>
            <w:tcW w:w="455" w:type="pct"/>
            <w:vMerge w:val="restar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邵可</w:t>
            </w:r>
            <w:r>
              <w:rPr>
                <w:rFonts w:hint="default" w:ascii="Times New Roman" w:hAnsi="Times New Roman" w:eastAsia="宋体" w:cs="Times New Roman"/>
                <w:i w:val="0"/>
                <w:iCs w:val="0"/>
                <w:color w:val="auto"/>
                <w:kern w:val="0"/>
                <w:sz w:val="21"/>
                <w:szCs w:val="21"/>
                <w:highlight w:val="none"/>
                <w:u w:val="none"/>
                <w:lang w:val="en-US" w:eastAsia="zh-CN" w:bidi="ar"/>
              </w:rPr>
              <w:t>13771057233</w:t>
            </w:r>
          </w:p>
        </w:tc>
        <w:tc>
          <w:tcPr>
            <w:tcW w:w="629" w:type="pct"/>
            <w:vMerge w:val="restar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无锡市可越物资有限公司</w:t>
            </w:r>
          </w:p>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13771057233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val="0"/>
                <w:color w:val="auto"/>
                <w:kern w:val="2"/>
                <w:sz w:val="21"/>
                <w:szCs w:val="21"/>
                <w:highlight w:val="none"/>
                <w:lang w:val="en-US" w:eastAsia="zh-CN" w:bidi="ar-SA"/>
              </w:rPr>
            </w:pPr>
          </w:p>
        </w:tc>
        <w:tc>
          <w:tcPr>
            <w:tcW w:w="385" w:type="pct"/>
            <w:vMerge w:val="continue"/>
            <w:noWrap w:val="0"/>
            <w:vAlign w:val="center"/>
          </w:tcPr>
          <w:p>
            <w:pPr>
              <w:snapToGrid w:val="0"/>
              <w:spacing w:line="240" w:lineRule="auto"/>
              <w:jc w:val="center"/>
              <w:rPr>
                <w:rFonts w:hint="default" w:ascii="Times New Roman" w:hAnsi="Times New Roman" w:cs="Times New Roman"/>
                <w:color w:val="auto"/>
                <w:sz w:val="21"/>
                <w:szCs w:val="21"/>
                <w:highlight w:val="none"/>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防化服</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件</w:t>
            </w:r>
          </w:p>
        </w:tc>
        <w:tc>
          <w:tcPr>
            <w:tcW w:w="643"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p>
        </w:tc>
        <w:tc>
          <w:tcPr>
            <w:tcW w:w="45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8"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629"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防化靴</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双</w:t>
            </w:r>
          </w:p>
        </w:tc>
        <w:tc>
          <w:tcPr>
            <w:tcW w:w="643"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p>
        </w:tc>
        <w:tc>
          <w:tcPr>
            <w:tcW w:w="45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8"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629"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防化手套</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双</w:t>
            </w:r>
          </w:p>
        </w:tc>
        <w:tc>
          <w:tcPr>
            <w:tcW w:w="643"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p>
        </w:tc>
        <w:tc>
          <w:tcPr>
            <w:tcW w:w="45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8"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629"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防化护目镜</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p>
        </w:tc>
        <w:tc>
          <w:tcPr>
            <w:tcW w:w="45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8"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629"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氧气呼吸器</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p>
        </w:tc>
        <w:tc>
          <w:tcPr>
            <w:tcW w:w="45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8"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629"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安全帽</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6</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p>
        </w:tc>
        <w:tc>
          <w:tcPr>
            <w:tcW w:w="45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8"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629"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手套</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双</w:t>
            </w:r>
          </w:p>
        </w:tc>
        <w:tc>
          <w:tcPr>
            <w:tcW w:w="643"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p>
        </w:tc>
        <w:tc>
          <w:tcPr>
            <w:tcW w:w="45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8"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629"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安全鞋</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双</w:t>
            </w:r>
          </w:p>
        </w:tc>
        <w:tc>
          <w:tcPr>
            <w:tcW w:w="643"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sz w:val="21"/>
                <w:szCs w:val="21"/>
                <w:highlight w:val="none"/>
                <w:lang w:val="en-US" w:eastAsia="zh-CN"/>
              </w:rPr>
            </w:pPr>
          </w:p>
        </w:tc>
        <w:tc>
          <w:tcPr>
            <w:tcW w:w="45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8"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p>
        </w:tc>
        <w:tc>
          <w:tcPr>
            <w:tcW w:w="629"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kern w:val="0"/>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工作服</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100</w:t>
            </w:r>
            <w:r>
              <w:rPr>
                <w:rFonts w:hint="eastAsia" w:ascii="宋体" w:hAnsi="宋体" w:eastAsia="宋体" w:cs="宋体"/>
                <w:i w:val="0"/>
                <w:iCs w:val="0"/>
                <w:color w:val="auto"/>
                <w:kern w:val="0"/>
                <w:sz w:val="21"/>
                <w:szCs w:val="21"/>
                <w:highlight w:val="none"/>
                <w:u w:val="none"/>
                <w:lang w:val="en-US" w:eastAsia="zh-CN" w:bidi="ar"/>
              </w:rPr>
              <w:t>套</w:t>
            </w:r>
          </w:p>
        </w:tc>
        <w:tc>
          <w:tcPr>
            <w:tcW w:w="643" w:type="pct"/>
            <w:vMerge w:val="continue"/>
            <w:noWrap w:val="0"/>
            <w:vAlign w:val="center"/>
          </w:tcPr>
          <w:p>
            <w:pPr>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p>
        </w:tc>
        <w:tc>
          <w:tcPr>
            <w:tcW w:w="45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8"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629"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安全绳</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p>
        </w:tc>
        <w:tc>
          <w:tcPr>
            <w:tcW w:w="455" w:type="pct"/>
            <w:vMerge w:val="continue"/>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818"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629"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eastAsia" w:ascii="Times New Roman" w:hAnsi="Times New Roman" w:eastAsia="宋体" w:cs="Times New Roman"/>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洗眼器</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i w:val="0"/>
                <w:iCs w:val="0"/>
                <w:color w:val="auto"/>
                <w:kern w:val="0"/>
                <w:sz w:val="21"/>
                <w:szCs w:val="21"/>
                <w:highlight w:val="none"/>
                <w:u w:val="none"/>
                <w:lang w:val="en-US" w:eastAsia="zh-CN" w:bidi="ar"/>
              </w:rPr>
              <w:t>4</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生产车间、酸性库</w:t>
            </w:r>
          </w:p>
        </w:tc>
        <w:tc>
          <w:tcPr>
            <w:tcW w:w="45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noWrap w:val="0"/>
            <w:vAlign w:val="center"/>
          </w:tcPr>
          <w:p>
            <w:pPr>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王苏衍18068285778</w:t>
            </w:r>
          </w:p>
        </w:tc>
        <w:tc>
          <w:tcPr>
            <w:tcW w:w="629"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default" w:ascii="宋体" w:hAnsi="宋体" w:eastAsia="宋体" w:cs="宋体"/>
                <w:i w:val="0"/>
                <w:iCs w:val="0"/>
                <w:color w:val="auto"/>
                <w:kern w:val="0"/>
                <w:sz w:val="21"/>
                <w:szCs w:val="21"/>
                <w:highlight w:val="none"/>
                <w:u w:val="none"/>
                <w:lang w:val="en-US" w:eastAsia="zh-CN" w:bidi="ar"/>
              </w:rPr>
              <w:t>无锡翌旸商贸有限公司</w:t>
            </w:r>
          </w:p>
          <w:p>
            <w:pPr>
              <w:snapToGrid w:val="0"/>
              <w:spacing w:line="240" w:lineRule="auto"/>
              <w:jc w:val="center"/>
              <w:rPr>
                <w:rFonts w:hint="default" w:ascii="Times New Roman" w:hAnsi="Times New Roman" w:eastAsia="宋体" w:cs="Times New Roman"/>
                <w:color w:val="auto"/>
                <w:sz w:val="21"/>
                <w:szCs w:val="21"/>
                <w:highlight w:val="none"/>
                <w:lang w:eastAsia="zh-CN"/>
              </w:rPr>
            </w:pPr>
            <w:r>
              <w:rPr>
                <w:rFonts w:hint="default" w:ascii="宋体" w:hAnsi="宋体" w:eastAsia="宋体" w:cs="宋体"/>
                <w:i w:val="0"/>
                <w:iCs w:val="0"/>
                <w:color w:val="auto"/>
                <w:kern w:val="0"/>
                <w:sz w:val="21"/>
                <w:szCs w:val="21"/>
                <w:highlight w:val="none"/>
                <w:u w:val="none"/>
                <w:lang w:val="en-US" w:eastAsia="zh-CN" w:bidi="ar"/>
              </w:rPr>
              <w:t>0510-83559571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restart"/>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eastAsia="zh-CN"/>
              </w:rPr>
              <w:t>应急通信和指挥</w:t>
            </w: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0"/>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对讲机</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车间有应急救援柜</w:t>
            </w:r>
          </w:p>
        </w:tc>
        <w:tc>
          <w:tcPr>
            <w:tcW w:w="45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李力</w:t>
            </w:r>
            <w:r>
              <w:rPr>
                <w:rFonts w:hint="default" w:ascii="Times New Roman" w:hAnsi="Times New Roman" w:eastAsia="宋体" w:cs="Times New Roman"/>
                <w:i w:val="0"/>
                <w:iCs w:val="0"/>
                <w:color w:val="auto"/>
                <w:kern w:val="0"/>
                <w:sz w:val="21"/>
                <w:szCs w:val="21"/>
                <w:highlight w:val="none"/>
                <w:u w:val="none"/>
                <w:lang w:val="en-US" w:eastAsia="zh-CN" w:bidi="ar"/>
              </w:rPr>
              <w:t>13921503358</w:t>
            </w:r>
          </w:p>
        </w:tc>
        <w:tc>
          <w:tcPr>
            <w:tcW w:w="629" w:type="pct"/>
            <w:vMerge w:val="restart"/>
            <w:noWrap w:val="0"/>
            <w:vAlign w:val="center"/>
          </w:tcPr>
          <w:p>
            <w:pPr>
              <w:adjustRightInd w:val="0"/>
              <w:snapToGrid w:val="0"/>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kern w:val="2"/>
                <w:sz w:val="21"/>
                <w:szCs w:val="21"/>
                <w:highlight w:val="none"/>
                <w:lang w:val="en-US" w:eastAsia="zh-CN" w:bidi="ar-SA"/>
              </w:rPr>
              <w:t>亚旭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2" w:type="pct"/>
            <w:noWrap w:val="0"/>
            <w:vAlign w:val="center"/>
          </w:tcPr>
          <w:p>
            <w:pPr>
              <w:numPr>
                <w:ilvl w:val="0"/>
                <w:numId w:val="7"/>
              </w:numPr>
              <w:snapToGrid w:val="0"/>
              <w:spacing w:line="240" w:lineRule="auto"/>
              <w:ind w:left="425" w:leftChars="0" w:hanging="425" w:firstLineChars="0"/>
              <w:jc w:val="center"/>
              <w:rPr>
                <w:rFonts w:hint="eastAsia"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应急指挥及信息系统</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机房</w:t>
            </w:r>
          </w:p>
        </w:tc>
        <w:tc>
          <w:tcPr>
            <w:tcW w:w="45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p>
        </w:tc>
        <w:tc>
          <w:tcPr>
            <w:tcW w:w="629" w:type="pct"/>
            <w:vMerge w:val="continue"/>
            <w:noWrap w:val="0"/>
            <w:vAlign w:val="center"/>
          </w:tcPr>
          <w:p>
            <w:pPr>
              <w:adjustRightInd w:val="0"/>
              <w:snapToGrid w:val="0"/>
              <w:spacing w:line="240" w:lineRule="auto"/>
              <w:jc w:val="center"/>
              <w:rPr>
                <w:rFonts w:hint="default" w:ascii="Times New Roman" w:hAnsi="Times New Roman" w:eastAsia="宋体" w:cs="Times New Roman"/>
                <w:bCs/>
                <w:color w:val="auto"/>
                <w:kern w:val="2"/>
                <w:sz w:val="21"/>
                <w:szCs w:val="21"/>
                <w:highlight w:val="none"/>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restart"/>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r>
              <w:rPr>
                <w:rFonts w:hint="default" w:ascii="Times New Roman" w:hAnsi="Times New Roman" w:eastAsia="宋体" w:cs="Times New Roman"/>
                <w:bCs/>
                <w:color w:val="auto"/>
                <w:kern w:val="0"/>
                <w:sz w:val="21"/>
                <w:szCs w:val="21"/>
                <w:highlight w:val="none"/>
                <w:lang w:eastAsia="zh-CN"/>
              </w:rPr>
              <w:t>环境监测</w:t>
            </w: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采样设备</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实验室</w:t>
            </w:r>
          </w:p>
        </w:tc>
        <w:tc>
          <w:tcPr>
            <w:tcW w:w="45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刘明慧13606392044</w:t>
            </w:r>
          </w:p>
        </w:tc>
        <w:tc>
          <w:tcPr>
            <w:tcW w:w="629" w:type="pct"/>
            <w:vMerge w:val="restart"/>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rPr>
            </w:pPr>
            <w:r>
              <w:rPr>
                <w:rFonts w:hint="default" w:ascii="Times New Roman" w:hAnsi="Times New Roman" w:eastAsia="宋体" w:cs="Times New Roman"/>
                <w:bCs/>
                <w:color w:val="auto"/>
                <w:kern w:val="0"/>
                <w:sz w:val="21"/>
                <w:szCs w:val="21"/>
                <w:highlight w:val="none"/>
              </w:rPr>
              <w:t>崂应废气检测仪</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92" w:type="pct"/>
            <w:noWrap w:val="0"/>
            <w:vAlign w:val="center"/>
          </w:tcPr>
          <w:p>
            <w:pPr>
              <w:numPr>
                <w:ilvl w:val="0"/>
                <w:numId w:val="7"/>
              </w:numPr>
              <w:snapToGrid w:val="0"/>
              <w:spacing w:line="240" w:lineRule="auto"/>
              <w:ind w:left="425" w:leftChars="0" w:hanging="425" w:firstLineChars="0"/>
              <w:jc w:val="center"/>
              <w:rPr>
                <w:rFonts w:hint="default" w:ascii="Times New Roman" w:hAnsi="Times New Roman" w:eastAsia="宋体" w:cs="Times New Roman"/>
                <w:bCs/>
                <w:color w:val="auto"/>
                <w:kern w:val="0"/>
                <w:sz w:val="21"/>
                <w:szCs w:val="21"/>
                <w:highlight w:val="none"/>
                <w:lang w:val="en-US" w:eastAsia="zh-CN"/>
              </w:rPr>
            </w:pPr>
          </w:p>
        </w:tc>
        <w:tc>
          <w:tcPr>
            <w:tcW w:w="385" w:type="pct"/>
            <w:vMerge w:val="continue"/>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lang w:eastAsia="zh-CN"/>
              </w:rPr>
            </w:pPr>
          </w:p>
        </w:tc>
        <w:tc>
          <w:tcPr>
            <w:tcW w:w="1255"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便捷式检测设备</w:t>
            </w:r>
          </w:p>
        </w:tc>
        <w:tc>
          <w:tcPr>
            <w:tcW w:w="619" w:type="pct"/>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个</w:t>
            </w:r>
          </w:p>
        </w:tc>
        <w:tc>
          <w:tcPr>
            <w:tcW w:w="643" w:type="pct"/>
            <w:vMerge w:val="continue"/>
            <w:noWrap w:val="0"/>
            <w:vAlign w:val="center"/>
          </w:tcPr>
          <w:p>
            <w:pPr>
              <w:keepNext w:val="0"/>
              <w:keepLines w:val="0"/>
              <w:widowControl/>
              <w:suppressLineNumbers w:val="0"/>
              <w:jc w:val="center"/>
              <w:textAlignment w:val="center"/>
              <w:rPr>
                <w:rFonts w:hint="default" w:ascii="Times New Roman" w:hAnsi="Times New Roman" w:eastAsia="宋体" w:cs="Times New Roman"/>
                <w:bCs/>
                <w:color w:val="auto"/>
                <w:sz w:val="21"/>
                <w:szCs w:val="21"/>
                <w:highlight w:val="none"/>
                <w:lang w:val="en-US" w:eastAsia="zh-CN"/>
              </w:rPr>
            </w:pPr>
          </w:p>
        </w:tc>
        <w:tc>
          <w:tcPr>
            <w:tcW w:w="455" w:type="pct"/>
            <w:noWrap w:val="0"/>
            <w:vAlign w:val="center"/>
          </w:tcPr>
          <w:p>
            <w:pPr>
              <w:spacing w:line="240" w:lineRule="auto"/>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正常</w:t>
            </w:r>
          </w:p>
        </w:tc>
        <w:tc>
          <w:tcPr>
            <w:tcW w:w="818" w:type="pct"/>
            <w:vMerge w:val="continue"/>
            <w:noWrap w:val="0"/>
            <w:vAlign w:val="center"/>
          </w:tcPr>
          <w:p>
            <w:pPr>
              <w:snapToGrid w:val="0"/>
              <w:spacing w:line="240" w:lineRule="auto"/>
              <w:jc w:val="center"/>
              <w:rPr>
                <w:rFonts w:hint="default" w:ascii="Times New Roman" w:hAnsi="Times New Roman" w:eastAsia="宋体" w:cs="Times New Roman"/>
                <w:color w:val="auto"/>
                <w:kern w:val="2"/>
                <w:sz w:val="21"/>
                <w:szCs w:val="21"/>
                <w:highlight w:val="none"/>
                <w:lang w:val="en-US" w:eastAsia="zh-CN" w:bidi="ar-SA"/>
              </w:rPr>
            </w:pPr>
          </w:p>
        </w:tc>
        <w:tc>
          <w:tcPr>
            <w:tcW w:w="629" w:type="pct"/>
            <w:vMerge w:val="continue"/>
            <w:noWrap w:val="0"/>
            <w:vAlign w:val="center"/>
          </w:tcPr>
          <w:p>
            <w:pPr>
              <w:snapToGrid w:val="0"/>
              <w:spacing w:line="240" w:lineRule="auto"/>
              <w:jc w:val="center"/>
              <w:rPr>
                <w:rFonts w:hint="default" w:ascii="Times New Roman" w:hAnsi="Times New Roman" w:eastAsia="宋体" w:cs="Times New Roman"/>
                <w:bCs/>
                <w:color w:val="auto"/>
                <w:kern w:val="0"/>
                <w:sz w:val="21"/>
                <w:szCs w:val="21"/>
                <w:highlight w:val="none"/>
              </w:rPr>
            </w:pPr>
          </w:p>
        </w:tc>
      </w:tr>
    </w:tbl>
    <w:p>
      <w:pPr>
        <w:widowControl/>
        <w:snapToGrid w:val="0"/>
        <w:spacing w:before="120" w:beforeLines="50" w:line="360" w:lineRule="auto"/>
        <w:ind w:firstLine="480" w:firstLineChars="200"/>
        <w:jc w:val="left"/>
        <w:rPr>
          <w:color w:val="auto"/>
          <w:highlight w:val="none"/>
        </w:rPr>
      </w:pPr>
      <w:r>
        <w:rPr>
          <w:color w:val="auto"/>
          <w:highlight w:val="none"/>
        </w:rPr>
        <w:t>2、相关场所的维护措施</w:t>
      </w:r>
    </w:p>
    <w:p>
      <w:pPr>
        <w:widowControl/>
        <w:snapToGrid w:val="0"/>
        <w:spacing w:line="360" w:lineRule="auto"/>
        <w:ind w:firstLine="480" w:firstLineChars="200"/>
        <w:jc w:val="left"/>
        <w:rPr>
          <w:color w:val="auto"/>
          <w:highlight w:val="none"/>
        </w:rPr>
      </w:pPr>
      <w:r>
        <w:rPr>
          <w:color w:val="auto"/>
          <w:highlight w:val="none"/>
        </w:rPr>
        <w:t>在事故处理后期，应对相关场所的进行维护，例如对现场进行洗消，去除事故残留污染物。现场洗消阶段，事故已经基本结束，一般不会对事故区人员造成明显伤害，但是存在较大环境隐患，可能造成较大的环境影响。</w:t>
      </w:r>
    </w:p>
    <w:p>
      <w:pPr>
        <w:widowControl/>
        <w:snapToGrid w:val="0"/>
        <w:spacing w:line="360" w:lineRule="auto"/>
        <w:ind w:firstLine="480" w:firstLineChars="200"/>
        <w:jc w:val="left"/>
        <w:rPr>
          <w:color w:val="auto"/>
          <w:highlight w:val="none"/>
        </w:rPr>
      </w:pPr>
      <w:r>
        <w:rPr>
          <w:color w:val="auto"/>
          <w:highlight w:val="none"/>
        </w:rPr>
        <w:t>现场洗消包括应急人员、设备及事故场地的洗消。</w:t>
      </w:r>
    </w:p>
    <w:p>
      <w:pPr>
        <w:pStyle w:val="29"/>
        <w:snapToGrid w:val="0"/>
        <w:rPr>
          <w:color w:val="auto"/>
          <w:highlight w:val="none"/>
        </w:rPr>
      </w:pPr>
      <w:r>
        <w:rPr>
          <w:rFonts w:hint="eastAsia"/>
          <w:color w:val="auto"/>
          <w:highlight w:val="none"/>
        </w:rPr>
        <w:t>现场洗消阶段，应急领导小组可确定一个洗消场地进行人员及设备的洗消。洗消场地应选择污染物收集设施齐备的区域，优先选择事故废水方便收集的地方。洗消前，应急消防队负责对相关排污管道阀门的状态进行确认，确保洗消废水全部排入废水收集池；治安队负责洗消场地秩序，禁止无关人员进入；抢险救援队负责人员及设备的洗消工作。</w:t>
      </w:r>
    </w:p>
    <w:p>
      <w:pPr>
        <w:pStyle w:val="29"/>
        <w:snapToGrid w:val="0"/>
        <w:rPr>
          <w:color w:val="auto"/>
          <w:highlight w:val="none"/>
        </w:rPr>
      </w:pPr>
      <w:r>
        <w:rPr>
          <w:rFonts w:hint="eastAsia"/>
          <w:color w:val="auto"/>
          <w:highlight w:val="none"/>
        </w:rPr>
        <w:t>事故场地的洗消由现场应急指挥部负责，由抢险灭火组、事故处理组、后勤保障组实施。洗消前，后勤保障组负责对相关排污管道阀门的状态进行确认，确保洗消废水全部收集。洗消时，抢险灭火组继续负责危险区的秩序，禁止无关人员进入；事故处理组应尽量回收物料，尽可能避免物料进入洗消废水；最终由事故处理组利用消防水对事故场地进行冲洗，彻底去除污染物。</w:t>
      </w:r>
    </w:p>
    <w:p>
      <w:pPr>
        <w:pStyle w:val="6"/>
        <w:rPr>
          <w:color w:val="auto"/>
          <w:highlight w:val="none"/>
        </w:rPr>
      </w:pPr>
      <w:bookmarkStart w:id="170" w:name="_Toc12535"/>
      <w:r>
        <w:rPr>
          <w:color w:val="auto"/>
          <w:highlight w:val="none"/>
        </w:rPr>
        <w:t>8.1.3 事件调查和总结</w:t>
      </w:r>
      <w:bookmarkEnd w:id="170"/>
    </w:p>
    <w:p>
      <w:pPr>
        <w:widowControl/>
        <w:snapToGrid w:val="0"/>
        <w:spacing w:line="360" w:lineRule="auto"/>
        <w:ind w:firstLine="480" w:firstLineChars="200"/>
        <w:jc w:val="left"/>
        <w:rPr>
          <w:color w:val="auto"/>
          <w:highlight w:val="none"/>
        </w:rPr>
      </w:pPr>
      <w:r>
        <w:rPr>
          <w:color w:val="auto"/>
          <w:highlight w:val="none"/>
        </w:rPr>
        <w:t>应急状态终止后，应急救援指挥部根据有关指示和实际情况组织、指导有关部门及突发事件部门查找事件原因，防止类似问题的重复发生。</w:t>
      </w:r>
    </w:p>
    <w:p>
      <w:pPr>
        <w:widowControl/>
        <w:snapToGrid w:val="0"/>
        <w:spacing w:line="360" w:lineRule="auto"/>
        <w:ind w:firstLine="480" w:firstLineChars="200"/>
        <w:jc w:val="left"/>
        <w:rPr>
          <w:color w:val="auto"/>
          <w:highlight w:val="none"/>
        </w:rPr>
      </w:pPr>
      <w:r>
        <w:rPr>
          <w:color w:val="auto"/>
          <w:highlight w:val="none"/>
        </w:rPr>
        <w:t>组织各专业组对应急计划和实施程序的有效性、应急装备的可行性、应急人员的素质和反应速度等做出评估，必要时进行修订环境应急预案。</w:t>
      </w:r>
    </w:p>
    <w:p>
      <w:pPr>
        <w:widowControl/>
        <w:snapToGrid w:val="0"/>
        <w:spacing w:line="360" w:lineRule="auto"/>
        <w:ind w:firstLine="480" w:firstLineChars="200"/>
        <w:jc w:val="left"/>
        <w:rPr>
          <w:color w:val="auto"/>
          <w:highlight w:val="none"/>
        </w:rPr>
      </w:pPr>
      <w:r>
        <w:rPr>
          <w:color w:val="auto"/>
          <w:highlight w:val="none"/>
        </w:rPr>
        <w:t>事故调查评估的内容包括以下几点：</w:t>
      </w:r>
    </w:p>
    <w:p>
      <w:pPr>
        <w:widowControl/>
        <w:snapToGrid w:val="0"/>
        <w:spacing w:line="360" w:lineRule="auto"/>
        <w:ind w:firstLine="480" w:firstLineChars="200"/>
        <w:jc w:val="left"/>
        <w:rPr>
          <w:color w:val="auto"/>
          <w:highlight w:val="none"/>
        </w:rPr>
      </w:pPr>
      <w:r>
        <w:rPr>
          <w:color w:val="auto"/>
          <w:highlight w:val="none"/>
        </w:rPr>
        <w:t>（1）调查污染事件的诱因和性质，评估污染事件的危害范围和危险程度，查明人员伤亡情况，影响和损失评估、遗留待解决的问题等。</w:t>
      </w:r>
    </w:p>
    <w:p>
      <w:pPr>
        <w:widowControl/>
        <w:snapToGrid w:val="0"/>
        <w:spacing w:line="360" w:lineRule="auto"/>
        <w:ind w:firstLine="480" w:firstLineChars="200"/>
        <w:jc w:val="left"/>
        <w:rPr>
          <w:color w:val="auto"/>
          <w:highlight w:val="none"/>
        </w:rPr>
      </w:pPr>
      <w:r>
        <w:rPr>
          <w:color w:val="auto"/>
          <w:highlight w:val="none"/>
        </w:rPr>
        <w:t>（2）应急过程的总结及改进建议，如应急预案是否科学合理，应急组织机构的设置是否合理，应急队伍能力是否需要改进，响应程序是否与应急任务相匹配，采用的监测仪器、通讯设备和车辆等是否能够满足应急响应工作的需要，采取的防护措施和方法是否得当，防护装备是否满足要求，出动环境应急队伍的规模、仪器装备的使用、环境应急程度与速度是否与任务相适应；环境应急处置中，对利益与代价、风险、困难关系的处理是否科学合理;有何经验教训；需要得出的其他结论等。最后提出相关建议，包括：今后污染源控制工作要求；应急预案应修订的内容等。</w:t>
      </w:r>
    </w:p>
    <w:p>
      <w:pPr>
        <w:pStyle w:val="5"/>
        <w:rPr>
          <w:color w:val="auto"/>
          <w:highlight w:val="none"/>
        </w:rPr>
      </w:pPr>
      <w:bookmarkStart w:id="171" w:name="_Toc6521"/>
      <w:bookmarkStart w:id="172" w:name="_Toc28103293"/>
      <w:bookmarkStart w:id="173" w:name="_Toc6400"/>
      <w:r>
        <w:rPr>
          <w:color w:val="auto"/>
          <w:highlight w:val="none"/>
        </w:rPr>
        <w:t>8.2 保险</w:t>
      </w:r>
      <w:bookmarkEnd w:id="171"/>
      <w:bookmarkEnd w:id="172"/>
      <w:r>
        <w:rPr>
          <w:color w:val="auto"/>
          <w:highlight w:val="none"/>
        </w:rPr>
        <w:t>理赔</w:t>
      </w:r>
      <w:bookmarkEnd w:id="173"/>
    </w:p>
    <w:p>
      <w:pPr>
        <w:snapToGrid w:val="0"/>
        <w:spacing w:line="360" w:lineRule="auto"/>
        <w:ind w:firstLine="480" w:firstLineChars="200"/>
        <w:rPr>
          <w:color w:val="auto"/>
          <w:kern w:val="0"/>
          <w:szCs w:val="28"/>
          <w:highlight w:val="none"/>
        </w:rPr>
        <w:sectPr>
          <w:pgSz w:w="11907" w:h="16840"/>
          <w:pgMar w:top="1402" w:right="1440" w:bottom="1402" w:left="1440" w:header="851" w:footer="992" w:gutter="0"/>
          <w:pgBorders>
            <w:top w:val="none" w:sz="0" w:space="0"/>
            <w:left w:val="none" w:sz="0" w:space="0"/>
            <w:bottom w:val="none" w:sz="0" w:space="0"/>
            <w:right w:val="none" w:sz="0" w:space="0"/>
          </w:pgBorders>
          <w:pgNumType w:fmt="decimal"/>
          <w:cols w:space="720" w:num="1"/>
        </w:sectPr>
      </w:pPr>
      <w:r>
        <w:rPr>
          <w:color w:val="auto"/>
          <w:kern w:val="0"/>
          <w:szCs w:val="28"/>
          <w:highlight w:val="none"/>
        </w:rPr>
        <w:t>建立环境污染事故社会保险机制，对应急人员办理人身意外伤害保险、意外伤害医疗保险等。考虑办理公众责任保险、产品责任保险、雇主责任保险、职业责任保险等险种。突发环境事件发生后，及时做好理赔工作。</w:t>
      </w:r>
    </w:p>
    <w:p>
      <w:pPr>
        <w:pStyle w:val="4"/>
        <w:rPr>
          <w:color w:val="auto"/>
          <w:highlight w:val="none"/>
        </w:rPr>
      </w:pPr>
      <w:bookmarkStart w:id="174" w:name="_Toc273391677"/>
      <w:bookmarkStart w:id="175" w:name="_Toc273391353"/>
      <w:bookmarkStart w:id="176" w:name="_Toc25525"/>
      <w:bookmarkStart w:id="177" w:name="_Toc28103308"/>
      <w:r>
        <w:rPr>
          <w:color w:val="auto"/>
          <w:highlight w:val="none"/>
        </w:rPr>
        <w:t>9 保障措施</w:t>
      </w:r>
      <w:bookmarkEnd w:id="174"/>
      <w:bookmarkEnd w:id="175"/>
      <w:bookmarkEnd w:id="176"/>
      <w:bookmarkEnd w:id="177"/>
    </w:p>
    <w:p>
      <w:pPr>
        <w:pStyle w:val="5"/>
        <w:rPr>
          <w:color w:val="auto"/>
          <w:highlight w:val="none"/>
        </w:rPr>
      </w:pPr>
      <w:bookmarkStart w:id="178" w:name="_Toc8170"/>
      <w:bookmarkStart w:id="179" w:name="_Toc240343665"/>
      <w:bookmarkStart w:id="180" w:name="_Toc273391354"/>
      <w:bookmarkStart w:id="181" w:name="_Toc273391678"/>
      <w:bookmarkStart w:id="182" w:name="_Toc272445116"/>
      <w:bookmarkStart w:id="183" w:name="_Toc28103310"/>
      <w:r>
        <w:rPr>
          <w:color w:val="auto"/>
          <w:highlight w:val="none"/>
        </w:rPr>
        <w:t>9.1 经费保障</w:t>
      </w:r>
      <w:bookmarkEnd w:id="178"/>
      <w:bookmarkEnd w:id="179"/>
      <w:bookmarkEnd w:id="180"/>
      <w:bookmarkEnd w:id="181"/>
      <w:bookmarkEnd w:id="182"/>
      <w:bookmarkEnd w:id="183"/>
    </w:p>
    <w:p>
      <w:pPr>
        <w:snapToGrid w:val="0"/>
        <w:spacing w:line="360" w:lineRule="auto"/>
        <w:ind w:firstLine="480" w:firstLineChars="200"/>
        <w:rPr>
          <w:color w:val="auto"/>
          <w:highlight w:val="none"/>
        </w:rPr>
      </w:pPr>
      <w:r>
        <w:rPr>
          <w:color w:val="auto"/>
          <w:highlight w:val="none"/>
        </w:rPr>
        <w:t>突发环境事件的应急处理所需经费，包括仪器设备、交通车辆、应急咨询、应急演练、人员防护设备、应急办公室运作经费，由我公司</w:t>
      </w:r>
      <w:r>
        <w:rPr>
          <w:rFonts w:hint="eastAsia"/>
          <w:color w:val="auto"/>
          <w:highlight w:val="none"/>
          <w:lang w:eastAsia="zh-CN"/>
        </w:rPr>
        <w:t>安全</w:t>
      </w:r>
      <w:r>
        <w:rPr>
          <w:rFonts w:hint="eastAsia"/>
          <w:color w:val="auto"/>
          <w:highlight w:val="none"/>
        </w:rPr>
        <w:t>部</w:t>
      </w:r>
      <w:r>
        <w:rPr>
          <w:color w:val="auto"/>
          <w:highlight w:val="none"/>
        </w:rPr>
        <w:t>制订计划预算，报总经理批准后，由财务</w:t>
      </w:r>
      <w:r>
        <w:rPr>
          <w:rFonts w:hint="eastAsia"/>
          <w:color w:val="auto"/>
          <w:highlight w:val="none"/>
          <w:lang w:val="en-US" w:eastAsia="zh-CN"/>
        </w:rPr>
        <w:t>室</w:t>
      </w:r>
      <w:r>
        <w:rPr>
          <w:color w:val="auto"/>
          <w:highlight w:val="none"/>
        </w:rPr>
        <w:t>支出。专款专用，所需经费列入厂财政预算，保障应急状态时应急经费的及时到位。</w:t>
      </w:r>
    </w:p>
    <w:p>
      <w:pPr>
        <w:widowControl/>
        <w:snapToGrid w:val="0"/>
        <w:spacing w:line="360" w:lineRule="auto"/>
        <w:ind w:firstLine="480" w:firstLineChars="200"/>
        <w:jc w:val="left"/>
        <w:rPr>
          <w:color w:val="auto"/>
          <w:kern w:val="0"/>
          <w:sz w:val="28"/>
          <w:szCs w:val="28"/>
          <w:highlight w:val="none"/>
        </w:rPr>
      </w:pPr>
      <w:r>
        <w:rPr>
          <w:color w:val="auto"/>
          <w:highlight w:val="none"/>
        </w:rPr>
        <w:t>同时办理相关责任险或其他险种，为突发环境污染事件应急处置人员办理意外伤害保险，突发环境污染事件发生后，各保险企业可快速介入，及时做好理赔工作，减少和弥补公司的损失。</w:t>
      </w:r>
    </w:p>
    <w:p>
      <w:pPr>
        <w:pStyle w:val="5"/>
        <w:rPr>
          <w:color w:val="auto"/>
          <w:highlight w:val="none"/>
        </w:rPr>
      </w:pPr>
      <w:bookmarkStart w:id="184" w:name="_Toc8184"/>
      <w:bookmarkStart w:id="185" w:name="_Toc273391355"/>
      <w:bookmarkStart w:id="186" w:name="_Toc28103311"/>
      <w:bookmarkStart w:id="187" w:name="_Toc240343666"/>
      <w:bookmarkStart w:id="188" w:name="_Toc273391679"/>
      <w:bookmarkStart w:id="189" w:name="_Toc272445117"/>
      <w:r>
        <w:rPr>
          <w:color w:val="auto"/>
          <w:highlight w:val="none"/>
        </w:rPr>
        <w:t>9.2 制度保障</w:t>
      </w:r>
      <w:bookmarkEnd w:id="184"/>
    </w:p>
    <w:p>
      <w:pPr>
        <w:snapToGrid w:val="0"/>
        <w:spacing w:line="360" w:lineRule="auto"/>
        <w:ind w:firstLine="480" w:firstLineChars="200"/>
        <w:rPr>
          <w:color w:val="auto"/>
          <w:highlight w:val="none"/>
        </w:rPr>
      </w:pPr>
      <w:r>
        <w:rPr>
          <w:color w:val="auto"/>
          <w:highlight w:val="none"/>
        </w:rPr>
        <w:t>公司制定各级安全生产责任制、各项安全管理制度、工艺操作规程、安全技术规程和各种设备维修保养和设备管理制度，加强生产现场管理，狠抓劳动纪律，同时经常对职工进行思想教育、工艺操作、设备操作训练，使职工能熟练掌握所在岗位和所在环境中的各个要素，了解一些常见的扑火</w:t>
      </w:r>
      <w:r>
        <w:rPr>
          <w:rFonts w:hint="eastAsia"/>
          <w:color w:val="auto"/>
          <w:highlight w:val="none"/>
        </w:rPr>
        <w:t>等</w:t>
      </w:r>
      <w:r>
        <w:rPr>
          <w:color w:val="auto"/>
          <w:highlight w:val="none"/>
        </w:rPr>
        <w:t>自救能力，互相救助的一些常识，减少人员伤亡。</w:t>
      </w:r>
    </w:p>
    <w:p>
      <w:pPr>
        <w:pStyle w:val="5"/>
        <w:rPr>
          <w:color w:val="auto"/>
          <w:highlight w:val="none"/>
        </w:rPr>
      </w:pPr>
      <w:bookmarkStart w:id="190" w:name="_Toc9404"/>
      <w:r>
        <w:rPr>
          <w:color w:val="auto"/>
          <w:highlight w:val="none"/>
        </w:rPr>
        <w:t>9.3 应急物资装备保障</w:t>
      </w:r>
      <w:bookmarkEnd w:id="185"/>
      <w:bookmarkEnd w:id="186"/>
      <w:bookmarkEnd w:id="187"/>
      <w:bookmarkEnd w:id="188"/>
      <w:bookmarkEnd w:id="189"/>
      <w:bookmarkEnd w:id="190"/>
    </w:p>
    <w:p>
      <w:pPr>
        <w:snapToGrid w:val="0"/>
        <w:spacing w:line="360" w:lineRule="auto"/>
        <w:ind w:firstLine="480" w:firstLineChars="200"/>
        <w:rPr>
          <w:color w:val="auto"/>
          <w:highlight w:val="none"/>
        </w:rPr>
      </w:pPr>
      <w:r>
        <w:rPr>
          <w:color w:val="auto"/>
          <w:highlight w:val="none"/>
        </w:rPr>
        <w:t>我公司指挥机构的应急队伍要根据本预案要求，建立处理突发环境事件的日常和战时两级物资储备，增加必要的应急处置、快速机动、自身防护装备和物资的储备，维护、保养好应急仪器和设备，使之始终保持良好的技术状态，确保参加处置突发环境事件时救助人员自身安全，及时有效地防止环境污染和扩散。</w:t>
      </w:r>
    </w:p>
    <w:p>
      <w:pPr>
        <w:widowControl/>
        <w:spacing w:line="360" w:lineRule="auto"/>
        <w:ind w:firstLine="480" w:firstLineChars="200"/>
        <w:jc w:val="left"/>
        <w:rPr>
          <w:color w:val="auto"/>
          <w:highlight w:val="none"/>
        </w:rPr>
      </w:pPr>
      <w:r>
        <w:rPr>
          <w:color w:val="auto"/>
          <w:highlight w:val="none"/>
        </w:rPr>
        <w:t>应急物资储备主要包括</w:t>
      </w:r>
      <w:r>
        <w:rPr>
          <w:rFonts w:hint="eastAsia"/>
          <w:color w:val="auto"/>
          <w:highlight w:val="none"/>
        </w:rPr>
        <w:t>沙包、吸附材料、空气呼吸器、防化</w:t>
      </w:r>
      <w:r>
        <w:rPr>
          <w:rFonts w:hint="eastAsia"/>
          <w:color w:val="auto"/>
          <w:highlight w:val="none"/>
          <w:lang w:val="en-US" w:eastAsia="zh-CN"/>
        </w:rPr>
        <w:t>服</w:t>
      </w:r>
      <w:r>
        <w:rPr>
          <w:rFonts w:hint="eastAsia"/>
          <w:color w:val="auto"/>
          <w:highlight w:val="none"/>
        </w:rPr>
        <w:t>、防毒面具、淋洗器等</w:t>
      </w:r>
      <w:r>
        <w:rPr>
          <w:color w:val="auto"/>
          <w:highlight w:val="none"/>
        </w:rPr>
        <w:t>；并按规定放在适当的位置，并作明显的标识。物资储备</w:t>
      </w:r>
      <w:r>
        <w:rPr>
          <w:rFonts w:hint="eastAsia"/>
          <w:color w:val="auto"/>
          <w:highlight w:val="none"/>
        </w:rPr>
        <w:t>基本满足厂区的应急处置</w:t>
      </w:r>
      <w:r>
        <w:rPr>
          <w:color w:val="auto"/>
          <w:highlight w:val="none"/>
        </w:rPr>
        <w:t>。</w:t>
      </w:r>
    </w:p>
    <w:p>
      <w:pPr>
        <w:widowControl/>
        <w:spacing w:line="360" w:lineRule="auto"/>
        <w:ind w:firstLine="480" w:firstLineChars="200"/>
        <w:jc w:val="left"/>
        <w:rPr>
          <w:color w:val="auto"/>
          <w:highlight w:val="none"/>
        </w:rPr>
      </w:pPr>
      <w:r>
        <w:rPr>
          <w:color w:val="auto"/>
          <w:highlight w:val="none"/>
        </w:rPr>
        <w:t>厂区应急物资均由专人负责维护并定期检查相关物料是否在有效期内，应急物资调用需要经由物资负责人同意，应急物资损耗后由负责人向财务申请预算，及时补齐。</w:t>
      </w:r>
    </w:p>
    <w:p>
      <w:pPr>
        <w:pStyle w:val="5"/>
        <w:rPr>
          <w:color w:val="auto"/>
          <w:highlight w:val="none"/>
        </w:rPr>
      </w:pPr>
      <w:bookmarkStart w:id="191" w:name="_Toc28103312"/>
      <w:bookmarkStart w:id="192" w:name="_Toc24283"/>
      <w:r>
        <w:rPr>
          <w:color w:val="auto"/>
          <w:highlight w:val="none"/>
        </w:rPr>
        <w:t>9.4 应急队伍保障</w:t>
      </w:r>
      <w:bookmarkEnd w:id="191"/>
      <w:bookmarkEnd w:id="192"/>
    </w:p>
    <w:p>
      <w:pPr>
        <w:snapToGrid w:val="0"/>
        <w:spacing w:line="360" w:lineRule="auto"/>
        <w:ind w:firstLine="480" w:firstLineChars="200"/>
        <w:rPr>
          <w:color w:val="auto"/>
          <w:highlight w:val="none"/>
        </w:rPr>
      </w:pPr>
      <w:r>
        <w:rPr>
          <w:rFonts w:hint="eastAsia"/>
          <w:color w:val="auto"/>
          <w:highlight w:val="none"/>
        </w:rPr>
        <w:t>我公司按照应急预案的要求，建立了应急救援指挥部1个以及</w:t>
      </w:r>
      <w:r>
        <w:rPr>
          <w:color w:val="auto"/>
          <w:highlight w:val="none"/>
        </w:rPr>
        <w:t>通信警戒组、抢险灭火组、救护疏散组、</w:t>
      </w:r>
      <w:r>
        <w:rPr>
          <w:rFonts w:hint="eastAsia"/>
          <w:color w:val="auto"/>
          <w:highlight w:val="none"/>
          <w:lang w:val="en-US" w:eastAsia="zh-CN"/>
        </w:rPr>
        <w:t>后勤</w:t>
      </w:r>
      <w:r>
        <w:rPr>
          <w:color w:val="auto"/>
          <w:highlight w:val="none"/>
        </w:rPr>
        <w:t>保障组、</w:t>
      </w:r>
      <w:r>
        <w:rPr>
          <w:rFonts w:hint="eastAsia"/>
          <w:color w:val="auto"/>
          <w:highlight w:val="none"/>
          <w:lang w:val="en-US" w:eastAsia="zh-CN"/>
        </w:rPr>
        <w:t>事故</w:t>
      </w:r>
      <w:r>
        <w:rPr>
          <w:color w:val="auto"/>
          <w:highlight w:val="none"/>
        </w:rPr>
        <w:t>处置组</w:t>
      </w:r>
      <w:r>
        <w:rPr>
          <w:rFonts w:hint="eastAsia"/>
          <w:color w:val="auto"/>
          <w:highlight w:val="none"/>
        </w:rPr>
        <w:t>、应急监测组</w:t>
      </w:r>
      <w:r>
        <w:rPr>
          <w:color w:val="auto"/>
          <w:highlight w:val="none"/>
        </w:rPr>
        <w:t>等</w:t>
      </w:r>
      <w:r>
        <w:rPr>
          <w:rFonts w:hint="eastAsia"/>
          <w:color w:val="auto"/>
          <w:highlight w:val="none"/>
        </w:rPr>
        <w:t>6</w:t>
      </w:r>
      <w:r>
        <w:rPr>
          <w:color w:val="auto"/>
          <w:highlight w:val="none"/>
        </w:rPr>
        <w:t>个行动小组</w:t>
      </w:r>
      <w:r>
        <w:rPr>
          <w:rFonts w:hint="eastAsia"/>
          <w:color w:val="auto"/>
          <w:highlight w:val="none"/>
        </w:rPr>
        <w:t>。</w:t>
      </w:r>
      <w:r>
        <w:rPr>
          <w:color w:val="auto"/>
          <w:highlight w:val="none"/>
        </w:rPr>
        <w:t>我公司</w:t>
      </w:r>
      <w:r>
        <w:rPr>
          <w:rFonts w:hint="eastAsia"/>
          <w:color w:val="auto"/>
          <w:highlight w:val="none"/>
        </w:rPr>
        <w:t>不仅加强了突发环境污染事件应急队伍建设，而且加强了应急救援队伍的业务培训和应急演练，重点培训了一支常备不懈、熟悉环境应急知识、充分掌握各类突发环境事件处置措施的应急队伍，保证在突发环境事件发生后，能迅速参与并完成抢救、排险、消毒、监测等现场处置工作。内部各部门建立联动协调机制，提高准备水平，提高其应对突发环境污染事件的素质和能力。在本单位应急救援能力有限的情况下，动员企业所在地社会团体、企事业单位以及志愿者等各种社会力量参与应急救援工作。</w:t>
      </w:r>
    </w:p>
    <w:p>
      <w:pPr>
        <w:pStyle w:val="5"/>
        <w:rPr>
          <w:color w:val="auto"/>
          <w:highlight w:val="none"/>
        </w:rPr>
      </w:pPr>
      <w:bookmarkStart w:id="193" w:name="_Toc273391681"/>
      <w:bookmarkStart w:id="194" w:name="_Toc273391357"/>
      <w:bookmarkStart w:id="195" w:name="_Toc28103313"/>
      <w:bookmarkStart w:id="196" w:name="_Toc240343668"/>
      <w:bookmarkStart w:id="197" w:name="_Toc272445119"/>
      <w:bookmarkStart w:id="198" w:name="_Toc4521"/>
      <w:r>
        <w:rPr>
          <w:color w:val="auto"/>
          <w:highlight w:val="none"/>
        </w:rPr>
        <w:t>9.5 通信与信息保障</w:t>
      </w:r>
      <w:bookmarkEnd w:id="193"/>
      <w:bookmarkEnd w:id="194"/>
      <w:bookmarkEnd w:id="195"/>
      <w:bookmarkEnd w:id="196"/>
      <w:bookmarkEnd w:id="197"/>
      <w:bookmarkEnd w:id="198"/>
    </w:p>
    <w:p>
      <w:pPr>
        <w:snapToGrid w:val="0"/>
        <w:spacing w:line="360" w:lineRule="auto"/>
        <w:ind w:firstLine="480" w:firstLineChars="200"/>
        <w:rPr>
          <w:color w:val="auto"/>
          <w:highlight w:val="none"/>
        </w:rPr>
      </w:pPr>
      <w:r>
        <w:rPr>
          <w:color w:val="auto"/>
          <w:highlight w:val="none"/>
        </w:rPr>
        <w:t>应急救援指挥部总指挥、副总指挥、各应急小组组长以及成员必须24小时开通个人手机（联系人及联系方式详见附件），配备必要的有线、无线通信器材，值班电话保持24小时通畅，节假日必须安排人员值班。不仅要充分发挥信息网络系统的作用，而且要保证企业内部常规应急通讯设施的正常运行，如扩音喇叭、对讲机、广播等，并定期进行日常维护，确保应急时能够统一调动有关人员、物资迅速到位。</w:t>
      </w:r>
    </w:p>
    <w:p>
      <w:pPr>
        <w:pStyle w:val="44"/>
        <w:rPr>
          <w:rFonts w:ascii="Times New Roman" w:hAnsi="Times New Roman"/>
          <w:color w:val="auto"/>
          <w:highlight w:val="none"/>
        </w:rPr>
      </w:pPr>
      <w:r>
        <w:rPr>
          <w:rFonts w:ascii="Times New Roman" w:hAnsi="Times New Roman"/>
          <w:color w:val="auto"/>
          <w:highlight w:val="none"/>
        </w:rPr>
        <w:t>整个厂区的电信电缆线路包括电话线路、火灾自动报警系统线路等，各系统的电缆均各自独立，自成系统。整个厂区的报警系统采用消防报警系统、手动报警和电话报警系统相结合方式，并定期进行日常维护，确保本预案启动时应急行动指挥通信的畅通。</w:t>
      </w:r>
    </w:p>
    <w:p>
      <w:pPr>
        <w:pStyle w:val="19"/>
        <w:ind w:left="480"/>
        <w:rPr>
          <w:color w:val="auto"/>
          <w:highlight w:val="none"/>
        </w:rPr>
        <w:sectPr>
          <w:pgSz w:w="11907" w:h="16840"/>
          <w:pgMar w:top="1402" w:right="1440" w:bottom="1402" w:left="1440" w:header="851" w:footer="992" w:gutter="0"/>
          <w:pgBorders>
            <w:top w:val="none" w:sz="0" w:space="0"/>
            <w:left w:val="none" w:sz="0" w:space="0"/>
            <w:bottom w:val="none" w:sz="0" w:space="0"/>
            <w:right w:val="none" w:sz="0" w:space="0"/>
          </w:pgBorders>
          <w:pgNumType w:fmt="decimal"/>
          <w:cols w:space="720" w:num="1"/>
        </w:sectPr>
      </w:pPr>
    </w:p>
    <w:p>
      <w:pPr>
        <w:pStyle w:val="4"/>
        <w:adjustRightInd w:val="0"/>
        <w:snapToGrid w:val="0"/>
        <w:rPr>
          <w:color w:val="auto"/>
          <w:kern w:val="0"/>
          <w:highlight w:val="none"/>
        </w:rPr>
      </w:pPr>
      <w:bookmarkStart w:id="199" w:name="_Toc273391684"/>
      <w:bookmarkStart w:id="200" w:name="_Toc26219"/>
      <w:bookmarkStart w:id="201" w:name="_Toc28103317"/>
      <w:bookmarkStart w:id="202" w:name="_Toc224965905"/>
      <w:bookmarkStart w:id="203" w:name="_Toc225244083"/>
      <w:bookmarkStart w:id="204" w:name="_Toc273391360"/>
      <w:r>
        <w:rPr>
          <w:color w:val="auto"/>
          <w:kern w:val="0"/>
          <w:highlight w:val="none"/>
        </w:rPr>
        <w:t>10 预案管理</w:t>
      </w:r>
      <w:bookmarkEnd w:id="199"/>
      <w:bookmarkEnd w:id="200"/>
      <w:bookmarkEnd w:id="201"/>
      <w:bookmarkEnd w:id="202"/>
      <w:bookmarkEnd w:id="203"/>
      <w:bookmarkEnd w:id="204"/>
    </w:p>
    <w:p>
      <w:pPr>
        <w:pStyle w:val="5"/>
        <w:rPr>
          <w:color w:val="auto"/>
          <w:highlight w:val="none"/>
        </w:rPr>
      </w:pPr>
      <w:bookmarkStart w:id="205" w:name="_Toc273391672"/>
      <w:bookmarkStart w:id="206" w:name="_Toc11924"/>
      <w:bookmarkStart w:id="207" w:name="_Toc273391348"/>
      <w:bookmarkStart w:id="208" w:name="_Toc28103295"/>
      <w:r>
        <w:rPr>
          <w:color w:val="auto"/>
          <w:highlight w:val="none"/>
        </w:rPr>
        <w:t>10.1 应急培训</w:t>
      </w:r>
      <w:bookmarkEnd w:id="205"/>
      <w:bookmarkEnd w:id="206"/>
      <w:bookmarkEnd w:id="207"/>
      <w:bookmarkEnd w:id="208"/>
    </w:p>
    <w:p>
      <w:pPr>
        <w:spacing w:line="360" w:lineRule="auto"/>
        <w:ind w:firstLine="480" w:firstLineChars="200"/>
        <w:rPr>
          <w:color w:val="auto"/>
          <w:highlight w:val="none"/>
        </w:rPr>
      </w:pPr>
      <w:r>
        <w:rPr>
          <w:color w:val="auto"/>
          <w:highlight w:val="none"/>
        </w:rPr>
        <w:t>为了确保企业建立快速、有序、有效的应急反应能力，企业员工必须熟悉厂内的突发事故类型、风险特性，并掌握正确的应急措施，必须对全厂员工进行应急培训。另外，应采取一定措施进行公众环境安全知识的宣传教育。</w:t>
      </w:r>
    </w:p>
    <w:p>
      <w:pPr>
        <w:pStyle w:val="6"/>
        <w:rPr>
          <w:color w:val="auto"/>
          <w:highlight w:val="none"/>
        </w:rPr>
      </w:pPr>
      <w:bookmarkStart w:id="209" w:name="_Toc28103296"/>
      <w:r>
        <w:rPr>
          <w:color w:val="auto"/>
          <w:highlight w:val="none"/>
        </w:rPr>
        <w:t>10.1.1 应急救援指挥部成员应急响应的培训</w:t>
      </w:r>
      <w:bookmarkEnd w:id="209"/>
    </w:p>
    <w:p>
      <w:pPr>
        <w:autoSpaceDE w:val="0"/>
        <w:autoSpaceDN w:val="0"/>
        <w:adjustRightInd w:val="0"/>
        <w:snapToGrid w:val="0"/>
        <w:spacing w:line="360" w:lineRule="auto"/>
        <w:ind w:firstLine="480" w:firstLineChars="200"/>
        <w:rPr>
          <w:color w:val="auto"/>
          <w:highlight w:val="none"/>
        </w:rPr>
      </w:pPr>
      <w:r>
        <w:rPr>
          <w:color w:val="auto"/>
          <w:highlight w:val="none"/>
        </w:rPr>
        <w:t>对厂区应急救援人员进行应急救援专业培训。</w:t>
      </w:r>
    </w:p>
    <w:p>
      <w:pPr>
        <w:autoSpaceDE w:val="0"/>
        <w:autoSpaceDN w:val="0"/>
        <w:adjustRightInd w:val="0"/>
        <w:snapToGrid w:val="0"/>
        <w:spacing w:line="360" w:lineRule="auto"/>
        <w:ind w:firstLine="480" w:firstLineChars="200"/>
        <w:rPr>
          <w:color w:val="auto"/>
          <w:highlight w:val="none"/>
        </w:rPr>
      </w:pPr>
      <w:r>
        <w:rPr>
          <w:color w:val="auto"/>
          <w:highlight w:val="none"/>
        </w:rPr>
        <w:t>（1）培训主要内容：</w:t>
      </w:r>
    </w:p>
    <w:p>
      <w:pPr>
        <w:autoSpaceDE w:val="0"/>
        <w:autoSpaceDN w:val="0"/>
        <w:adjustRightInd w:val="0"/>
        <w:snapToGrid w:val="0"/>
        <w:spacing w:line="360" w:lineRule="auto"/>
        <w:ind w:firstLine="480" w:firstLineChars="200"/>
        <w:rPr>
          <w:color w:val="auto"/>
          <w:highlight w:val="none"/>
        </w:rPr>
      </w:pPr>
      <w:r>
        <w:rPr>
          <w:color w:val="auto"/>
          <w:highlight w:val="none"/>
        </w:rPr>
        <w:t>①了解、掌握事故应急救援预案内容。</w:t>
      </w:r>
    </w:p>
    <w:p>
      <w:pPr>
        <w:autoSpaceDE w:val="0"/>
        <w:autoSpaceDN w:val="0"/>
        <w:adjustRightInd w:val="0"/>
        <w:snapToGrid w:val="0"/>
        <w:spacing w:line="360" w:lineRule="auto"/>
        <w:ind w:firstLine="480" w:firstLineChars="200"/>
        <w:rPr>
          <w:color w:val="auto"/>
          <w:highlight w:val="none"/>
        </w:rPr>
      </w:pPr>
      <w:r>
        <w:rPr>
          <w:color w:val="auto"/>
          <w:highlight w:val="none"/>
        </w:rPr>
        <w:t>②人员疏散方法。</w:t>
      </w:r>
    </w:p>
    <w:p>
      <w:pPr>
        <w:autoSpaceDE w:val="0"/>
        <w:autoSpaceDN w:val="0"/>
        <w:adjustRightInd w:val="0"/>
        <w:snapToGrid w:val="0"/>
        <w:spacing w:line="360" w:lineRule="auto"/>
        <w:ind w:firstLine="480" w:firstLineChars="200"/>
        <w:rPr>
          <w:color w:val="auto"/>
          <w:highlight w:val="none"/>
        </w:rPr>
      </w:pPr>
      <w:r>
        <w:rPr>
          <w:color w:val="auto"/>
          <w:highlight w:val="none"/>
        </w:rPr>
        <w:t>③熟悉防护用品佩戴和使用方法。</w:t>
      </w:r>
    </w:p>
    <w:p>
      <w:pPr>
        <w:autoSpaceDE w:val="0"/>
        <w:autoSpaceDN w:val="0"/>
        <w:adjustRightInd w:val="0"/>
        <w:snapToGrid w:val="0"/>
        <w:spacing w:line="360" w:lineRule="auto"/>
        <w:ind w:firstLine="480" w:firstLineChars="200"/>
        <w:rPr>
          <w:color w:val="auto"/>
          <w:highlight w:val="none"/>
        </w:rPr>
      </w:pPr>
      <w:r>
        <w:rPr>
          <w:color w:val="auto"/>
          <w:highlight w:val="none"/>
        </w:rPr>
        <w:t>④应急器材使用方法。</w:t>
      </w:r>
    </w:p>
    <w:p>
      <w:pPr>
        <w:autoSpaceDE w:val="0"/>
        <w:autoSpaceDN w:val="0"/>
        <w:adjustRightInd w:val="0"/>
        <w:snapToGrid w:val="0"/>
        <w:spacing w:line="360" w:lineRule="auto"/>
        <w:ind w:firstLine="480" w:firstLineChars="200"/>
        <w:rPr>
          <w:color w:val="auto"/>
          <w:highlight w:val="none"/>
        </w:rPr>
      </w:pPr>
      <w:r>
        <w:rPr>
          <w:color w:val="auto"/>
          <w:highlight w:val="none"/>
        </w:rPr>
        <w:t>⑤如何展开事故现场抢救、救援及事故处置。</w:t>
      </w:r>
    </w:p>
    <w:p>
      <w:pPr>
        <w:autoSpaceDE w:val="0"/>
        <w:autoSpaceDN w:val="0"/>
        <w:adjustRightInd w:val="0"/>
        <w:snapToGrid w:val="0"/>
        <w:spacing w:line="360" w:lineRule="auto"/>
        <w:ind w:firstLine="480" w:firstLineChars="200"/>
        <w:rPr>
          <w:color w:val="auto"/>
          <w:highlight w:val="none"/>
        </w:rPr>
      </w:pPr>
      <w:r>
        <w:rPr>
          <w:color w:val="auto"/>
          <w:highlight w:val="none"/>
        </w:rPr>
        <w:t>⑥事故现场自我防护及监护措施。</w:t>
      </w:r>
    </w:p>
    <w:p>
      <w:pPr>
        <w:autoSpaceDE w:val="0"/>
        <w:autoSpaceDN w:val="0"/>
        <w:adjustRightInd w:val="0"/>
        <w:snapToGrid w:val="0"/>
        <w:spacing w:line="360" w:lineRule="auto"/>
        <w:ind w:firstLine="480" w:firstLineChars="200"/>
        <w:rPr>
          <w:color w:val="auto"/>
          <w:highlight w:val="none"/>
        </w:rPr>
      </w:pPr>
      <w:r>
        <w:rPr>
          <w:color w:val="auto"/>
          <w:highlight w:val="none"/>
        </w:rPr>
        <w:t>⑦废气事故排放应急处理措施。</w:t>
      </w:r>
    </w:p>
    <w:p>
      <w:pPr>
        <w:autoSpaceDE w:val="0"/>
        <w:autoSpaceDN w:val="0"/>
        <w:adjustRightInd w:val="0"/>
        <w:snapToGrid w:val="0"/>
        <w:spacing w:line="360" w:lineRule="auto"/>
        <w:ind w:firstLine="480" w:firstLineChars="200"/>
        <w:rPr>
          <w:color w:val="auto"/>
          <w:highlight w:val="none"/>
        </w:rPr>
      </w:pPr>
      <w:r>
        <w:rPr>
          <w:color w:val="auto"/>
          <w:highlight w:val="none"/>
        </w:rPr>
        <w:t>⑧危废等有毒有害物质应急处理措施。</w:t>
      </w:r>
    </w:p>
    <w:p>
      <w:pPr>
        <w:autoSpaceDE w:val="0"/>
        <w:autoSpaceDN w:val="0"/>
        <w:adjustRightInd w:val="0"/>
        <w:snapToGrid w:val="0"/>
        <w:spacing w:line="360" w:lineRule="auto"/>
        <w:ind w:firstLine="480" w:firstLineChars="200"/>
        <w:rPr>
          <w:color w:val="auto"/>
          <w:highlight w:val="none"/>
        </w:rPr>
      </w:pPr>
      <w:r>
        <w:rPr>
          <w:color w:val="auto"/>
          <w:highlight w:val="none"/>
        </w:rPr>
        <w:t>⑨火灾爆炸处理措施。</w:t>
      </w:r>
    </w:p>
    <w:p>
      <w:pPr>
        <w:autoSpaceDE w:val="0"/>
        <w:autoSpaceDN w:val="0"/>
        <w:adjustRightInd w:val="0"/>
        <w:snapToGrid w:val="0"/>
        <w:spacing w:line="360" w:lineRule="auto"/>
        <w:ind w:firstLine="480" w:firstLineChars="200"/>
        <w:rPr>
          <w:color w:val="auto"/>
          <w:highlight w:val="none"/>
        </w:rPr>
      </w:pPr>
      <w:r>
        <w:rPr>
          <w:color w:val="auto"/>
          <w:highlight w:val="none"/>
        </w:rPr>
        <w:t>（2）采取的方式：课堂教学、综合讨论、现场讲解、模拟事故发生等。</w:t>
      </w:r>
    </w:p>
    <w:p>
      <w:pPr>
        <w:autoSpaceDE w:val="0"/>
        <w:autoSpaceDN w:val="0"/>
        <w:adjustRightInd w:val="0"/>
        <w:snapToGrid w:val="0"/>
        <w:spacing w:line="360" w:lineRule="auto"/>
        <w:ind w:firstLine="480" w:firstLineChars="200"/>
        <w:rPr>
          <w:color w:val="auto"/>
          <w:highlight w:val="none"/>
        </w:rPr>
      </w:pPr>
      <w:r>
        <w:rPr>
          <w:color w:val="auto"/>
          <w:highlight w:val="none"/>
        </w:rPr>
        <w:t>（3）培训时间：每年1次。</w:t>
      </w:r>
    </w:p>
    <w:p>
      <w:pPr>
        <w:pStyle w:val="6"/>
        <w:rPr>
          <w:color w:val="auto"/>
          <w:highlight w:val="none"/>
        </w:rPr>
      </w:pPr>
      <w:bookmarkStart w:id="210" w:name="_Toc28103297"/>
      <w:r>
        <w:rPr>
          <w:color w:val="auto"/>
          <w:highlight w:val="none"/>
        </w:rPr>
        <w:t>10.1.2 生产区操作人员的培训</w:t>
      </w:r>
      <w:bookmarkEnd w:id="210"/>
    </w:p>
    <w:p>
      <w:pPr>
        <w:autoSpaceDE w:val="0"/>
        <w:autoSpaceDN w:val="0"/>
        <w:adjustRightInd w:val="0"/>
        <w:spacing w:line="360" w:lineRule="auto"/>
        <w:ind w:firstLine="480" w:firstLineChars="200"/>
        <w:rPr>
          <w:color w:val="auto"/>
          <w:highlight w:val="none"/>
        </w:rPr>
      </w:pPr>
      <w:r>
        <w:rPr>
          <w:color w:val="auto"/>
          <w:highlight w:val="none"/>
        </w:rPr>
        <w:t>针对应急救援的基本要求，系统培训厂区操作人员，发生各级事故时报警、紧急处置、逃生、个体防护、急救、紧急疏散等程序的基本要求。</w:t>
      </w:r>
    </w:p>
    <w:p>
      <w:pPr>
        <w:autoSpaceDE w:val="0"/>
        <w:autoSpaceDN w:val="0"/>
        <w:adjustRightInd w:val="0"/>
        <w:spacing w:line="360" w:lineRule="auto"/>
        <w:ind w:firstLine="480" w:firstLineChars="200"/>
        <w:rPr>
          <w:color w:val="auto"/>
          <w:highlight w:val="none"/>
        </w:rPr>
      </w:pPr>
      <w:r>
        <w:rPr>
          <w:color w:val="auto"/>
          <w:highlight w:val="none"/>
        </w:rPr>
        <w:t>（1）培训主要内容：</w:t>
      </w:r>
    </w:p>
    <w:p>
      <w:pPr>
        <w:autoSpaceDE w:val="0"/>
        <w:autoSpaceDN w:val="0"/>
        <w:adjustRightInd w:val="0"/>
        <w:spacing w:line="360" w:lineRule="auto"/>
        <w:ind w:firstLine="480" w:firstLineChars="200"/>
        <w:rPr>
          <w:color w:val="auto"/>
          <w:highlight w:val="none"/>
        </w:rPr>
      </w:pPr>
      <w:r>
        <w:rPr>
          <w:color w:val="auto"/>
          <w:highlight w:val="none"/>
        </w:rPr>
        <w:t>①企业安全生产规章制度、安全操作规程；</w:t>
      </w:r>
    </w:p>
    <w:p>
      <w:pPr>
        <w:autoSpaceDE w:val="0"/>
        <w:autoSpaceDN w:val="0"/>
        <w:adjustRightInd w:val="0"/>
        <w:spacing w:line="360" w:lineRule="auto"/>
        <w:ind w:firstLine="480" w:firstLineChars="200"/>
        <w:rPr>
          <w:color w:val="auto"/>
          <w:highlight w:val="none"/>
        </w:rPr>
      </w:pPr>
      <w:r>
        <w:rPr>
          <w:color w:val="auto"/>
          <w:highlight w:val="none"/>
        </w:rPr>
        <w:t>②防火、防爆、防毒的基本知识；</w:t>
      </w:r>
    </w:p>
    <w:p>
      <w:pPr>
        <w:autoSpaceDE w:val="0"/>
        <w:autoSpaceDN w:val="0"/>
        <w:adjustRightInd w:val="0"/>
        <w:spacing w:line="360" w:lineRule="auto"/>
        <w:ind w:firstLine="480" w:firstLineChars="200"/>
        <w:rPr>
          <w:color w:val="auto"/>
          <w:highlight w:val="none"/>
        </w:rPr>
      </w:pPr>
      <w:r>
        <w:rPr>
          <w:color w:val="auto"/>
          <w:highlight w:val="none"/>
        </w:rPr>
        <w:t>③生产过程中异常情况的排除、处理方法；</w:t>
      </w:r>
    </w:p>
    <w:p>
      <w:pPr>
        <w:autoSpaceDE w:val="0"/>
        <w:autoSpaceDN w:val="0"/>
        <w:adjustRightInd w:val="0"/>
        <w:spacing w:line="360" w:lineRule="auto"/>
        <w:ind w:firstLine="480" w:firstLineChars="200"/>
        <w:rPr>
          <w:color w:val="auto"/>
          <w:highlight w:val="none"/>
        </w:rPr>
      </w:pPr>
      <w:r>
        <w:rPr>
          <w:color w:val="auto"/>
          <w:highlight w:val="none"/>
        </w:rPr>
        <w:t>④如何紧急启动报警系统；</w:t>
      </w:r>
    </w:p>
    <w:p>
      <w:pPr>
        <w:autoSpaceDE w:val="0"/>
        <w:autoSpaceDN w:val="0"/>
        <w:adjustRightInd w:val="0"/>
        <w:spacing w:line="360" w:lineRule="auto"/>
        <w:ind w:firstLine="480" w:firstLineChars="200"/>
        <w:rPr>
          <w:color w:val="auto"/>
          <w:highlight w:val="none"/>
        </w:rPr>
      </w:pPr>
      <w:r>
        <w:rPr>
          <w:color w:val="auto"/>
          <w:highlight w:val="none"/>
        </w:rPr>
        <w:t>⑤事故发生后如何开展自救和互救；</w:t>
      </w:r>
    </w:p>
    <w:p>
      <w:pPr>
        <w:autoSpaceDE w:val="0"/>
        <w:autoSpaceDN w:val="0"/>
        <w:adjustRightInd w:val="0"/>
        <w:spacing w:line="360" w:lineRule="auto"/>
        <w:ind w:firstLine="480" w:firstLineChars="200"/>
        <w:rPr>
          <w:color w:val="auto"/>
          <w:highlight w:val="none"/>
        </w:rPr>
      </w:pPr>
      <w:r>
        <w:rPr>
          <w:color w:val="auto"/>
          <w:highlight w:val="none"/>
        </w:rPr>
        <w:t>⑥事故发生后的撤离和疏散方法。</w:t>
      </w:r>
    </w:p>
    <w:p>
      <w:pPr>
        <w:autoSpaceDE w:val="0"/>
        <w:autoSpaceDN w:val="0"/>
        <w:adjustRightInd w:val="0"/>
        <w:spacing w:line="360" w:lineRule="auto"/>
        <w:ind w:firstLine="480" w:firstLineChars="200"/>
        <w:rPr>
          <w:color w:val="auto"/>
          <w:highlight w:val="none"/>
        </w:rPr>
      </w:pPr>
      <w:r>
        <w:rPr>
          <w:color w:val="auto"/>
          <w:highlight w:val="none"/>
        </w:rPr>
        <w:t>（2）采取的方式：课堂教学、综合讨论、现场讲解等。</w:t>
      </w:r>
    </w:p>
    <w:p>
      <w:pPr>
        <w:autoSpaceDE w:val="0"/>
        <w:autoSpaceDN w:val="0"/>
        <w:adjustRightInd w:val="0"/>
        <w:spacing w:line="360" w:lineRule="auto"/>
        <w:ind w:firstLine="480" w:firstLineChars="200"/>
        <w:rPr>
          <w:color w:val="auto"/>
          <w:highlight w:val="none"/>
        </w:rPr>
      </w:pPr>
      <w:r>
        <w:rPr>
          <w:color w:val="auto"/>
          <w:highlight w:val="none"/>
        </w:rPr>
        <w:t>（3）培训时间：每年1次。</w:t>
      </w:r>
    </w:p>
    <w:p>
      <w:pPr>
        <w:pStyle w:val="6"/>
        <w:rPr>
          <w:color w:val="auto"/>
          <w:highlight w:val="none"/>
        </w:rPr>
      </w:pPr>
      <w:bookmarkStart w:id="211" w:name="_Toc28103298"/>
      <w:r>
        <w:rPr>
          <w:color w:val="auto"/>
          <w:highlight w:val="none"/>
        </w:rPr>
        <w:t>10.1.3 应急指挥机构的培训</w:t>
      </w:r>
      <w:bookmarkEnd w:id="211"/>
    </w:p>
    <w:p>
      <w:pPr>
        <w:autoSpaceDE w:val="0"/>
        <w:autoSpaceDN w:val="0"/>
        <w:adjustRightInd w:val="0"/>
        <w:spacing w:line="360" w:lineRule="auto"/>
        <w:ind w:firstLine="480" w:firstLineChars="200"/>
        <w:rPr>
          <w:color w:val="auto"/>
          <w:highlight w:val="none"/>
        </w:rPr>
      </w:pPr>
      <w:r>
        <w:rPr>
          <w:color w:val="auto"/>
          <w:highlight w:val="none"/>
        </w:rPr>
        <w:t>邀请国内应急救援专家，就环境风险应急事故的指挥、决策、各部门配合等内容进行培训。</w:t>
      </w:r>
    </w:p>
    <w:p>
      <w:pPr>
        <w:autoSpaceDE w:val="0"/>
        <w:autoSpaceDN w:val="0"/>
        <w:adjustRightInd w:val="0"/>
        <w:spacing w:line="360" w:lineRule="auto"/>
        <w:ind w:firstLine="480" w:firstLineChars="200"/>
        <w:rPr>
          <w:color w:val="auto"/>
          <w:highlight w:val="none"/>
        </w:rPr>
      </w:pPr>
      <w:r>
        <w:rPr>
          <w:color w:val="auto"/>
          <w:highlight w:val="none"/>
        </w:rPr>
        <w:t>采取的方式：综合讨论、专家讲座等。</w:t>
      </w:r>
    </w:p>
    <w:p>
      <w:pPr>
        <w:widowControl/>
        <w:snapToGrid w:val="0"/>
        <w:spacing w:line="360" w:lineRule="auto"/>
        <w:ind w:firstLine="480" w:firstLineChars="200"/>
        <w:jc w:val="left"/>
        <w:rPr>
          <w:color w:val="auto"/>
          <w:kern w:val="0"/>
          <w:szCs w:val="28"/>
          <w:highlight w:val="none"/>
        </w:rPr>
      </w:pPr>
      <w:r>
        <w:rPr>
          <w:color w:val="auto"/>
          <w:highlight w:val="none"/>
        </w:rPr>
        <w:t>培训时间：每年1次。</w:t>
      </w:r>
    </w:p>
    <w:p>
      <w:pPr>
        <w:pStyle w:val="6"/>
        <w:rPr>
          <w:color w:val="auto"/>
          <w:highlight w:val="none"/>
        </w:rPr>
      </w:pPr>
      <w:bookmarkStart w:id="212" w:name="_Toc28103299"/>
      <w:r>
        <w:rPr>
          <w:color w:val="auto"/>
          <w:highlight w:val="none"/>
        </w:rPr>
        <w:t>10.1.4 外部公众应急响应的培训</w:t>
      </w:r>
      <w:bookmarkEnd w:id="212"/>
    </w:p>
    <w:p>
      <w:pPr>
        <w:autoSpaceDE w:val="0"/>
        <w:autoSpaceDN w:val="0"/>
        <w:adjustRightInd w:val="0"/>
        <w:spacing w:line="360" w:lineRule="auto"/>
        <w:ind w:firstLine="480" w:firstLineChars="200"/>
        <w:rPr>
          <w:color w:val="auto"/>
          <w:highlight w:val="none"/>
        </w:rPr>
      </w:pPr>
      <w:bookmarkStart w:id="213" w:name="_Toc273391673"/>
      <w:bookmarkStart w:id="214" w:name="_Toc28103300"/>
      <w:bookmarkStart w:id="215" w:name="_Toc273391349"/>
      <w:r>
        <w:rPr>
          <w:color w:val="auto"/>
          <w:highlight w:val="none"/>
        </w:rPr>
        <w:t>负责对厂区邻近地区开展公众教育、培训和发布本公司有关安全生产的基本信息，加强与周边公众的交流，如发生事故，可以更好的疏散、防护污染。</w:t>
      </w:r>
    </w:p>
    <w:p>
      <w:pPr>
        <w:autoSpaceDE w:val="0"/>
        <w:autoSpaceDN w:val="0"/>
        <w:adjustRightInd w:val="0"/>
        <w:spacing w:line="360" w:lineRule="auto"/>
        <w:ind w:firstLine="480" w:firstLineChars="200"/>
        <w:rPr>
          <w:color w:val="auto"/>
          <w:highlight w:val="none"/>
        </w:rPr>
      </w:pPr>
      <w:r>
        <w:rPr>
          <w:color w:val="auto"/>
          <w:highlight w:val="none"/>
        </w:rPr>
        <w:t>（1）教育、培训主要内容：</w:t>
      </w:r>
    </w:p>
    <w:p>
      <w:pPr>
        <w:autoSpaceDE w:val="0"/>
        <w:autoSpaceDN w:val="0"/>
        <w:adjustRightInd w:val="0"/>
        <w:spacing w:line="360" w:lineRule="auto"/>
        <w:ind w:firstLine="480" w:firstLineChars="200"/>
        <w:rPr>
          <w:color w:val="auto"/>
          <w:highlight w:val="none"/>
        </w:rPr>
      </w:pPr>
      <w:r>
        <w:rPr>
          <w:color w:val="auto"/>
          <w:highlight w:val="none"/>
        </w:rPr>
        <w:t>①事故报警与通知方法；</w:t>
      </w:r>
    </w:p>
    <w:p>
      <w:pPr>
        <w:autoSpaceDE w:val="0"/>
        <w:autoSpaceDN w:val="0"/>
        <w:adjustRightInd w:val="0"/>
        <w:spacing w:line="360" w:lineRule="auto"/>
        <w:ind w:firstLine="480" w:firstLineChars="200"/>
        <w:rPr>
          <w:color w:val="auto"/>
          <w:highlight w:val="none"/>
        </w:rPr>
      </w:pPr>
      <w:r>
        <w:rPr>
          <w:color w:val="auto"/>
          <w:highlight w:val="none"/>
        </w:rPr>
        <w:t>②个人防护知识；</w:t>
      </w:r>
    </w:p>
    <w:p>
      <w:pPr>
        <w:autoSpaceDE w:val="0"/>
        <w:autoSpaceDN w:val="0"/>
        <w:adjustRightInd w:val="0"/>
        <w:spacing w:line="360" w:lineRule="auto"/>
        <w:ind w:firstLine="480" w:firstLineChars="200"/>
        <w:rPr>
          <w:color w:val="auto"/>
          <w:highlight w:val="none"/>
        </w:rPr>
      </w:pPr>
      <w:r>
        <w:rPr>
          <w:color w:val="auto"/>
          <w:highlight w:val="none"/>
        </w:rPr>
        <w:t>③自救和呼救的基本常识；</w:t>
      </w:r>
    </w:p>
    <w:p>
      <w:pPr>
        <w:autoSpaceDE w:val="0"/>
        <w:autoSpaceDN w:val="0"/>
        <w:adjustRightInd w:val="0"/>
        <w:spacing w:line="360" w:lineRule="auto"/>
        <w:ind w:firstLine="480" w:firstLineChars="200"/>
        <w:rPr>
          <w:color w:val="auto"/>
          <w:highlight w:val="none"/>
        </w:rPr>
      </w:pPr>
      <w:r>
        <w:rPr>
          <w:color w:val="auto"/>
          <w:highlight w:val="none"/>
        </w:rPr>
        <w:t>④疏散和撤离的方法。</w:t>
      </w:r>
    </w:p>
    <w:p>
      <w:pPr>
        <w:autoSpaceDE w:val="0"/>
        <w:autoSpaceDN w:val="0"/>
        <w:adjustRightInd w:val="0"/>
        <w:spacing w:line="360" w:lineRule="auto"/>
        <w:ind w:firstLine="480" w:firstLineChars="200"/>
        <w:rPr>
          <w:color w:val="auto"/>
          <w:highlight w:val="none"/>
        </w:rPr>
      </w:pPr>
      <w:r>
        <w:rPr>
          <w:color w:val="auto"/>
          <w:highlight w:val="none"/>
        </w:rPr>
        <w:t>（2）采取的方式：</w:t>
      </w:r>
      <w:r>
        <w:rPr>
          <w:rFonts w:hint="eastAsia"/>
          <w:color w:val="auto"/>
          <w:highlight w:val="none"/>
        </w:rPr>
        <w:t>微信公众号群发</w:t>
      </w:r>
      <w:r>
        <w:rPr>
          <w:color w:val="auto"/>
          <w:highlight w:val="none"/>
        </w:rPr>
        <w:t>。</w:t>
      </w:r>
    </w:p>
    <w:p>
      <w:pPr>
        <w:autoSpaceDE w:val="0"/>
        <w:autoSpaceDN w:val="0"/>
        <w:adjustRightInd w:val="0"/>
        <w:spacing w:line="360" w:lineRule="auto"/>
        <w:ind w:firstLine="480" w:firstLineChars="200"/>
        <w:rPr>
          <w:color w:val="auto"/>
          <w:sz w:val="28"/>
          <w:szCs w:val="28"/>
          <w:highlight w:val="none"/>
        </w:rPr>
      </w:pPr>
      <w:r>
        <w:rPr>
          <w:color w:val="auto"/>
          <w:highlight w:val="none"/>
        </w:rPr>
        <w:t>（3）培训时间：每年不少于1</w:t>
      </w:r>
      <w:r>
        <w:rPr>
          <w:rFonts w:hint="eastAsia"/>
          <w:color w:val="auto"/>
          <w:highlight w:val="none"/>
        </w:rPr>
        <w:t>次</w:t>
      </w:r>
      <w:r>
        <w:rPr>
          <w:color w:val="auto"/>
          <w:highlight w:val="none"/>
        </w:rPr>
        <w:t>。</w:t>
      </w:r>
    </w:p>
    <w:p>
      <w:pPr>
        <w:pStyle w:val="5"/>
        <w:rPr>
          <w:color w:val="auto"/>
          <w:highlight w:val="none"/>
        </w:rPr>
      </w:pPr>
      <w:bookmarkStart w:id="216" w:name="_Toc6395"/>
      <w:r>
        <w:rPr>
          <w:color w:val="auto"/>
          <w:highlight w:val="none"/>
        </w:rPr>
        <w:t>10.2 演练</w:t>
      </w:r>
      <w:bookmarkEnd w:id="213"/>
      <w:bookmarkEnd w:id="214"/>
      <w:bookmarkEnd w:id="215"/>
      <w:bookmarkEnd w:id="216"/>
    </w:p>
    <w:p>
      <w:pPr>
        <w:autoSpaceDE w:val="0"/>
        <w:autoSpaceDN w:val="0"/>
        <w:adjustRightInd w:val="0"/>
        <w:spacing w:line="360" w:lineRule="auto"/>
        <w:ind w:firstLine="480" w:firstLineChars="200"/>
        <w:rPr>
          <w:color w:val="auto"/>
          <w:highlight w:val="none"/>
        </w:rPr>
      </w:pPr>
      <w:r>
        <w:rPr>
          <w:color w:val="auto"/>
          <w:highlight w:val="none"/>
        </w:rPr>
        <w:t>演练的目的是评估应急预案的各部分或整体是否能有效的付诸行动，验证应急预案可能出现的各种环境污染事故的适应性，找出应急准备工作中需要改善的地方，并提高应急队伍的整体反应能力，确保建立和保持可靠的通信渠道及应急人员的协同性，确保所有应急组织都熟悉并能够履行他们的职责，找出需要改善的潜在问题，提高整体应急反应能力。</w:t>
      </w:r>
    </w:p>
    <w:p>
      <w:pPr>
        <w:spacing w:line="360" w:lineRule="auto"/>
        <w:ind w:firstLine="480" w:firstLineChars="200"/>
        <w:rPr>
          <w:color w:val="auto"/>
          <w:highlight w:val="none"/>
        </w:rPr>
      </w:pPr>
      <w:r>
        <w:rPr>
          <w:color w:val="auto"/>
          <w:highlight w:val="none"/>
        </w:rPr>
        <w:t>企业的应急机构所有成员每年至少进行一次事故应急演练。具体演练过程分为演练准备、演练实施和演练总结。</w:t>
      </w:r>
    </w:p>
    <w:p>
      <w:pPr>
        <w:pStyle w:val="6"/>
        <w:rPr>
          <w:color w:val="auto"/>
          <w:highlight w:val="none"/>
        </w:rPr>
      </w:pPr>
      <w:bookmarkStart w:id="217" w:name="_Toc28103301"/>
      <w:r>
        <w:rPr>
          <w:color w:val="auto"/>
          <w:highlight w:val="none"/>
        </w:rPr>
        <w:t>10.2.1 演练准备内容</w:t>
      </w:r>
      <w:bookmarkEnd w:id="217"/>
    </w:p>
    <w:p>
      <w:pPr>
        <w:autoSpaceDE w:val="0"/>
        <w:autoSpaceDN w:val="0"/>
        <w:adjustRightInd w:val="0"/>
        <w:spacing w:line="360" w:lineRule="auto"/>
        <w:ind w:firstLine="480" w:firstLineChars="200"/>
        <w:rPr>
          <w:color w:val="auto"/>
          <w:highlight w:val="none"/>
        </w:rPr>
      </w:pPr>
      <w:r>
        <w:rPr>
          <w:color w:val="auto"/>
          <w:highlight w:val="none"/>
        </w:rPr>
        <w:t>成立一个演练策划小组是厂区内应急演练的有效方法，它是演练的领导机构，是演练准备与实施的指挥部门，对演练实施全面控制。</w:t>
      </w:r>
    </w:p>
    <w:p>
      <w:pPr>
        <w:autoSpaceDE w:val="0"/>
        <w:autoSpaceDN w:val="0"/>
        <w:adjustRightInd w:val="0"/>
        <w:spacing w:line="360" w:lineRule="auto"/>
        <w:ind w:firstLine="480" w:firstLineChars="200"/>
        <w:rPr>
          <w:color w:val="auto"/>
          <w:highlight w:val="none"/>
        </w:rPr>
      </w:pPr>
      <w:r>
        <w:rPr>
          <w:color w:val="auto"/>
          <w:highlight w:val="none"/>
        </w:rPr>
        <w:t>演练准备内容如下：</w:t>
      </w:r>
    </w:p>
    <w:p>
      <w:pPr>
        <w:spacing w:line="360" w:lineRule="auto"/>
        <w:ind w:firstLine="560"/>
        <w:rPr>
          <w:color w:val="auto"/>
          <w:highlight w:val="none"/>
        </w:rPr>
      </w:pPr>
      <w:r>
        <w:rPr>
          <w:color w:val="auto"/>
          <w:highlight w:val="none"/>
        </w:rPr>
        <w:t>（1）明确目的。明确演练的主要目的是检验我公司在突发环境事件的情况下，应急处理能力；</w:t>
      </w:r>
    </w:p>
    <w:p>
      <w:pPr>
        <w:spacing w:line="360" w:lineRule="auto"/>
        <w:ind w:firstLine="560"/>
        <w:rPr>
          <w:color w:val="auto"/>
          <w:highlight w:val="none"/>
        </w:rPr>
      </w:pPr>
      <w:r>
        <w:rPr>
          <w:color w:val="auto"/>
          <w:highlight w:val="none"/>
        </w:rPr>
        <w:t>（2）制定方案。明确演练的过程，主要内容等，重点突出应急状态下的组织指挥、综合调度、现场救治、后勤保障等方面的内容。</w:t>
      </w:r>
    </w:p>
    <w:p>
      <w:pPr>
        <w:spacing w:line="360" w:lineRule="auto"/>
        <w:ind w:firstLine="560"/>
        <w:rPr>
          <w:color w:val="auto"/>
          <w:highlight w:val="none"/>
        </w:rPr>
      </w:pPr>
      <w:r>
        <w:rPr>
          <w:color w:val="auto"/>
          <w:highlight w:val="none"/>
        </w:rPr>
        <w:t>（3）成立组织。成立演练机构，明确主要职责。</w:t>
      </w:r>
    </w:p>
    <w:p>
      <w:pPr>
        <w:spacing w:line="360" w:lineRule="auto"/>
        <w:ind w:firstLine="560"/>
        <w:rPr>
          <w:color w:val="auto"/>
          <w:highlight w:val="none"/>
        </w:rPr>
      </w:pPr>
      <w:r>
        <w:rPr>
          <w:color w:val="auto"/>
          <w:highlight w:val="none"/>
        </w:rPr>
        <w:t>（4）设计情景。包括设计事故现场、准备演练场地、模拟现场构建等。</w:t>
      </w:r>
    </w:p>
    <w:p>
      <w:pPr>
        <w:pStyle w:val="6"/>
        <w:rPr>
          <w:color w:val="auto"/>
          <w:highlight w:val="none"/>
        </w:rPr>
      </w:pPr>
      <w:bookmarkStart w:id="218" w:name="_Toc28103302"/>
      <w:r>
        <w:rPr>
          <w:color w:val="auto"/>
          <w:highlight w:val="none"/>
        </w:rPr>
        <w:t>10.2.2 演练方式、范围与频次</w:t>
      </w:r>
      <w:bookmarkEnd w:id="218"/>
    </w:p>
    <w:p>
      <w:pPr>
        <w:spacing w:line="360" w:lineRule="auto"/>
        <w:ind w:firstLine="560"/>
        <w:rPr>
          <w:color w:val="auto"/>
          <w:highlight w:val="none"/>
        </w:rPr>
      </w:pPr>
      <w:r>
        <w:rPr>
          <w:color w:val="auto"/>
          <w:highlight w:val="none"/>
        </w:rPr>
        <w:t>演练方式：以现场实景演练为主，分综合演练和单项演练；根据情况可以和安全、消防演练相结合。主要演练课题如下：</w:t>
      </w:r>
    </w:p>
    <w:p>
      <w:pPr>
        <w:spacing w:line="360" w:lineRule="auto"/>
        <w:ind w:firstLine="560"/>
        <w:rPr>
          <w:color w:val="auto"/>
          <w:highlight w:val="none"/>
        </w:rPr>
      </w:pPr>
      <w:r>
        <w:rPr>
          <w:color w:val="auto"/>
          <w:highlight w:val="none"/>
        </w:rPr>
        <w:t>（1）危险化学品泄漏演练：根据公司可能发生的危险化学品泄漏事故，组织应急小组演练事故预警、应急泵的使用。</w:t>
      </w:r>
    </w:p>
    <w:p>
      <w:pPr>
        <w:spacing w:line="360" w:lineRule="auto"/>
        <w:ind w:firstLine="560"/>
        <w:rPr>
          <w:color w:val="auto"/>
          <w:highlight w:val="none"/>
        </w:rPr>
      </w:pPr>
      <w:r>
        <w:rPr>
          <w:color w:val="auto"/>
          <w:highlight w:val="none"/>
        </w:rPr>
        <w:t>（2）火灾爆炸事故演练：根据案组织员工演练事故预警、事故报告、人员疏散等课题。</w:t>
      </w:r>
    </w:p>
    <w:p>
      <w:pPr>
        <w:spacing w:line="360" w:lineRule="auto"/>
        <w:ind w:firstLine="560"/>
        <w:rPr>
          <w:color w:val="auto"/>
          <w:highlight w:val="none"/>
        </w:rPr>
      </w:pPr>
      <w:r>
        <w:rPr>
          <w:color w:val="auto"/>
          <w:highlight w:val="none"/>
        </w:rPr>
        <w:t>（3）大气污染物应急处置演练：针对厂区风险单元发生泄漏等事故可能产生的大气污染物，组织员工演练事故预警、事故报告、人员疏散等课题。</w:t>
      </w:r>
    </w:p>
    <w:p>
      <w:pPr>
        <w:spacing w:line="360" w:lineRule="auto"/>
        <w:ind w:firstLine="560"/>
        <w:rPr>
          <w:color w:val="auto"/>
          <w:highlight w:val="none"/>
        </w:rPr>
      </w:pPr>
      <w:r>
        <w:rPr>
          <w:color w:val="auto"/>
          <w:highlight w:val="none"/>
        </w:rPr>
        <w:t>（4）水污染应急处置演练：针对厂区运输过程原料泄漏、消防尾水污染水次生污染事件，组织员工演练雨水口闸门紧急关闭、应急水泵使用等相关课题。</w:t>
      </w:r>
    </w:p>
    <w:p>
      <w:pPr>
        <w:spacing w:line="360" w:lineRule="auto"/>
        <w:ind w:firstLine="560"/>
        <w:rPr>
          <w:color w:val="auto"/>
          <w:highlight w:val="none"/>
        </w:rPr>
      </w:pPr>
      <w:r>
        <w:rPr>
          <w:color w:val="auto"/>
          <w:highlight w:val="none"/>
        </w:rPr>
        <w:t>（5）建议重点演练各废水、泄漏物收集管道导流是否畅通、各阀门是否能正确开启和关闭、各抽水泵是否能启用、各应急物资能否被及时取用和正确使用、如何快速有效堵漏各有毒气体等。</w:t>
      </w:r>
    </w:p>
    <w:p>
      <w:pPr>
        <w:spacing w:line="360" w:lineRule="auto"/>
        <w:ind w:firstLine="560"/>
        <w:rPr>
          <w:color w:val="auto"/>
          <w:highlight w:val="none"/>
        </w:rPr>
      </w:pPr>
      <w:r>
        <w:rPr>
          <w:color w:val="auto"/>
          <w:highlight w:val="none"/>
        </w:rPr>
        <w:t>演练范围：主要在本企业内部，涉及外部公众（周边企业、社区、人口聚居区等）的环境应急演练应该由政府组织，企业要积极配合。</w:t>
      </w:r>
    </w:p>
    <w:p>
      <w:pPr>
        <w:spacing w:line="360" w:lineRule="auto"/>
        <w:ind w:firstLine="560"/>
        <w:rPr>
          <w:color w:val="auto"/>
          <w:highlight w:val="none"/>
        </w:rPr>
      </w:pPr>
      <w:r>
        <w:rPr>
          <w:color w:val="auto"/>
          <w:highlight w:val="none"/>
        </w:rPr>
        <w:t>演练的频次：综合演练每年组织1次。</w:t>
      </w:r>
    </w:p>
    <w:p>
      <w:pPr>
        <w:pStyle w:val="6"/>
        <w:rPr>
          <w:color w:val="auto"/>
          <w:highlight w:val="none"/>
        </w:rPr>
      </w:pPr>
      <w:bookmarkStart w:id="219" w:name="_Toc28103303"/>
      <w:r>
        <w:rPr>
          <w:color w:val="auto"/>
          <w:highlight w:val="none"/>
        </w:rPr>
        <w:t>10.2.3 演练组织</w:t>
      </w:r>
      <w:bookmarkEnd w:id="219"/>
    </w:p>
    <w:p>
      <w:pPr>
        <w:spacing w:line="360" w:lineRule="auto"/>
        <w:ind w:firstLine="560"/>
        <w:rPr>
          <w:color w:val="auto"/>
          <w:highlight w:val="none"/>
        </w:rPr>
      </w:pPr>
      <w:r>
        <w:rPr>
          <w:color w:val="auto"/>
          <w:highlight w:val="none"/>
        </w:rPr>
        <w:t>演练组织由应急指挥部负责；其主要工作职责是：领导演练工作，制定演练计划和文书，下达演练指示，协调演练工作，组织演练物资，确定演练人员，解决演练中的有关问题。并针对重点环境风险源如生产车间、危废仓库等，风险物质建议制定专项预案或作业指导书。</w:t>
      </w:r>
    </w:p>
    <w:p>
      <w:pPr>
        <w:pStyle w:val="6"/>
        <w:rPr>
          <w:color w:val="auto"/>
          <w:highlight w:val="none"/>
        </w:rPr>
      </w:pPr>
      <w:bookmarkStart w:id="220" w:name="_Toc28103304"/>
      <w:r>
        <w:rPr>
          <w:color w:val="auto"/>
          <w:highlight w:val="none"/>
        </w:rPr>
        <w:t>10.2.4 应急演练的评价、总结与追踪</w:t>
      </w:r>
      <w:bookmarkEnd w:id="220"/>
    </w:p>
    <w:p>
      <w:pPr>
        <w:autoSpaceDE w:val="0"/>
        <w:autoSpaceDN w:val="0"/>
        <w:adjustRightInd w:val="0"/>
        <w:spacing w:line="360" w:lineRule="auto"/>
        <w:ind w:firstLine="480" w:firstLineChars="200"/>
        <w:rPr>
          <w:color w:val="auto"/>
          <w:highlight w:val="none"/>
        </w:rPr>
      </w:pPr>
      <w:r>
        <w:rPr>
          <w:color w:val="auto"/>
          <w:highlight w:val="none"/>
        </w:rPr>
        <w:t>演练结束后，进行总结和讲评，以检验演练是否达到演练目标、应急准备水平及是否需要改进、策划小组在演练结束期限内，根据在演练过程中收集和整理的资料，编写演练报告，对演练中发现的问题及时进行修正、补充、完善，使其进一步合理化。</w:t>
      </w:r>
    </w:p>
    <w:p>
      <w:pPr>
        <w:snapToGrid w:val="0"/>
        <w:spacing w:line="360" w:lineRule="auto"/>
        <w:ind w:firstLine="570"/>
        <w:rPr>
          <w:color w:val="auto"/>
          <w:highlight w:val="none"/>
        </w:rPr>
      </w:pPr>
      <w:r>
        <w:rPr>
          <w:color w:val="auto"/>
          <w:highlight w:val="none"/>
        </w:rPr>
        <w:t>应急演练一般至少每年一次，除定期进行全面的训练和演练外，还要针对通讯、消防、医疗、污染源控制、监测、净化和清洁，以及人员疏散等关键要素进行演练。</w:t>
      </w:r>
      <w:bookmarkStart w:id="221" w:name="_Toc28103321"/>
    </w:p>
    <w:p>
      <w:pPr>
        <w:pStyle w:val="5"/>
        <w:rPr>
          <w:color w:val="auto"/>
          <w:highlight w:val="none"/>
        </w:rPr>
      </w:pPr>
      <w:bookmarkStart w:id="222" w:name="_Toc3733"/>
      <w:r>
        <w:rPr>
          <w:color w:val="auto"/>
          <w:highlight w:val="none"/>
        </w:rPr>
        <w:t>10.3 预案的</w:t>
      </w:r>
      <w:bookmarkEnd w:id="221"/>
      <w:r>
        <w:rPr>
          <w:color w:val="auto"/>
          <w:highlight w:val="none"/>
        </w:rPr>
        <w:t>修订</w:t>
      </w:r>
      <w:bookmarkEnd w:id="222"/>
    </w:p>
    <w:p>
      <w:pPr>
        <w:autoSpaceDE w:val="0"/>
        <w:autoSpaceDN w:val="0"/>
        <w:adjustRightInd w:val="0"/>
        <w:snapToGrid w:val="0"/>
        <w:spacing w:line="360" w:lineRule="auto"/>
        <w:ind w:firstLine="480" w:firstLineChars="200"/>
        <w:rPr>
          <w:color w:val="auto"/>
          <w:highlight w:val="none"/>
        </w:rPr>
      </w:pPr>
      <w:r>
        <w:rPr>
          <w:color w:val="auto"/>
          <w:highlight w:val="none"/>
        </w:rPr>
        <w:t>应急预案的修订，是指根据非常规突发事件进程中最新获取的信息，及时对原有的决策方案进行修订。根据情景应对模式，需要不断获取新信息，及时调整方向，修正现有的决策方案，防止决策错误的延续或再次扩大。因此，环境应急预案每三年至少修订一次；有下列情形之一的，应当及时组织进行修订评审，然后重新发布，并抄送至相关部门。</w:t>
      </w:r>
    </w:p>
    <w:p>
      <w:pPr>
        <w:autoSpaceDE w:val="0"/>
        <w:autoSpaceDN w:val="0"/>
        <w:adjustRightInd w:val="0"/>
        <w:snapToGrid w:val="0"/>
        <w:spacing w:line="360" w:lineRule="auto"/>
        <w:ind w:firstLine="480" w:firstLineChars="200"/>
        <w:rPr>
          <w:color w:val="auto"/>
          <w:highlight w:val="none"/>
        </w:rPr>
      </w:pPr>
      <w:r>
        <w:rPr>
          <w:color w:val="auto"/>
          <w:highlight w:val="none"/>
        </w:rPr>
        <w:t>（1）厂址、布局、原材料、设备、危险品、产品、生产工艺和技术等发生变化的；</w:t>
      </w:r>
    </w:p>
    <w:p>
      <w:pPr>
        <w:autoSpaceDE w:val="0"/>
        <w:autoSpaceDN w:val="0"/>
        <w:adjustRightInd w:val="0"/>
        <w:snapToGrid w:val="0"/>
        <w:spacing w:line="360" w:lineRule="auto"/>
        <w:ind w:firstLine="480" w:firstLineChars="200"/>
        <w:rPr>
          <w:color w:val="auto"/>
          <w:highlight w:val="none"/>
        </w:rPr>
      </w:pPr>
      <w:r>
        <w:rPr>
          <w:color w:val="auto"/>
          <w:highlight w:val="none"/>
        </w:rPr>
        <w:t>（2）相关单位和人员发生变化或者应急组织指挥体系或职责调整的；</w:t>
      </w:r>
    </w:p>
    <w:p>
      <w:pPr>
        <w:autoSpaceDE w:val="0"/>
        <w:autoSpaceDN w:val="0"/>
        <w:adjustRightInd w:val="0"/>
        <w:snapToGrid w:val="0"/>
        <w:spacing w:line="360" w:lineRule="auto"/>
        <w:ind w:firstLine="480" w:firstLineChars="200"/>
        <w:rPr>
          <w:color w:val="auto"/>
          <w:highlight w:val="none"/>
        </w:rPr>
      </w:pPr>
      <w:r>
        <w:rPr>
          <w:color w:val="auto"/>
          <w:highlight w:val="none"/>
        </w:rPr>
        <w:t>（3）周围环境或者环境敏感点发生变化的；</w:t>
      </w:r>
    </w:p>
    <w:p>
      <w:pPr>
        <w:autoSpaceDE w:val="0"/>
        <w:autoSpaceDN w:val="0"/>
        <w:adjustRightInd w:val="0"/>
        <w:snapToGrid w:val="0"/>
        <w:spacing w:line="360" w:lineRule="auto"/>
        <w:ind w:firstLine="480" w:firstLineChars="200"/>
        <w:rPr>
          <w:color w:val="auto"/>
          <w:highlight w:val="none"/>
        </w:rPr>
      </w:pPr>
      <w:r>
        <w:rPr>
          <w:color w:val="auto"/>
          <w:highlight w:val="none"/>
        </w:rPr>
        <w:t>（4）环境应急预案依据的法律、法规、规章等发生变化的；</w:t>
      </w:r>
    </w:p>
    <w:p>
      <w:pPr>
        <w:autoSpaceDE w:val="0"/>
        <w:autoSpaceDN w:val="0"/>
        <w:adjustRightInd w:val="0"/>
        <w:snapToGrid w:val="0"/>
        <w:spacing w:line="360" w:lineRule="auto"/>
        <w:ind w:firstLine="480" w:firstLineChars="200"/>
        <w:rPr>
          <w:color w:val="auto"/>
          <w:highlight w:val="none"/>
        </w:rPr>
      </w:pPr>
      <w:r>
        <w:rPr>
          <w:color w:val="auto"/>
          <w:highlight w:val="none"/>
        </w:rPr>
        <w:t>（5）日常应急管理、训练、演练或实际应急过程中发现预案缺陷的；</w:t>
      </w:r>
    </w:p>
    <w:p>
      <w:pPr>
        <w:autoSpaceDE w:val="0"/>
        <w:autoSpaceDN w:val="0"/>
        <w:adjustRightInd w:val="0"/>
        <w:snapToGrid w:val="0"/>
        <w:spacing w:line="360" w:lineRule="auto"/>
        <w:ind w:firstLine="480" w:firstLineChars="200"/>
        <w:rPr>
          <w:color w:val="auto"/>
          <w:highlight w:val="none"/>
        </w:rPr>
      </w:pPr>
      <w:r>
        <w:rPr>
          <w:color w:val="auto"/>
          <w:highlight w:val="none"/>
        </w:rPr>
        <w:t>（6）对于重点装置及重点环境风险源、风险物质建议制定专项预案；</w:t>
      </w:r>
    </w:p>
    <w:p>
      <w:pPr>
        <w:snapToGrid w:val="0"/>
        <w:spacing w:line="360" w:lineRule="auto"/>
        <w:ind w:firstLine="480" w:firstLineChars="200"/>
        <w:rPr>
          <w:color w:val="auto"/>
          <w:highlight w:val="none"/>
        </w:rPr>
      </w:pPr>
      <w:r>
        <w:rPr>
          <w:color w:val="auto"/>
          <w:highlight w:val="none"/>
        </w:rPr>
        <w:t>（7）环境保护主管部门或者企业认为应当适时修订的。</w:t>
      </w:r>
    </w:p>
    <w:p>
      <w:pPr>
        <w:pStyle w:val="5"/>
        <w:rPr>
          <w:color w:val="auto"/>
          <w:highlight w:val="none"/>
        </w:rPr>
      </w:pPr>
      <w:bookmarkStart w:id="223" w:name="_Toc22284"/>
      <w:r>
        <w:rPr>
          <w:color w:val="auto"/>
          <w:highlight w:val="none"/>
        </w:rPr>
        <w:t>10.4 预案的实施和生效时间</w:t>
      </w:r>
      <w:bookmarkEnd w:id="223"/>
    </w:p>
    <w:p>
      <w:pPr>
        <w:adjustRightInd w:val="0"/>
        <w:snapToGrid w:val="0"/>
        <w:spacing w:line="360" w:lineRule="auto"/>
        <w:ind w:firstLine="480" w:firstLineChars="200"/>
        <w:rPr>
          <w:color w:val="auto"/>
          <w:highlight w:val="none"/>
        </w:rPr>
      </w:pPr>
      <w:r>
        <w:rPr>
          <w:color w:val="auto"/>
          <w:highlight w:val="none"/>
        </w:rPr>
        <w:t>本应急预案由总指挥签署后发布实施，发布实施时应在文本封面注明生效日期及发布人签名。</w:t>
      </w:r>
    </w:p>
    <w:p>
      <w:pPr>
        <w:adjustRightInd w:val="0"/>
        <w:snapToGrid w:val="0"/>
        <w:spacing w:line="360" w:lineRule="auto"/>
        <w:ind w:firstLine="480" w:firstLineChars="200"/>
        <w:rPr>
          <w:color w:val="auto"/>
          <w:highlight w:val="none"/>
        </w:rPr>
      </w:pPr>
      <w:r>
        <w:rPr>
          <w:color w:val="auto"/>
          <w:highlight w:val="none"/>
        </w:rPr>
        <w:t>预案批准发布后，公司应组织落实预案中的各项工作，进一步明确各项职责和任务分工，加强应急知识的宣传、教育和培训，定期组织应急预案演练，实现应急预案持续改进。</w:t>
      </w:r>
    </w:p>
    <w:p>
      <w:pPr>
        <w:adjustRightInd w:val="0"/>
        <w:snapToGrid w:val="0"/>
        <w:spacing w:line="360" w:lineRule="auto"/>
        <w:ind w:firstLine="480" w:firstLineChars="200"/>
        <w:rPr>
          <w:color w:val="auto"/>
          <w:highlight w:val="none"/>
        </w:rPr>
      </w:pPr>
      <w:r>
        <w:rPr>
          <w:color w:val="auto"/>
          <w:highlight w:val="none"/>
        </w:rPr>
        <w:t>预案更新时，应当及时组织修订评审，然后重新备案，重新发布，并抄送至相关部门。</w:t>
      </w:r>
    </w:p>
    <w:p>
      <w:pPr>
        <w:pStyle w:val="3"/>
        <w:rPr>
          <w:color w:val="auto"/>
          <w:highlight w:val="none"/>
        </w:rPr>
        <w:sectPr>
          <w:pgSz w:w="11907" w:h="16840"/>
          <w:pgMar w:top="1402" w:right="1440" w:bottom="1402" w:left="1440" w:header="851" w:footer="992" w:gutter="0"/>
          <w:pgBorders>
            <w:top w:val="none" w:sz="0" w:space="0"/>
            <w:left w:val="none" w:sz="0" w:space="0"/>
            <w:bottom w:val="none" w:sz="0" w:space="0"/>
            <w:right w:val="none" w:sz="0" w:space="0"/>
          </w:pgBorders>
          <w:pgNumType w:fmt="decimal"/>
          <w:cols w:space="720" w:num="1"/>
        </w:sectPr>
      </w:pPr>
    </w:p>
    <w:p>
      <w:pPr>
        <w:pStyle w:val="4"/>
        <w:numPr>
          <w:ilvl w:val="0"/>
          <w:numId w:val="8"/>
        </w:numPr>
        <w:jc w:val="center"/>
        <w:rPr>
          <w:color w:val="auto"/>
          <w:sz w:val="36"/>
          <w:szCs w:val="48"/>
          <w:highlight w:val="none"/>
        </w:rPr>
      </w:pPr>
      <w:bookmarkStart w:id="224" w:name="_Toc28103323"/>
      <w:r>
        <w:rPr>
          <w:color w:val="auto"/>
          <w:sz w:val="36"/>
          <w:szCs w:val="48"/>
          <w:highlight w:val="none"/>
        </w:rPr>
        <w:t xml:space="preserve"> </w:t>
      </w:r>
      <w:bookmarkStart w:id="225" w:name="_Toc27335"/>
      <w:r>
        <w:rPr>
          <w:color w:val="auto"/>
          <w:sz w:val="36"/>
          <w:szCs w:val="48"/>
          <w:highlight w:val="none"/>
        </w:rPr>
        <w:t>专项应急预案</w:t>
      </w:r>
      <w:bookmarkEnd w:id="225"/>
    </w:p>
    <w:p>
      <w:pPr>
        <w:pStyle w:val="4"/>
        <w:rPr>
          <w:color w:val="auto"/>
          <w:highlight w:val="none"/>
        </w:rPr>
      </w:pPr>
      <w:bookmarkStart w:id="226" w:name="_Toc28007"/>
      <w:r>
        <w:rPr>
          <w:color w:val="auto"/>
          <w:highlight w:val="none"/>
        </w:rPr>
        <w:t>1 泄漏事故专项应急预案</w:t>
      </w:r>
      <w:bookmarkEnd w:id="226"/>
    </w:p>
    <w:p>
      <w:pPr>
        <w:pStyle w:val="5"/>
        <w:rPr>
          <w:color w:val="auto"/>
          <w:highlight w:val="none"/>
        </w:rPr>
      </w:pPr>
      <w:bookmarkStart w:id="227" w:name="_Toc23683"/>
      <w:r>
        <w:rPr>
          <w:color w:val="auto"/>
          <w:highlight w:val="none"/>
        </w:rPr>
        <w:t>1.1总体要求</w:t>
      </w:r>
      <w:bookmarkEnd w:id="227"/>
    </w:p>
    <w:p>
      <w:pPr>
        <w:spacing w:line="360" w:lineRule="auto"/>
        <w:ind w:firstLine="480" w:firstLineChars="200"/>
        <w:rPr>
          <w:color w:val="auto"/>
          <w:highlight w:val="none"/>
        </w:rPr>
      </w:pPr>
      <w:r>
        <w:rPr>
          <w:color w:val="auto"/>
          <w:highlight w:val="none"/>
        </w:rPr>
        <w:t>本专项应急预案是根据公司生产情况，针对</w:t>
      </w:r>
      <w:r>
        <w:rPr>
          <w:rFonts w:hint="eastAsia"/>
          <w:color w:val="auto"/>
          <w:highlight w:val="none"/>
          <w:lang w:val="en-US" w:eastAsia="zh-CN"/>
        </w:rPr>
        <w:t>镀铬起镀液、硫酸、盐酸</w:t>
      </w:r>
      <w:r>
        <w:rPr>
          <w:rFonts w:hint="eastAsia"/>
          <w:color w:val="auto"/>
          <w:highlight w:val="none"/>
        </w:rPr>
        <w:t>等</w:t>
      </w:r>
      <w:r>
        <w:rPr>
          <w:color w:val="auto"/>
          <w:highlight w:val="none"/>
        </w:rPr>
        <w:t>危险化学品发生泄漏突发环境事件制定的专项预案，包括突发环境事件特征、应急组织机构、应急处置程序、应急处置措施等。</w:t>
      </w:r>
    </w:p>
    <w:p>
      <w:pPr>
        <w:pStyle w:val="5"/>
        <w:rPr>
          <w:color w:val="auto"/>
          <w:highlight w:val="none"/>
        </w:rPr>
      </w:pPr>
      <w:bookmarkStart w:id="228" w:name="_Toc22762"/>
      <w:r>
        <w:rPr>
          <w:color w:val="auto"/>
          <w:highlight w:val="none"/>
        </w:rPr>
        <w:t>1.2 突发环境事件特征</w:t>
      </w:r>
      <w:bookmarkEnd w:id="228"/>
    </w:p>
    <w:p>
      <w:pPr>
        <w:adjustRightInd w:val="0"/>
        <w:snapToGrid w:val="0"/>
        <w:spacing w:line="360" w:lineRule="auto"/>
        <w:ind w:firstLine="480" w:firstLineChars="200"/>
        <w:rPr>
          <w:color w:val="auto"/>
          <w:highlight w:val="none"/>
        </w:rPr>
      </w:pPr>
      <w:r>
        <w:rPr>
          <w:color w:val="auto"/>
          <w:highlight w:val="none"/>
        </w:rPr>
        <w:t>公司可能发生泄漏事故情景如下：</w:t>
      </w:r>
    </w:p>
    <w:p>
      <w:pPr>
        <w:adjustRightInd w:val="0"/>
        <w:snapToGrid w:val="0"/>
        <w:jc w:val="center"/>
        <w:rPr>
          <w:b/>
          <w:color w:val="auto"/>
          <w:highlight w:val="none"/>
        </w:rPr>
      </w:pPr>
      <w:bookmarkStart w:id="229" w:name="_Toc5294"/>
      <w:r>
        <w:rPr>
          <w:b/>
          <w:color w:val="auto"/>
          <w:highlight w:val="none"/>
        </w:rPr>
        <w:t>表</w:t>
      </w:r>
      <w:r>
        <w:rPr>
          <w:rFonts w:hint="eastAsia"/>
          <w:b/>
          <w:color w:val="auto"/>
          <w:highlight w:val="none"/>
        </w:rPr>
        <w:t>1.1</w:t>
      </w:r>
      <w:r>
        <w:rPr>
          <w:b/>
          <w:color w:val="auto"/>
          <w:highlight w:val="none"/>
        </w:rPr>
        <w:t xml:space="preserve"> </w:t>
      </w:r>
      <w:r>
        <w:rPr>
          <w:rFonts w:hint="eastAsia"/>
          <w:b/>
          <w:color w:val="auto"/>
          <w:highlight w:val="none"/>
        </w:rPr>
        <w:t>公司可能发生泄漏事故情景</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421"/>
        <w:gridCol w:w="1592"/>
        <w:gridCol w:w="476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33" w:type="pct"/>
            <w:vAlign w:val="center"/>
          </w:tcPr>
          <w:p>
            <w:pPr>
              <w:jc w:val="center"/>
              <w:rPr>
                <w:b/>
                <w:color w:val="auto"/>
                <w:kern w:val="0"/>
                <w:sz w:val="21"/>
                <w:szCs w:val="21"/>
                <w:highlight w:val="none"/>
              </w:rPr>
            </w:pPr>
            <w:r>
              <w:rPr>
                <w:b/>
                <w:color w:val="auto"/>
                <w:kern w:val="0"/>
                <w:sz w:val="21"/>
                <w:szCs w:val="21"/>
                <w:highlight w:val="none"/>
              </w:rPr>
              <w:t>事故类型</w:t>
            </w:r>
          </w:p>
        </w:tc>
        <w:tc>
          <w:tcPr>
            <w:tcW w:w="834" w:type="pct"/>
            <w:vAlign w:val="center"/>
          </w:tcPr>
          <w:p>
            <w:pPr>
              <w:jc w:val="center"/>
              <w:rPr>
                <w:b/>
                <w:color w:val="auto"/>
                <w:kern w:val="0"/>
                <w:sz w:val="21"/>
                <w:szCs w:val="21"/>
                <w:highlight w:val="none"/>
              </w:rPr>
            </w:pPr>
            <w:r>
              <w:rPr>
                <w:b/>
                <w:color w:val="auto"/>
                <w:kern w:val="0"/>
                <w:sz w:val="21"/>
                <w:szCs w:val="21"/>
                <w:highlight w:val="none"/>
              </w:rPr>
              <w:t>环境风险危险源</w:t>
            </w:r>
          </w:p>
        </w:tc>
        <w:tc>
          <w:tcPr>
            <w:tcW w:w="934" w:type="pct"/>
            <w:vAlign w:val="center"/>
          </w:tcPr>
          <w:p>
            <w:pPr>
              <w:jc w:val="center"/>
              <w:rPr>
                <w:b/>
                <w:color w:val="auto"/>
                <w:kern w:val="0"/>
                <w:sz w:val="21"/>
                <w:szCs w:val="21"/>
                <w:highlight w:val="none"/>
              </w:rPr>
            </w:pPr>
            <w:r>
              <w:rPr>
                <w:b/>
                <w:color w:val="auto"/>
                <w:kern w:val="0"/>
                <w:sz w:val="21"/>
                <w:szCs w:val="21"/>
                <w:highlight w:val="none"/>
              </w:rPr>
              <w:t>主要危险物质</w:t>
            </w:r>
          </w:p>
        </w:tc>
        <w:tc>
          <w:tcPr>
            <w:tcW w:w="2798" w:type="pct"/>
            <w:vAlign w:val="center"/>
          </w:tcPr>
          <w:p>
            <w:pPr>
              <w:jc w:val="center"/>
              <w:rPr>
                <w:b/>
                <w:color w:val="auto"/>
                <w:kern w:val="0"/>
                <w:sz w:val="21"/>
                <w:szCs w:val="21"/>
                <w:highlight w:val="none"/>
              </w:rPr>
            </w:pPr>
            <w:r>
              <w:rPr>
                <w:b/>
                <w:color w:val="auto"/>
                <w:kern w:val="0"/>
                <w:sz w:val="21"/>
                <w:szCs w:val="21"/>
                <w:highlight w:val="none"/>
              </w:rPr>
              <w:t>可能引发或次生突发环境事件情景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restart"/>
            <w:vAlign w:val="center"/>
          </w:tcPr>
          <w:p>
            <w:pPr>
              <w:widowControl/>
              <w:snapToGrid w:val="0"/>
              <w:jc w:val="center"/>
              <w:rPr>
                <w:color w:val="auto"/>
                <w:kern w:val="0"/>
                <w:sz w:val="21"/>
                <w:szCs w:val="21"/>
                <w:highlight w:val="none"/>
              </w:rPr>
            </w:pPr>
            <w:r>
              <w:rPr>
                <w:color w:val="auto"/>
                <w:kern w:val="0"/>
                <w:sz w:val="21"/>
                <w:szCs w:val="21"/>
                <w:highlight w:val="none"/>
              </w:rPr>
              <w:t>泄漏</w:t>
            </w:r>
          </w:p>
        </w:tc>
        <w:tc>
          <w:tcPr>
            <w:tcW w:w="834" w:type="pct"/>
            <w:vAlign w:val="center"/>
          </w:tcPr>
          <w:p>
            <w:pPr>
              <w:widowControl/>
              <w:snapToGrid w:val="0"/>
              <w:jc w:val="center"/>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镀铬生产线</w:t>
            </w:r>
          </w:p>
        </w:tc>
        <w:tc>
          <w:tcPr>
            <w:tcW w:w="934" w:type="pct"/>
            <w:vAlign w:val="center"/>
          </w:tcPr>
          <w:p>
            <w:pPr>
              <w:widowControl/>
              <w:snapToGrid w:val="0"/>
              <w:jc w:val="center"/>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镀铬起镀液</w:t>
            </w:r>
          </w:p>
        </w:tc>
        <w:tc>
          <w:tcPr>
            <w:tcW w:w="2798" w:type="pct"/>
            <w:vAlign w:val="center"/>
          </w:tcPr>
          <w:p>
            <w:pPr>
              <w:widowControl/>
              <w:snapToGrid w:val="0"/>
              <w:jc w:val="left"/>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①镀铬起镀液可能会发生泄漏事故，泄漏液如拦截不当会对周围水环境产生影响；</w:t>
            </w:r>
          </w:p>
          <w:p>
            <w:pPr>
              <w:widowControl/>
              <w:snapToGrid w:val="0"/>
              <w:jc w:val="left"/>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②镀铬起镀液泄漏挥发产生的铬酸雾，会造成大气环境污染事故；</w:t>
            </w:r>
          </w:p>
          <w:p>
            <w:pPr>
              <w:widowControl/>
              <w:snapToGrid w:val="0"/>
              <w:jc w:val="left"/>
              <w:rPr>
                <w:color w:val="auto"/>
                <w:highlight w:val="none"/>
              </w:rPr>
            </w:pPr>
            <w:r>
              <w:rPr>
                <w:rFonts w:hint="eastAsia" w:ascii="Times New Roman" w:hAnsi="Times New Roman" w:eastAsia="宋体" w:cs="Times New Roman"/>
                <w:color w:val="auto"/>
                <w:kern w:val="0"/>
                <w:sz w:val="21"/>
                <w:szCs w:val="21"/>
                <w:highlight w:val="none"/>
                <w:lang w:val="en-US" w:eastAsia="zh-CN"/>
              </w:rPr>
              <w:t>③镀铬起镀液中含铬，</w:t>
            </w:r>
            <w:r>
              <w:rPr>
                <w:rFonts w:hint="default" w:ascii="Times New Roman" w:hAnsi="Times New Roman" w:eastAsia="宋体" w:cs="Times New Roman"/>
                <w:color w:val="auto"/>
                <w:kern w:val="0"/>
                <w:sz w:val="21"/>
                <w:szCs w:val="21"/>
                <w:highlight w:val="none"/>
                <w:lang w:val="en-US" w:eastAsia="zh-CN"/>
              </w:rPr>
              <w:t>渗漏至地面土壤环境中，富集沉淀，影响土壤pH值、重金属超标，影响土壤环境；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vAlign w:val="center"/>
          </w:tcPr>
          <w:p>
            <w:pPr>
              <w:widowControl/>
              <w:snapToGrid w:val="0"/>
              <w:jc w:val="center"/>
              <w:rPr>
                <w:color w:val="auto"/>
                <w:kern w:val="0"/>
                <w:sz w:val="21"/>
                <w:szCs w:val="21"/>
                <w:highlight w:val="none"/>
              </w:rPr>
            </w:pPr>
          </w:p>
        </w:tc>
        <w:tc>
          <w:tcPr>
            <w:tcW w:w="834" w:type="pct"/>
            <w:vAlign w:val="center"/>
          </w:tcPr>
          <w:p>
            <w:pPr>
              <w:widowControl/>
              <w:snapToGrid w:val="0"/>
              <w:jc w:val="center"/>
              <w:rPr>
                <w:rFonts w:hint="eastAsia" w:eastAsia="宋体"/>
                <w:color w:val="auto"/>
                <w:kern w:val="0"/>
                <w:sz w:val="21"/>
                <w:szCs w:val="21"/>
                <w:highlight w:val="none"/>
                <w:lang w:eastAsia="zh-CN"/>
              </w:rPr>
            </w:pPr>
            <w:r>
              <w:rPr>
                <w:rFonts w:hint="eastAsia"/>
                <w:color w:val="auto"/>
                <w:kern w:val="0"/>
                <w:sz w:val="21"/>
                <w:szCs w:val="21"/>
                <w:highlight w:val="none"/>
                <w:lang w:val="en-US" w:eastAsia="zh-CN"/>
              </w:rPr>
              <w:t>清洗线</w:t>
            </w:r>
          </w:p>
        </w:tc>
        <w:tc>
          <w:tcPr>
            <w:tcW w:w="934" w:type="pct"/>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脱脂剂</w:t>
            </w:r>
          </w:p>
          <w:p>
            <w:pPr>
              <w:widowControl/>
              <w:snapToGrid w:val="0"/>
              <w:jc w:val="center"/>
              <w:rPr>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（喷淋清洁剂）</w:t>
            </w:r>
          </w:p>
        </w:tc>
        <w:tc>
          <w:tcPr>
            <w:tcW w:w="2798" w:type="pct"/>
            <w:vAlign w:val="center"/>
          </w:tcPr>
          <w:p>
            <w:pPr>
              <w:keepNext w:val="0"/>
              <w:keepLines w:val="0"/>
              <w:pageBreakBefore w:val="0"/>
              <w:kinsoku/>
              <w:wordWrap/>
              <w:overflowPunct/>
              <w:topLinePunct w:val="0"/>
              <w:autoSpaceDE/>
              <w:autoSpaceDN/>
              <w:bidi w:val="0"/>
              <w:adjustRightInd w:val="0"/>
              <w:snapToGrid w:val="0"/>
              <w:jc w:val="center"/>
              <w:rPr>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脱脂剂（喷淋清洁剂）</w:t>
            </w:r>
            <w:r>
              <w:rPr>
                <w:rFonts w:hint="eastAsia"/>
                <w:color w:val="auto"/>
                <w:kern w:val="0"/>
                <w:sz w:val="21"/>
                <w:szCs w:val="21"/>
                <w:highlight w:val="none"/>
              </w:rPr>
              <w:t>发生泄漏后，会造成环境污染事故</w:t>
            </w:r>
            <w:r>
              <w:rPr>
                <w:color w:val="auto"/>
                <w:kern w:val="0"/>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vAlign w:val="center"/>
          </w:tcPr>
          <w:p>
            <w:pPr>
              <w:widowControl/>
              <w:snapToGrid w:val="0"/>
              <w:jc w:val="center"/>
              <w:rPr>
                <w:color w:val="auto"/>
                <w:kern w:val="0"/>
                <w:sz w:val="21"/>
                <w:szCs w:val="21"/>
                <w:highlight w:val="none"/>
              </w:rPr>
            </w:pPr>
          </w:p>
        </w:tc>
        <w:tc>
          <w:tcPr>
            <w:tcW w:w="834" w:type="pct"/>
            <w:vAlign w:val="center"/>
          </w:tcPr>
          <w:p>
            <w:pPr>
              <w:widowControl/>
              <w:snapToGrid w:val="0"/>
              <w:jc w:val="center"/>
              <w:rPr>
                <w:rFonts w:hint="eastAsia" w:eastAsia="宋体"/>
                <w:color w:val="auto"/>
                <w:kern w:val="0"/>
                <w:sz w:val="21"/>
                <w:szCs w:val="21"/>
                <w:highlight w:val="none"/>
                <w:lang w:eastAsia="zh-CN"/>
              </w:rPr>
            </w:pPr>
            <w:r>
              <w:rPr>
                <w:rFonts w:hint="eastAsia"/>
                <w:color w:val="auto"/>
                <w:kern w:val="0"/>
                <w:sz w:val="21"/>
                <w:szCs w:val="21"/>
                <w:highlight w:val="none"/>
                <w:lang w:val="en-US" w:eastAsia="zh-CN"/>
              </w:rPr>
              <w:t>酸性库</w:t>
            </w:r>
          </w:p>
        </w:tc>
        <w:tc>
          <w:tcPr>
            <w:tcW w:w="934" w:type="pct"/>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镀铬起镀液、盐酸、硫酸、</w:t>
            </w:r>
            <w:r>
              <w:rPr>
                <w:rFonts w:hint="default" w:ascii="Times New Roman" w:hAnsi="Times New Roman" w:eastAsia="宋体" w:cs="Times New Roman"/>
                <w:color w:val="auto"/>
                <w:sz w:val="21"/>
                <w:szCs w:val="21"/>
                <w:highlight w:val="none"/>
                <w:lang w:val="en-US" w:eastAsia="zh-CN"/>
              </w:rPr>
              <w:t>脱脂剂（喷淋清洁剂）</w:t>
            </w:r>
            <w:r>
              <w:rPr>
                <w:rFonts w:hint="eastAsia" w:ascii="Times New Roman" w:hAnsi="Times New Roman" w:eastAsia="宋体" w:cs="Times New Roman"/>
                <w:color w:val="auto"/>
                <w:sz w:val="21"/>
                <w:szCs w:val="21"/>
                <w:highlight w:val="none"/>
                <w:lang w:val="en-US" w:eastAsia="zh-CN"/>
              </w:rPr>
              <w:t>等</w:t>
            </w:r>
          </w:p>
        </w:tc>
        <w:tc>
          <w:tcPr>
            <w:tcW w:w="2798" w:type="pct"/>
            <w:vAlign w:val="center"/>
          </w:tcPr>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①镀铬起镀液、</w:t>
            </w:r>
            <w:r>
              <w:rPr>
                <w:rFonts w:hint="default" w:ascii="Times New Roman" w:hAnsi="Times New Roman" w:eastAsia="宋体" w:cs="Times New Roman"/>
                <w:color w:val="auto"/>
                <w:sz w:val="21"/>
                <w:szCs w:val="21"/>
                <w:highlight w:val="none"/>
                <w:lang w:val="en-US" w:eastAsia="zh-CN"/>
              </w:rPr>
              <w:t>脱脂剂（喷淋清洁剂）</w:t>
            </w:r>
            <w:r>
              <w:rPr>
                <w:rFonts w:hint="eastAsia" w:ascii="Times New Roman" w:hAnsi="Times New Roman" w:eastAsia="宋体" w:cs="Times New Roman"/>
                <w:color w:val="auto"/>
                <w:sz w:val="21"/>
                <w:szCs w:val="21"/>
                <w:highlight w:val="none"/>
                <w:lang w:val="en-US" w:eastAsia="zh-CN"/>
              </w:rPr>
              <w:t>等可能会发生泄漏事故，泄漏液如拦截不当会对周围水环境产生影响；</w:t>
            </w:r>
          </w:p>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②硫酸、盐酸</w:t>
            </w:r>
            <w:r>
              <w:rPr>
                <w:rFonts w:hint="default" w:ascii="Times New Roman" w:hAnsi="Times New Roman" w:eastAsia="宋体" w:cs="Times New Roman"/>
                <w:color w:val="auto"/>
                <w:sz w:val="21"/>
                <w:szCs w:val="21"/>
                <w:highlight w:val="none"/>
                <w:lang w:val="en-US" w:eastAsia="zh-CN"/>
              </w:rPr>
              <w:t>均属于酸碱性腐蚀性物质，发生泄漏后，会造成环境污染事故；</w:t>
            </w:r>
          </w:p>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③</w:t>
            </w:r>
            <w:r>
              <w:rPr>
                <w:rFonts w:hint="eastAsia" w:ascii="Times New Roman" w:hAnsi="Times New Roman" w:eastAsia="宋体" w:cs="Times New Roman"/>
                <w:color w:val="auto"/>
                <w:sz w:val="21"/>
                <w:szCs w:val="21"/>
                <w:highlight w:val="none"/>
                <w:lang w:val="en-US" w:eastAsia="zh-CN"/>
              </w:rPr>
              <w:t>镀铬起镀液中含铬，</w:t>
            </w:r>
            <w:r>
              <w:rPr>
                <w:rFonts w:hint="default" w:ascii="Times New Roman" w:hAnsi="Times New Roman" w:eastAsia="宋体" w:cs="Times New Roman"/>
                <w:color w:val="auto"/>
                <w:sz w:val="21"/>
                <w:szCs w:val="21"/>
                <w:highlight w:val="none"/>
                <w:lang w:val="en-US" w:eastAsia="zh-CN"/>
              </w:rPr>
              <w:t>渗漏至地面土壤环境中，富集沉淀，影响土壤pH值、重金属超标，影响土壤环境；</w:t>
            </w:r>
          </w:p>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④硫酸、盐酸</w:t>
            </w:r>
            <w:r>
              <w:rPr>
                <w:rFonts w:hint="eastAsia" w:ascii="Times New Roman" w:hAnsi="Times New Roman" w:eastAsia="宋体" w:cs="Times New Roman"/>
                <w:color w:val="auto"/>
                <w:sz w:val="21"/>
                <w:szCs w:val="21"/>
                <w:highlight w:val="none"/>
                <w:lang w:val="en-US" w:eastAsia="zh-CN"/>
              </w:rPr>
              <w:t>、镀铬起镀液</w:t>
            </w:r>
            <w:r>
              <w:rPr>
                <w:rFonts w:hint="default" w:ascii="Times New Roman" w:hAnsi="Times New Roman" w:eastAsia="宋体" w:cs="Times New Roman"/>
                <w:color w:val="auto"/>
                <w:sz w:val="21"/>
                <w:szCs w:val="21"/>
                <w:highlight w:val="none"/>
                <w:lang w:val="en-US" w:eastAsia="zh-CN"/>
              </w:rPr>
              <w:t>等物质发生泄漏，可能会产生硫酸雾、氯化氢</w:t>
            </w:r>
            <w:r>
              <w:rPr>
                <w:rFonts w:hint="eastAsia" w:ascii="Times New Roman" w:hAnsi="Times New Roman" w:eastAsia="宋体" w:cs="Times New Roman"/>
                <w:color w:val="auto"/>
                <w:sz w:val="21"/>
                <w:szCs w:val="21"/>
                <w:highlight w:val="none"/>
                <w:lang w:val="en-US" w:eastAsia="zh-CN"/>
              </w:rPr>
              <w:t>、铬酸雾</w:t>
            </w:r>
            <w:r>
              <w:rPr>
                <w:rFonts w:hint="default" w:ascii="Times New Roman" w:hAnsi="Times New Roman" w:eastAsia="宋体" w:cs="Times New Roman"/>
                <w:color w:val="auto"/>
                <w:sz w:val="21"/>
                <w:szCs w:val="21"/>
                <w:highlight w:val="none"/>
                <w:lang w:val="en-US" w:eastAsia="zh-CN"/>
              </w:rPr>
              <w:t>等废气进入大气环境中。</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vAlign w:val="center"/>
          </w:tcPr>
          <w:p>
            <w:pPr>
              <w:widowControl/>
              <w:snapToGrid w:val="0"/>
              <w:jc w:val="center"/>
              <w:rPr>
                <w:color w:val="auto"/>
                <w:kern w:val="0"/>
                <w:sz w:val="21"/>
                <w:szCs w:val="21"/>
                <w:highlight w:val="none"/>
              </w:rPr>
            </w:pPr>
          </w:p>
        </w:tc>
        <w:tc>
          <w:tcPr>
            <w:tcW w:w="834" w:type="pct"/>
            <w:vAlign w:val="center"/>
          </w:tcPr>
          <w:p>
            <w:pPr>
              <w:widowControl/>
              <w:snapToGrid w:val="0"/>
              <w:jc w:val="center"/>
              <w:rPr>
                <w:color w:val="auto"/>
                <w:kern w:val="0"/>
                <w:sz w:val="21"/>
                <w:szCs w:val="21"/>
                <w:highlight w:val="none"/>
              </w:rPr>
            </w:pPr>
            <w:r>
              <w:rPr>
                <w:color w:val="auto"/>
                <w:kern w:val="0"/>
                <w:sz w:val="21"/>
                <w:szCs w:val="21"/>
                <w:highlight w:val="none"/>
              </w:rPr>
              <w:t>实验室</w:t>
            </w:r>
          </w:p>
        </w:tc>
        <w:tc>
          <w:tcPr>
            <w:tcW w:w="934" w:type="pct"/>
            <w:vAlign w:val="center"/>
          </w:tcPr>
          <w:p>
            <w:pPr>
              <w:widowControl/>
              <w:snapToGrid w:val="0"/>
              <w:jc w:val="center"/>
              <w:rPr>
                <w:color w:val="auto"/>
                <w:kern w:val="0"/>
                <w:sz w:val="21"/>
                <w:szCs w:val="21"/>
                <w:highlight w:val="none"/>
              </w:rPr>
            </w:pPr>
            <w:r>
              <w:rPr>
                <w:color w:val="auto"/>
                <w:kern w:val="0"/>
                <w:sz w:val="21"/>
                <w:szCs w:val="21"/>
                <w:highlight w:val="none"/>
              </w:rPr>
              <w:t>硫酸、盐酸</w:t>
            </w:r>
          </w:p>
        </w:tc>
        <w:tc>
          <w:tcPr>
            <w:tcW w:w="2798" w:type="pct"/>
            <w:vAlign w:val="center"/>
          </w:tcPr>
          <w:p>
            <w:pPr>
              <w:jc w:val="left"/>
              <w:rPr>
                <w:rFonts w:hint="eastAsia"/>
                <w:color w:val="auto"/>
                <w:kern w:val="0"/>
                <w:sz w:val="21"/>
                <w:szCs w:val="21"/>
                <w:highlight w:val="none"/>
              </w:rPr>
            </w:pPr>
            <w:r>
              <w:rPr>
                <w:color w:val="auto"/>
                <w:kern w:val="0"/>
                <w:sz w:val="21"/>
                <w:szCs w:val="21"/>
                <w:highlight w:val="none"/>
              </w:rPr>
              <w:t>①硫酸、盐酸均为酸性腐蚀性物质，若发生泄漏，则可能发生环境污染事故</w:t>
            </w:r>
            <w:r>
              <w:rPr>
                <w:rFonts w:hint="eastAsia"/>
                <w:color w:val="auto"/>
                <w:kern w:val="0"/>
                <w:sz w:val="21"/>
                <w:szCs w:val="21"/>
                <w:highlight w:val="none"/>
              </w:rPr>
              <w:t>；</w:t>
            </w:r>
          </w:p>
          <w:p>
            <w:pPr>
              <w:jc w:val="left"/>
              <w:rPr>
                <w:color w:val="auto"/>
                <w:kern w:val="0"/>
                <w:sz w:val="21"/>
                <w:szCs w:val="21"/>
                <w:highlight w:val="none"/>
              </w:rPr>
            </w:pPr>
            <w:r>
              <w:rPr>
                <w:rFonts w:hint="eastAsia"/>
                <w:color w:val="auto"/>
                <w:kern w:val="0"/>
                <w:sz w:val="21"/>
                <w:szCs w:val="21"/>
                <w:highlight w:val="none"/>
              </w:rPr>
              <w:t>②</w:t>
            </w:r>
            <w:r>
              <w:rPr>
                <w:color w:val="auto"/>
                <w:kern w:val="0"/>
                <w:sz w:val="21"/>
                <w:szCs w:val="21"/>
                <w:highlight w:val="none"/>
              </w:rPr>
              <w:t>硫酸、盐酸等物质发生泄漏，可能会产生硫酸雾、氯化氢等废气进入大气环境中</w:t>
            </w:r>
            <w:r>
              <w:rPr>
                <w:rFonts w:hint="eastAsia"/>
                <w:color w:val="auto"/>
                <w:kern w:val="0"/>
                <w:sz w:val="21"/>
                <w:szCs w:val="21"/>
                <w:highlight w:val="none"/>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vAlign w:val="center"/>
          </w:tcPr>
          <w:p>
            <w:pPr>
              <w:widowControl/>
              <w:snapToGrid w:val="0"/>
              <w:jc w:val="center"/>
              <w:rPr>
                <w:color w:val="auto"/>
                <w:kern w:val="0"/>
                <w:sz w:val="21"/>
                <w:szCs w:val="21"/>
                <w:highlight w:val="none"/>
              </w:rPr>
            </w:pPr>
          </w:p>
        </w:tc>
        <w:tc>
          <w:tcPr>
            <w:tcW w:w="834" w:type="pct"/>
            <w:vAlign w:val="center"/>
          </w:tcPr>
          <w:p>
            <w:pPr>
              <w:widowControl/>
              <w:snapToGrid w:val="0"/>
              <w:jc w:val="center"/>
              <w:rPr>
                <w:color w:val="auto"/>
                <w:kern w:val="0"/>
                <w:sz w:val="21"/>
                <w:szCs w:val="21"/>
                <w:highlight w:val="none"/>
              </w:rPr>
            </w:pPr>
            <w:r>
              <w:rPr>
                <w:color w:val="auto"/>
                <w:kern w:val="0"/>
                <w:sz w:val="21"/>
                <w:szCs w:val="21"/>
                <w:highlight w:val="none"/>
              </w:rPr>
              <w:t>危废仓库</w:t>
            </w:r>
          </w:p>
        </w:tc>
        <w:tc>
          <w:tcPr>
            <w:tcW w:w="934" w:type="pct"/>
            <w:vAlign w:val="center"/>
          </w:tcPr>
          <w:p>
            <w:pPr>
              <w:widowControl/>
              <w:snapToGrid w:val="0"/>
              <w:jc w:val="center"/>
              <w:rPr>
                <w:rFonts w:hint="default" w:eastAsia="宋体"/>
                <w:color w:val="auto"/>
                <w:kern w:val="0"/>
                <w:sz w:val="21"/>
                <w:szCs w:val="21"/>
                <w:highlight w:val="none"/>
                <w:lang w:val="en-US" w:eastAsia="zh-CN"/>
              </w:rPr>
            </w:pPr>
            <w:r>
              <w:rPr>
                <w:rFonts w:hint="eastAsia"/>
                <w:color w:val="auto"/>
                <w:kern w:val="0"/>
                <w:sz w:val="21"/>
                <w:szCs w:val="21"/>
                <w:highlight w:val="none"/>
                <w:lang w:val="en-US" w:eastAsia="zh-CN"/>
              </w:rPr>
              <w:t>废油、含铬废液等液态危险废物</w:t>
            </w:r>
          </w:p>
        </w:tc>
        <w:tc>
          <w:tcPr>
            <w:tcW w:w="2798" w:type="pct"/>
            <w:vAlign w:val="center"/>
          </w:tcPr>
          <w:p>
            <w:pPr>
              <w:jc w:val="left"/>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 1 \* GB3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①</w:t>
            </w:r>
            <w:r>
              <w:rPr>
                <w:rFonts w:hint="default" w:ascii="Times New Roman" w:hAnsi="Times New Roman" w:eastAsia="宋体" w:cs="Times New Roman"/>
                <w:color w:val="auto"/>
                <w:kern w:val="0"/>
                <w:sz w:val="21"/>
                <w:szCs w:val="21"/>
                <w:highlight w:val="none"/>
                <w:lang w:val="en-US" w:eastAsia="zh-CN"/>
              </w:rPr>
              <w:fldChar w:fldCharType="end"/>
            </w:r>
            <w:r>
              <w:rPr>
                <w:rFonts w:hint="eastAsia" w:ascii="Times New Roman" w:hAnsi="Times New Roman" w:eastAsia="宋体" w:cs="Times New Roman"/>
                <w:color w:val="auto"/>
                <w:kern w:val="0"/>
                <w:sz w:val="21"/>
                <w:szCs w:val="21"/>
                <w:highlight w:val="none"/>
                <w:lang w:val="en-US" w:eastAsia="zh-CN"/>
              </w:rPr>
              <w:t>废油、含铬废液等液态危险废物</w:t>
            </w:r>
            <w:r>
              <w:rPr>
                <w:rFonts w:ascii="Times New Roman" w:hAnsi="Times New Roman" w:eastAsia="宋体" w:cs="Times New Roman"/>
                <w:color w:val="auto"/>
                <w:kern w:val="0"/>
                <w:sz w:val="21"/>
                <w:szCs w:val="21"/>
                <w:highlight w:val="none"/>
              </w:rPr>
              <w:t>泄漏会导致附近土壤、地下水污染。</w:t>
            </w:r>
          </w:p>
          <w:p>
            <w:pPr>
              <w:jc w:val="left"/>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②</w:t>
            </w:r>
            <w:r>
              <w:rPr>
                <w:rFonts w:hint="eastAsia" w:ascii="Times New Roman" w:hAnsi="Times New Roman" w:eastAsia="宋体" w:cs="Times New Roman"/>
                <w:color w:val="auto"/>
                <w:kern w:val="0"/>
                <w:sz w:val="21"/>
                <w:szCs w:val="21"/>
                <w:highlight w:val="none"/>
              </w:rPr>
              <w:t>存放的废油遇明火</w:t>
            </w:r>
            <w:r>
              <w:rPr>
                <w:rFonts w:ascii="Times New Roman" w:hAnsi="Times New Roman" w:eastAsia="宋体" w:cs="Times New Roman"/>
                <w:color w:val="auto"/>
                <w:kern w:val="0"/>
                <w:sz w:val="21"/>
                <w:szCs w:val="21"/>
                <w:highlight w:val="none"/>
              </w:rPr>
              <w:t>，导致火灾事故；</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33" w:type="pct"/>
            <w:vMerge w:val="continue"/>
            <w:vAlign w:val="center"/>
          </w:tcPr>
          <w:p>
            <w:pPr>
              <w:widowControl/>
              <w:snapToGrid w:val="0"/>
              <w:jc w:val="center"/>
              <w:rPr>
                <w:color w:val="auto"/>
                <w:kern w:val="0"/>
                <w:sz w:val="21"/>
                <w:szCs w:val="21"/>
                <w:highlight w:val="none"/>
              </w:rPr>
            </w:pPr>
          </w:p>
        </w:tc>
        <w:tc>
          <w:tcPr>
            <w:tcW w:w="834" w:type="pct"/>
            <w:vAlign w:val="center"/>
          </w:tcPr>
          <w:p>
            <w:pPr>
              <w:widowControl/>
              <w:snapToGrid w:val="0"/>
              <w:jc w:val="center"/>
              <w:rPr>
                <w:rFonts w:hint="eastAsia" w:eastAsia="宋体"/>
                <w:color w:val="auto"/>
                <w:kern w:val="0"/>
                <w:sz w:val="21"/>
                <w:szCs w:val="21"/>
                <w:highlight w:val="none"/>
                <w:lang w:eastAsia="zh-CN"/>
              </w:rPr>
            </w:pPr>
            <w:r>
              <w:rPr>
                <w:color w:val="auto"/>
                <w:kern w:val="0"/>
                <w:sz w:val="21"/>
                <w:szCs w:val="21"/>
                <w:highlight w:val="none"/>
              </w:rPr>
              <w:t>污水处理</w:t>
            </w:r>
            <w:r>
              <w:rPr>
                <w:rFonts w:hint="eastAsia"/>
                <w:color w:val="auto"/>
                <w:kern w:val="0"/>
                <w:sz w:val="21"/>
                <w:szCs w:val="21"/>
                <w:highlight w:val="none"/>
                <w:lang w:val="en-US" w:eastAsia="zh-CN"/>
              </w:rPr>
              <w:t>设施</w:t>
            </w:r>
          </w:p>
        </w:tc>
        <w:tc>
          <w:tcPr>
            <w:tcW w:w="934" w:type="pct"/>
            <w:vAlign w:val="center"/>
          </w:tcPr>
          <w:p>
            <w:pPr>
              <w:widowControl/>
              <w:snapToGrid w:val="0"/>
              <w:jc w:val="center"/>
              <w:rPr>
                <w:color w:val="auto"/>
                <w:kern w:val="0"/>
                <w:sz w:val="21"/>
                <w:szCs w:val="21"/>
                <w:highlight w:val="none"/>
              </w:rPr>
            </w:pPr>
            <w:r>
              <w:rPr>
                <w:rFonts w:hint="eastAsia"/>
                <w:color w:val="auto"/>
                <w:kern w:val="0"/>
                <w:sz w:val="21"/>
                <w:szCs w:val="21"/>
                <w:highlight w:val="none"/>
                <w:lang w:val="en-US" w:eastAsia="zh-CN"/>
              </w:rPr>
              <w:t>生产</w:t>
            </w:r>
            <w:r>
              <w:rPr>
                <w:color w:val="auto"/>
                <w:kern w:val="0"/>
                <w:sz w:val="21"/>
                <w:szCs w:val="21"/>
                <w:highlight w:val="none"/>
              </w:rPr>
              <w:t>废水</w:t>
            </w:r>
          </w:p>
        </w:tc>
        <w:tc>
          <w:tcPr>
            <w:tcW w:w="2798" w:type="pct"/>
            <w:vAlign w:val="center"/>
          </w:tcPr>
          <w:p>
            <w:pPr>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 1 \* GB3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①</w:t>
            </w:r>
            <w:r>
              <w:rPr>
                <w:rFonts w:hint="default" w:ascii="Times New Roman" w:hAnsi="Times New Roman" w:eastAsia="宋体" w:cs="Times New Roman"/>
                <w:color w:val="auto"/>
                <w:kern w:val="0"/>
                <w:sz w:val="21"/>
                <w:szCs w:val="21"/>
                <w:highlight w:val="none"/>
                <w:lang w:val="en-US" w:eastAsia="zh-CN"/>
              </w:rPr>
              <w:fldChar w:fldCharType="end"/>
            </w:r>
            <w:r>
              <w:rPr>
                <w:rFonts w:hint="default" w:ascii="Times New Roman" w:hAnsi="Times New Roman" w:eastAsia="宋体" w:cs="Times New Roman"/>
                <w:color w:val="auto"/>
                <w:kern w:val="0"/>
                <w:sz w:val="21"/>
                <w:szCs w:val="21"/>
                <w:highlight w:val="none"/>
                <w:lang w:val="en-US" w:eastAsia="zh-CN"/>
              </w:rPr>
              <w:t>含重金属废水泄漏，从雨水市政管网排入附近河流，影响周围水环境。</w:t>
            </w:r>
          </w:p>
          <w:p>
            <w:pPr>
              <w:jc w:val="left"/>
              <w:rPr>
                <w:rFonts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②</w:t>
            </w:r>
            <w:r>
              <w:rPr>
                <w:rFonts w:hint="eastAsia" w:ascii="Times New Roman" w:hAnsi="Times New Roman" w:eastAsia="宋体" w:cs="Times New Roman"/>
                <w:color w:val="auto"/>
                <w:kern w:val="0"/>
                <w:sz w:val="21"/>
                <w:szCs w:val="21"/>
                <w:highlight w:val="none"/>
                <w:lang w:val="en-US" w:eastAsia="zh-CN"/>
              </w:rPr>
              <w:t>含重金属</w:t>
            </w:r>
            <w:r>
              <w:rPr>
                <w:rFonts w:hint="default" w:ascii="Times New Roman" w:hAnsi="Times New Roman" w:eastAsia="宋体" w:cs="Times New Roman"/>
                <w:color w:val="auto"/>
                <w:kern w:val="0"/>
                <w:sz w:val="21"/>
                <w:szCs w:val="21"/>
                <w:highlight w:val="none"/>
                <w:lang w:val="en-US" w:eastAsia="zh-CN"/>
              </w:rPr>
              <w:t>废水</w:t>
            </w:r>
            <w:r>
              <w:rPr>
                <w:rFonts w:hint="eastAsia" w:ascii="Times New Roman" w:hAnsi="Times New Roman" w:eastAsia="宋体" w:cs="Times New Roman"/>
                <w:color w:val="auto"/>
                <w:kern w:val="0"/>
                <w:sz w:val="21"/>
                <w:szCs w:val="21"/>
                <w:highlight w:val="none"/>
                <w:lang w:val="en-US" w:eastAsia="zh-CN"/>
              </w:rPr>
              <w:t>泄漏</w:t>
            </w:r>
            <w:r>
              <w:rPr>
                <w:rFonts w:hint="default" w:ascii="Times New Roman" w:hAnsi="Times New Roman" w:eastAsia="宋体" w:cs="Times New Roman"/>
                <w:color w:val="auto"/>
                <w:kern w:val="0"/>
                <w:sz w:val="21"/>
                <w:szCs w:val="21"/>
                <w:highlight w:val="none"/>
                <w:lang w:val="en-US" w:eastAsia="zh-CN"/>
              </w:rPr>
              <w:t>后接触土壤表面，渗漏至土壤环境中，影响土壤环境。</w:t>
            </w:r>
          </w:p>
        </w:tc>
      </w:tr>
      <w:bookmarkEnd w:id="229"/>
    </w:tbl>
    <w:p>
      <w:pPr>
        <w:pStyle w:val="5"/>
        <w:rPr>
          <w:color w:val="auto"/>
          <w:highlight w:val="none"/>
        </w:rPr>
      </w:pPr>
      <w:bookmarkStart w:id="230" w:name="_Toc14960"/>
      <w:r>
        <w:rPr>
          <w:color w:val="auto"/>
          <w:highlight w:val="none"/>
        </w:rPr>
        <w:t>1.3 应急组织机构</w:t>
      </w:r>
      <w:bookmarkEnd w:id="230"/>
    </w:p>
    <w:p>
      <w:pPr>
        <w:adjustRightInd w:val="0"/>
        <w:snapToGrid w:val="0"/>
        <w:spacing w:line="360" w:lineRule="auto"/>
        <w:ind w:firstLine="480" w:firstLineChars="200"/>
        <w:rPr>
          <w:color w:val="auto"/>
          <w:highlight w:val="none"/>
        </w:rPr>
      </w:pPr>
      <w:r>
        <w:rPr>
          <w:color w:val="auto"/>
          <w:highlight w:val="none"/>
        </w:rPr>
        <w:t>应急处置组见表1.2。</w:t>
      </w:r>
    </w:p>
    <w:p>
      <w:pPr>
        <w:adjustRightInd w:val="0"/>
        <w:snapToGrid w:val="0"/>
        <w:jc w:val="center"/>
        <w:rPr>
          <w:b/>
          <w:bCs/>
          <w:color w:val="auto"/>
          <w:highlight w:val="none"/>
        </w:rPr>
      </w:pPr>
      <w:r>
        <w:rPr>
          <w:b/>
          <w:bCs/>
          <w:color w:val="auto"/>
          <w:highlight w:val="none"/>
        </w:rPr>
        <w:t>表1.2  应急处置组应急救援队伍</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317"/>
        <w:gridCol w:w="1326"/>
        <w:gridCol w:w="2547"/>
        <w:gridCol w:w="162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8" w:type="pct"/>
            <w:tcBorders>
              <w:tl2br w:val="nil"/>
              <w:tr2bl w:val="nil"/>
            </w:tcBorders>
            <w:noWrap/>
            <w:vAlign w:val="center"/>
          </w:tcPr>
          <w:p>
            <w:pPr>
              <w:adjustRightInd w:val="0"/>
              <w:snapToGrid w:val="0"/>
              <w:jc w:val="center"/>
              <w:rPr>
                <w:b/>
                <w:color w:val="auto"/>
                <w:sz w:val="21"/>
                <w:szCs w:val="21"/>
                <w:highlight w:val="none"/>
              </w:rPr>
            </w:pPr>
            <w:r>
              <w:rPr>
                <w:b/>
                <w:color w:val="auto"/>
                <w:sz w:val="21"/>
                <w:szCs w:val="21"/>
                <w:highlight w:val="none"/>
              </w:rPr>
              <w:t>序号</w:t>
            </w:r>
          </w:p>
        </w:tc>
        <w:tc>
          <w:tcPr>
            <w:tcW w:w="1359" w:type="pct"/>
            <w:tcBorders>
              <w:tl2br w:val="nil"/>
              <w:tr2bl w:val="nil"/>
            </w:tcBorders>
            <w:noWrap/>
            <w:vAlign w:val="center"/>
          </w:tcPr>
          <w:p>
            <w:pPr>
              <w:adjustRightInd w:val="0"/>
              <w:snapToGrid w:val="0"/>
              <w:jc w:val="center"/>
              <w:rPr>
                <w:b/>
                <w:color w:val="auto"/>
                <w:sz w:val="21"/>
                <w:szCs w:val="21"/>
                <w:highlight w:val="none"/>
              </w:rPr>
            </w:pPr>
            <w:r>
              <w:rPr>
                <w:b/>
                <w:color w:val="auto"/>
                <w:sz w:val="21"/>
                <w:szCs w:val="21"/>
                <w:highlight w:val="none"/>
              </w:rPr>
              <w:t>职务</w:t>
            </w:r>
          </w:p>
        </w:tc>
        <w:tc>
          <w:tcPr>
            <w:tcW w:w="778" w:type="pct"/>
            <w:tcBorders>
              <w:tl2br w:val="nil"/>
              <w:tr2bl w:val="nil"/>
            </w:tcBorders>
            <w:noWrap/>
            <w:vAlign w:val="center"/>
          </w:tcPr>
          <w:p>
            <w:pPr>
              <w:adjustRightInd w:val="0"/>
              <w:snapToGrid w:val="0"/>
              <w:jc w:val="center"/>
              <w:rPr>
                <w:b/>
                <w:color w:val="auto"/>
                <w:sz w:val="21"/>
                <w:szCs w:val="21"/>
                <w:highlight w:val="none"/>
              </w:rPr>
            </w:pPr>
            <w:r>
              <w:rPr>
                <w:b/>
                <w:color w:val="auto"/>
                <w:sz w:val="21"/>
                <w:szCs w:val="21"/>
                <w:highlight w:val="none"/>
              </w:rPr>
              <w:t>姓名</w:t>
            </w:r>
          </w:p>
        </w:tc>
        <w:tc>
          <w:tcPr>
            <w:tcW w:w="1494" w:type="pct"/>
            <w:tcBorders>
              <w:tl2br w:val="nil"/>
              <w:tr2bl w:val="nil"/>
            </w:tcBorders>
            <w:noWrap/>
            <w:vAlign w:val="center"/>
          </w:tcPr>
          <w:p>
            <w:pPr>
              <w:adjustRightInd w:val="0"/>
              <w:snapToGrid w:val="0"/>
              <w:jc w:val="center"/>
              <w:rPr>
                <w:b/>
                <w:color w:val="auto"/>
                <w:sz w:val="21"/>
                <w:szCs w:val="21"/>
                <w:highlight w:val="none"/>
              </w:rPr>
            </w:pPr>
            <w:r>
              <w:rPr>
                <w:b/>
                <w:color w:val="auto"/>
                <w:sz w:val="21"/>
                <w:szCs w:val="21"/>
                <w:highlight w:val="none"/>
              </w:rPr>
              <w:t>职位</w:t>
            </w:r>
          </w:p>
        </w:tc>
        <w:tc>
          <w:tcPr>
            <w:tcW w:w="778" w:type="pct"/>
            <w:tcBorders>
              <w:tl2br w:val="nil"/>
              <w:tr2bl w:val="nil"/>
            </w:tcBorders>
            <w:noWrap/>
            <w:vAlign w:val="center"/>
          </w:tcPr>
          <w:p>
            <w:pPr>
              <w:adjustRightInd w:val="0"/>
              <w:snapToGrid w:val="0"/>
              <w:jc w:val="center"/>
              <w:rPr>
                <w:b/>
                <w:color w:val="auto"/>
                <w:sz w:val="21"/>
                <w:szCs w:val="21"/>
                <w:highlight w:val="none"/>
              </w:rPr>
            </w:pPr>
            <w:r>
              <w:rPr>
                <w:b/>
                <w:color w:val="auto"/>
                <w:sz w:val="21"/>
                <w:szCs w:val="21"/>
                <w:highlight w:val="none"/>
              </w:rPr>
              <w:t>联系方式(手机)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tcBorders>
              <w:tl2br w:val="nil"/>
              <w:tr2bl w:val="nil"/>
            </w:tcBorders>
            <w:noWrap/>
            <w:vAlign w:val="center"/>
          </w:tcPr>
          <w:p>
            <w:pPr>
              <w:adjustRightInd w:val="0"/>
              <w:snapToGrid w:val="0"/>
              <w:jc w:val="center"/>
              <w:rPr>
                <w:color w:val="auto"/>
                <w:sz w:val="21"/>
                <w:szCs w:val="21"/>
                <w:highlight w:val="none"/>
              </w:rPr>
            </w:pPr>
            <w:r>
              <w:rPr>
                <w:color w:val="auto"/>
                <w:sz w:val="21"/>
                <w:szCs w:val="21"/>
                <w:highlight w:val="none"/>
              </w:rPr>
              <w:t>1</w:t>
            </w:r>
          </w:p>
        </w:tc>
        <w:tc>
          <w:tcPr>
            <w:tcW w:w="2317" w:type="dxa"/>
            <w:tcBorders>
              <w:tl2br w:val="nil"/>
              <w:tr2bl w:val="nil"/>
            </w:tcBorders>
            <w:noWrap/>
            <w:vAlign w:val="center"/>
          </w:tcPr>
          <w:p>
            <w:pPr>
              <w:adjustRightInd w:val="0"/>
              <w:snapToGrid w:val="0"/>
              <w:spacing w:before="100" w:beforeAutospacing="1" w:after="100" w:afterAutospacing="1"/>
              <w:jc w:val="center"/>
              <w:rPr>
                <w:color w:val="auto"/>
                <w:sz w:val="21"/>
                <w:szCs w:val="21"/>
                <w:highlight w:val="none"/>
              </w:rPr>
            </w:pPr>
            <w:r>
              <w:rPr>
                <w:rFonts w:hint="default" w:ascii="Times New Roman" w:hAnsi="Times New Roman" w:cs="Times New Roman"/>
                <w:color w:val="auto"/>
                <w:sz w:val="21"/>
                <w:szCs w:val="21"/>
                <w:highlight w:val="none"/>
              </w:rPr>
              <w:t>事故处理组</w:t>
            </w:r>
          </w:p>
        </w:tc>
        <w:tc>
          <w:tcPr>
            <w:tcW w:w="1326" w:type="dxa"/>
            <w:tcBorders>
              <w:tl2br w:val="nil"/>
              <w:tr2bl w:val="nil"/>
            </w:tcBorders>
            <w:noWrap/>
            <w:vAlign w:val="center"/>
          </w:tcPr>
          <w:p>
            <w:pPr>
              <w:adjustRightInd w:val="0"/>
              <w:snapToGrid w:val="0"/>
              <w:spacing w:before="100" w:beforeAutospacing="1" w:after="100" w:afterAutospacing="1"/>
              <w:jc w:val="center"/>
              <w:rPr>
                <w:color w:val="auto"/>
                <w:sz w:val="21"/>
                <w:szCs w:val="21"/>
                <w:highlight w:val="none"/>
              </w:rPr>
            </w:pPr>
            <w:r>
              <w:rPr>
                <w:rFonts w:hint="default" w:ascii="Times New Roman" w:hAnsi="Times New Roman" w:cs="Times New Roman"/>
                <w:color w:val="auto"/>
                <w:sz w:val="21"/>
                <w:szCs w:val="21"/>
                <w:highlight w:val="none"/>
              </w:rPr>
              <w:t>付涛</w:t>
            </w:r>
          </w:p>
        </w:tc>
        <w:tc>
          <w:tcPr>
            <w:tcW w:w="2547" w:type="dxa"/>
            <w:tcBorders>
              <w:tl2br w:val="nil"/>
              <w:tr2bl w:val="nil"/>
            </w:tcBorders>
            <w:noWrap/>
            <w:vAlign w:val="center"/>
          </w:tcPr>
          <w:p>
            <w:pPr>
              <w:adjustRightInd w:val="0"/>
              <w:snapToGrid w:val="0"/>
              <w:spacing w:before="100" w:beforeAutospacing="1" w:after="100" w:afterAutospacing="1"/>
              <w:jc w:val="center"/>
              <w:rPr>
                <w:color w:val="auto"/>
                <w:sz w:val="21"/>
                <w:szCs w:val="21"/>
                <w:highlight w:val="none"/>
              </w:rPr>
            </w:pPr>
            <w:r>
              <w:rPr>
                <w:rFonts w:hint="default" w:ascii="Times New Roman" w:hAnsi="Times New Roman" w:cs="Times New Roman"/>
                <w:color w:val="auto"/>
                <w:sz w:val="21"/>
                <w:szCs w:val="21"/>
                <w:highlight w:val="none"/>
              </w:rPr>
              <w:t>生产科长</w:t>
            </w:r>
          </w:p>
        </w:tc>
        <w:tc>
          <w:tcPr>
            <w:tcW w:w="1327" w:type="dxa"/>
            <w:tcBorders>
              <w:tl2br w:val="nil"/>
              <w:tr2bl w:val="nil"/>
            </w:tcBorders>
            <w:noWrap/>
            <w:vAlign w:val="center"/>
          </w:tcPr>
          <w:p>
            <w:pPr>
              <w:adjustRightInd w:val="0"/>
              <w:snapToGrid w:val="0"/>
              <w:spacing w:before="100" w:beforeAutospacing="1" w:after="100" w:afterAutospacing="1"/>
              <w:jc w:val="center"/>
              <w:rPr>
                <w:color w:val="auto"/>
                <w:sz w:val="21"/>
                <w:szCs w:val="21"/>
                <w:highlight w:val="none"/>
              </w:rPr>
            </w:pPr>
            <w:r>
              <w:rPr>
                <w:rFonts w:hint="default" w:ascii="Times New Roman" w:hAnsi="Times New Roman" w:cs="Times New Roman"/>
                <w:color w:val="auto"/>
                <w:sz w:val="21"/>
                <w:szCs w:val="21"/>
                <w:highlight w:val="none"/>
              </w:rPr>
              <w:t>18861865906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tcBorders>
              <w:tl2br w:val="nil"/>
              <w:tr2bl w:val="nil"/>
            </w:tcBorders>
            <w:noWrap/>
            <w:vAlign w:val="center"/>
          </w:tcPr>
          <w:p>
            <w:pPr>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2317" w:type="dxa"/>
            <w:tcBorders>
              <w:tl2br w:val="nil"/>
              <w:tr2bl w:val="nil"/>
            </w:tcBorders>
            <w:noWrap/>
            <w:vAlign w:val="center"/>
          </w:tcPr>
          <w:p>
            <w:pPr>
              <w:adjustRightInd w:val="0"/>
              <w:snapToGrid w:val="0"/>
              <w:jc w:val="center"/>
              <w:rPr>
                <w:color w:val="auto"/>
                <w:sz w:val="21"/>
                <w:szCs w:val="21"/>
                <w:highlight w:val="none"/>
              </w:rPr>
            </w:pPr>
            <w:r>
              <w:rPr>
                <w:rFonts w:hint="default" w:ascii="Times New Roman" w:hAnsi="Times New Roman" w:cs="Times New Roman"/>
                <w:color w:val="auto"/>
                <w:sz w:val="21"/>
                <w:szCs w:val="21"/>
                <w:highlight w:val="none"/>
              </w:rPr>
              <w:t>成员</w:t>
            </w:r>
          </w:p>
        </w:tc>
        <w:tc>
          <w:tcPr>
            <w:tcW w:w="1326" w:type="dxa"/>
            <w:tcBorders>
              <w:tl2br w:val="nil"/>
              <w:tr2bl w:val="nil"/>
            </w:tcBorders>
            <w:noWrap/>
            <w:vAlign w:val="center"/>
          </w:tcPr>
          <w:p>
            <w:pPr>
              <w:adjustRightInd w:val="0"/>
              <w:snapToGrid w:val="0"/>
              <w:jc w:val="center"/>
              <w:rPr>
                <w:rFonts w:hint="eastAsia"/>
                <w:color w:val="auto"/>
                <w:sz w:val="21"/>
                <w:szCs w:val="21"/>
                <w:highlight w:val="none"/>
              </w:rPr>
            </w:pPr>
            <w:r>
              <w:rPr>
                <w:rFonts w:hint="default" w:ascii="Times New Roman" w:hAnsi="Times New Roman" w:cs="Times New Roman"/>
                <w:color w:val="auto"/>
                <w:sz w:val="21"/>
                <w:szCs w:val="21"/>
                <w:highlight w:val="none"/>
              </w:rPr>
              <w:t>王佳银</w:t>
            </w:r>
          </w:p>
        </w:tc>
        <w:tc>
          <w:tcPr>
            <w:tcW w:w="2547" w:type="dxa"/>
            <w:tcBorders>
              <w:tl2br w:val="nil"/>
              <w:tr2bl w:val="nil"/>
            </w:tcBorders>
            <w:noWrap/>
            <w:vAlign w:val="center"/>
          </w:tcPr>
          <w:p>
            <w:pPr>
              <w:adjustRightInd w:val="0"/>
              <w:snapToGrid w:val="0"/>
              <w:jc w:val="center"/>
              <w:rPr>
                <w:color w:val="auto"/>
                <w:kern w:val="0"/>
                <w:sz w:val="21"/>
                <w:szCs w:val="21"/>
                <w:highlight w:val="none"/>
              </w:rPr>
            </w:pPr>
            <w:r>
              <w:rPr>
                <w:rFonts w:hint="default" w:ascii="Times New Roman" w:hAnsi="Times New Roman" w:cs="Times New Roman"/>
                <w:color w:val="auto"/>
                <w:sz w:val="21"/>
                <w:szCs w:val="21"/>
                <w:highlight w:val="none"/>
              </w:rPr>
              <w:t>物流组长</w:t>
            </w:r>
          </w:p>
        </w:tc>
        <w:tc>
          <w:tcPr>
            <w:tcW w:w="1327" w:type="dxa"/>
            <w:tcBorders>
              <w:tl2br w:val="nil"/>
              <w:tr2bl w:val="nil"/>
            </w:tcBorders>
            <w:noWrap/>
            <w:vAlign w:val="center"/>
          </w:tcPr>
          <w:p>
            <w:pPr>
              <w:adjustRightInd w:val="0"/>
              <w:snapToGrid w:val="0"/>
              <w:jc w:val="center"/>
              <w:rPr>
                <w:rFonts w:hint="eastAsia"/>
                <w:color w:val="auto"/>
                <w:kern w:val="0"/>
                <w:sz w:val="21"/>
                <w:szCs w:val="21"/>
                <w:highlight w:val="none"/>
              </w:rPr>
            </w:pPr>
            <w:r>
              <w:rPr>
                <w:rFonts w:hint="default" w:ascii="Times New Roman" w:hAnsi="Times New Roman" w:cs="Times New Roman"/>
                <w:color w:val="auto"/>
                <w:sz w:val="21"/>
                <w:szCs w:val="21"/>
                <w:highlight w:val="none"/>
              </w:rPr>
              <w:t>18852474726</w:t>
            </w:r>
          </w:p>
        </w:tc>
      </w:tr>
    </w:tbl>
    <w:p>
      <w:pPr>
        <w:spacing w:line="360" w:lineRule="auto"/>
        <w:ind w:firstLine="480" w:firstLineChars="200"/>
        <w:rPr>
          <w:color w:val="auto"/>
          <w:highlight w:val="none"/>
        </w:rPr>
      </w:pPr>
      <w:r>
        <w:rPr>
          <w:color w:val="auto"/>
          <w:highlight w:val="none"/>
        </w:rPr>
        <w:t>主要职责如下：</w:t>
      </w:r>
    </w:p>
    <w:p>
      <w:pPr>
        <w:adjustRightInd w:val="0"/>
        <w:snapToGrid w:val="0"/>
        <w:spacing w:line="360" w:lineRule="auto"/>
        <w:ind w:firstLine="480" w:firstLineChars="200"/>
        <w:rPr>
          <w:color w:val="auto"/>
          <w:highlight w:val="none"/>
        </w:rPr>
      </w:pPr>
      <w:r>
        <w:rPr>
          <w:color w:val="auto"/>
          <w:highlight w:val="none"/>
        </w:rPr>
        <w:t>（1）对事故进行处置，包括对少量物料泄漏进行堵漏等。</w:t>
      </w:r>
    </w:p>
    <w:p>
      <w:pPr>
        <w:adjustRightInd w:val="0"/>
        <w:snapToGrid w:val="0"/>
        <w:spacing w:line="360" w:lineRule="auto"/>
        <w:ind w:firstLine="480" w:firstLineChars="200"/>
        <w:rPr>
          <w:color w:val="auto"/>
          <w:highlight w:val="none"/>
        </w:rPr>
      </w:pPr>
      <w:r>
        <w:rPr>
          <w:color w:val="auto"/>
          <w:highlight w:val="none"/>
        </w:rPr>
        <w:t>（2）根据突发事故污染物的扩散速度和事故发生地的气象和地域特点，确定污染物扩散范围；</w:t>
      </w:r>
    </w:p>
    <w:p>
      <w:pPr>
        <w:adjustRightInd w:val="0"/>
        <w:snapToGrid w:val="0"/>
        <w:spacing w:line="360" w:lineRule="auto"/>
        <w:ind w:firstLine="480" w:firstLineChars="200"/>
        <w:rPr>
          <w:color w:val="auto"/>
          <w:highlight w:val="none"/>
        </w:rPr>
      </w:pPr>
      <w:r>
        <w:rPr>
          <w:color w:val="auto"/>
          <w:highlight w:val="none"/>
        </w:rPr>
        <w:t>（3）根据事故现场采样结果，综合分析环境事故污染变化趋势，并通过专家咨询和讨论的方式，预测并报告环境事故的发展情况及污染物的变化情况，作为环境事故应急决策的依据；</w:t>
      </w:r>
    </w:p>
    <w:p>
      <w:pPr>
        <w:adjustRightInd w:val="0"/>
        <w:snapToGrid w:val="0"/>
        <w:spacing w:line="360" w:lineRule="auto"/>
        <w:ind w:firstLine="480" w:firstLineChars="200"/>
        <w:rPr>
          <w:color w:val="auto"/>
          <w:highlight w:val="none"/>
        </w:rPr>
      </w:pPr>
      <w:r>
        <w:rPr>
          <w:color w:val="auto"/>
          <w:highlight w:val="none"/>
          <w:lang w:val="zh-CN"/>
        </w:rPr>
        <w:t>（</w:t>
      </w:r>
      <w:r>
        <w:rPr>
          <w:color w:val="auto"/>
          <w:highlight w:val="none"/>
        </w:rPr>
        <w:t>4</w:t>
      </w:r>
      <w:r>
        <w:rPr>
          <w:color w:val="auto"/>
          <w:highlight w:val="none"/>
          <w:lang w:val="zh-CN"/>
        </w:rPr>
        <w:t>）</w:t>
      </w:r>
      <w:r>
        <w:rPr>
          <w:color w:val="auto"/>
          <w:highlight w:val="none"/>
        </w:rPr>
        <w:t>协助领导小组做好受事故影响人员的善后工作。</w:t>
      </w:r>
    </w:p>
    <w:p>
      <w:pPr>
        <w:spacing w:line="360" w:lineRule="auto"/>
        <w:ind w:firstLine="480" w:firstLineChars="200"/>
        <w:rPr>
          <w:color w:val="auto"/>
          <w:highlight w:val="none"/>
        </w:rPr>
      </w:pPr>
      <w:r>
        <w:rPr>
          <w:color w:val="auto"/>
          <w:highlight w:val="none"/>
        </w:rPr>
        <w:t>若事态超出小组控制范围，可请求厂内增援，公司应急救援指挥部组织名单见表1.3。</w:t>
      </w:r>
    </w:p>
    <w:p>
      <w:pPr>
        <w:jc w:val="center"/>
        <w:rPr>
          <w:b/>
          <w:bCs/>
          <w:color w:val="auto"/>
          <w:highlight w:val="none"/>
        </w:rPr>
      </w:pPr>
      <w:bookmarkStart w:id="231" w:name="_Toc25144"/>
      <w:r>
        <w:rPr>
          <w:rFonts w:hint="eastAsia"/>
          <w:b/>
          <w:color w:val="auto"/>
          <w:highlight w:val="none"/>
        </w:rPr>
        <w:t xml:space="preserve">  </w:t>
      </w:r>
      <w:r>
        <w:rPr>
          <w:b/>
          <w:bCs/>
          <w:color w:val="auto"/>
          <w:highlight w:val="none"/>
        </w:rPr>
        <w:t>表</w:t>
      </w:r>
      <w:r>
        <w:rPr>
          <w:rFonts w:hint="eastAsia"/>
          <w:b/>
          <w:bCs/>
          <w:color w:val="auto"/>
          <w:highlight w:val="none"/>
        </w:rPr>
        <w:t>1.3</w:t>
      </w:r>
      <w:r>
        <w:rPr>
          <w:b/>
          <w:bCs/>
          <w:color w:val="auto"/>
          <w:highlight w:val="none"/>
        </w:rPr>
        <w:t xml:space="preserve">  公司应急救援指挥部组织名单</w:t>
      </w:r>
    </w:p>
    <w:bookmarkEnd w:id="231"/>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650"/>
        <w:gridCol w:w="1260"/>
        <w:gridCol w:w="2586"/>
        <w:gridCol w:w="2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422" w:hRule="atLeast"/>
        </w:trPr>
        <w:tc>
          <w:tcPr>
            <w:tcW w:w="390"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968"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职务</w:t>
            </w:r>
          </w:p>
        </w:tc>
        <w:tc>
          <w:tcPr>
            <w:tcW w:w="739"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姓名</w:t>
            </w:r>
          </w:p>
        </w:tc>
        <w:tc>
          <w:tcPr>
            <w:tcW w:w="1517"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职位</w:t>
            </w:r>
          </w:p>
        </w:tc>
        <w:tc>
          <w:tcPr>
            <w:tcW w:w="1383"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联系方式(手机)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总指挥</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陈海</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副总经理</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13771056107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90"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副总指挥</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吴科飞</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办公室主任</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通信警戒组</w:t>
            </w:r>
          </w:p>
        </w:tc>
        <w:tc>
          <w:tcPr>
            <w:tcW w:w="739"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吴科飞</w:t>
            </w:r>
          </w:p>
        </w:tc>
        <w:tc>
          <w:tcPr>
            <w:tcW w:w="1517"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办公室主任</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李红</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内审员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15251520326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抢险灭火组</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蒋政元</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安全员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13405788736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王艳伟</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夹具工</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18351573066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救护疏散组</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朱琴</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质检科副科长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18015349969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吴佩</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检验员</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1525166675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后勤保障组</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周卫平</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机修组组长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18973418746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周小红</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机修工</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17368785636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事故处理组</w:t>
            </w:r>
          </w:p>
        </w:tc>
        <w:tc>
          <w:tcPr>
            <w:tcW w:w="739"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付涛</w:t>
            </w:r>
          </w:p>
        </w:tc>
        <w:tc>
          <w:tcPr>
            <w:tcW w:w="1517"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生产科长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王佳银</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物流组长</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18852474726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w:t>
            </w:r>
            <w:r>
              <w:rPr>
                <w:rFonts w:hint="default" w:ascii="Times New Roman" w:hAnsi="Times New Roman" w:cs="Times New Roman"/>
                <w:color w:val="auto"/>
                <w:sz w:val="21"/>
                <w:szCs w:val="21"/>
                <w:highlight w:val="none"/>
                <w:lang w:val="en-US" w:eastAsia="zh-CN"/>
              </w:rPr>
              <w:t>监测</w:t>
            </w:r>
            <w:r>
              <w:rPr>
                <w:rFonts w:hint="default" w:ascii="Times New Roman" w:hAnsi="Times New Roman" w:cs="Times New Roman"/>
                <w:color w:val="auto"/>
                <w:sz w:val="21"/>
                <w:szCs w:val="21"/>
                <w:highlight w:val="none"/>
              </w:rPr>
              <w:t>组</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沈斌</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实验室组长</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18861804682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孙丹凤</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实验员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13915335530</w:t>
            </w:r>
          </w:p>
        </w:tc>
      </w:tr>
    </w:tbl>
    <w:p>
      <w:pPr>
        <w:pStyle w:val="5"/>
        <w:rPr>
          <w:color w:val="auto"/>
          <w:highlight w:val="none"/>
        </w:rPr>
      </w:pPr>
      <w:bookmarkStart w:id="232" w:name="_Toc13787"/>
      <w:r>
        <w:rPr>
          <w:color w:val="auto"/>
          <w:highlight w:val="none"/>
        </w:rPr>
        <w:t>1.4 应急处置程序</w:t>
      </w:r>
      <w:bookmarkEnd w:id="232"/>
    </w:p>
    <w:p>
      <w:pPr>
        <w:adjustRightInd w:val="0"/>
        <w:snapToGrid w:val="0"/>
        <w:spacing w:line="360" w:lineRule="auto"/>
        <w:ind w:firstLine="480" w:firstLineChars="200"/>
        <w:rPr>
          <w:color w:val="auto"/>
          <w:sz w:val="28"/>
          <w:szCs w:val="28"/>
          <w:highlight w:val="none"/>
        </w:rPr>
      </w:pPr>
      <w:r>
        <w:rPr>
          <w:color w:val="auto"/>
          <w:highlight w:val="none"/>
        </w:rPr>
        <w:t>必要情况下启动应急预案时，泄</w:t>
      </w:r>
      <w:r>
        <w:rPr>
          <w:rFonts w:hint="eastAsia"/>
          <w:color w:val="auto"/>
          <w:highlight w:val="none"/>
        </w:rPr>
        <w:t>漏</w:t>
      </w:r>
      <w:r>
        <w:rPr>
          <w:color w:val="auto"/>
          <w:highlight w:val="none"/>
        </w:rPr>
        <w:t>事故应急处置流程如下：</w:t>
      </w:r>
    </w:p>
    <w:p>
      <w:pPr>
        <w:pStyle w:val="2"/>
        <w:adjustRightInd w:val="0"/>
        <w:snapToGrid w:val="0"/>
        <w:jc w:val="center"/>
        <w:rPr>
          <w:rFonts w:ascii="Times New Roman" w:hAnsi="Times New Roman"/>
          <w:color w:val="auto"/>
          <w:highlight w:val="none"/>
        </w:rPr>
      </w:pPr>
      <w:r>
        <w:rPr>
          <w:rFonts w:ascii="Times New Roman" w:hAnsi="Times New Roman"/>
          <w:color w:val="auto"/>
          <w:sz w:val="24"/>
          <w:highlight w:val="none"/>
        </w:rPr>
        <mc:AlternateContent>
          <mc:Choice Requires="wpc">
            <w:drawing>
              <wp:inline distT="0" distB="0" distL="114300" distR="114300">
                <wp:extent cx="5085080" cy="2889250"/>
                <wp:effectExtent l="0" t="0" r="18415" b="5715"/>
                <wp:docPr id="28" name="画布 28"/>
                <wp:cNvGraphicFramePr/>
                <a:graphic xmlns:a="http://schemas.openxmlformats.org/drawingml/2006/main">
                  <a:graphicData uri="http://schemas.microsoft.com/office/word/2010/wordprocessingCanvas">
                    <wpc:wpc>
                      <wpc:bg>
                        <a:noFill/>
                      </wpc:bg>
                      <wpc:whole>
                        <a:ln>
                          <a:noFill/>
                        </a:ln>
                      </wpc:whole>
                      <wps:wsp>
                        <wps:cNvPr id="73" name="流程图: 准备 1"/>
                        <wps:cNvSpPr/>
                        <wps:spPr>
                          <a:xfrm>
                            <a:off x="1910080" y="219075"/>
                            <a:ext cx="1680845" cy="410210"/>
                          </a:xfrm>
                          <a:prstGeom prst="flowChartPreparation">
                            <a:avLst/>
                          </a:prstGeom>
                          <a:solidFill>
                            <a:srgbClr val="FFFFFF"/>
                          </a:solidFill>
                          <a:ln w="9525" cap="flat" cmpd="sng">
                            <a:solidFill>
                              <a:srgbClr val="000000"/>
                            </a:solidFill>
                            <a:prstDash val="solid"/>
                            <a:miter/>
                            <a:headEnd type="none" w="med" len="med"/>
                            <a:tailEnd type="none" w="med" len="med"/>
                          </a:ln>
                        </wps:spPr>
                        <wps:bodyPr upright="1"/>
                      </wps:wsp>
                      <wps:wsp>
                        <wps:cNvPr id="88" name="文本框 2"/>
                        <wps:cNvSpPr txBox="1"/>
                        <wps:spPr>
                          <a:xfrm>
                            <a:off x="2190750" y="265430"/>
                            <a:ext cx="1109980" cy="285750"/>
                          </a:xfrm>
                          <a:prstGeom prst="rect">
                            <a:avLst/>
                          </a:prstGeom>
                          <a:solidFill>
                            <a:srgbClr val="FFFFFF"/>
                          </a:solidFill>
                          <a:ln>
                            <a:noFill/>
                          </a:ln>
                        </wps:spPr>
                        <wps:txbx>
                          <w:txbxContent>
                            <w:p>
                              <w:pPr>
                                <w:ind w:left="-120" w:leftChars="-50" w:right="-120" w:rightChars="-50"/>
                                <w:jc w:val="center"/>
                              </w:pPr>
                              <w:r>
                                <w:rPr>
                                  <w:rFonts w:hint="eastAsia"/>
                                </w:rPr>
                                <w:t>发生泄漏</w:t>
                              </w:r>
                            </w:p>
                          </w:txbxContent>
                        </wps:txbx>
                        <wps:bodyPr upright="1"/>
                      </wps:wsp>
                      <wps:wsp>
                        <wps:cNvPr id="89" name="直接连接符 3"/>
                        <wps:cNvCnPr/>
                        <wps:spPr>
                          <a:xfrm>
                            <a:off x="2755901" y="621030"/>
                            <a:ext cx="635" cy="304800"/>
                          </a:xfrm>
                          <a:prstGeom prst="line">
                            <a:avLst/>
                          </a:prstGeom>
                          <a:ln w="9525" cap="flat" cmpd="sng">
                            <a:solidFill>
                              <a:srgbClr val="000000"/>
                            </a:solidFill>
                            <a:prstDash val="solid"/>
                            <a:headEnd type="none" w="med" len="med"/>
                            <a:tailEnd type="arrow" w="med" len="med"/>
                          </a:ln>
                        </wps:spPr>
                        <wps:bodyPr/>
                      </wps:wsp>
                      <wps:wsp>
                        <wps:cNvPr id="91" name="直接连接符 4"/>
                        <wps:cNvCnPr/>
                        <wps:spPr>
                          <a:xfrm>
                            <a:off x="2755901" y="1277620"/>
                            <a:ext cx="635" cy="621665"/>
                          </a:xfrm>
                          <a:prstGeom prst="line">
                            <a:avLst/>
                          </a:prstGeom>
                          <a:ln w="9525" cap="flat" cmpd="sng">
                            <a:solidFill>
                              <a:srgbClr val="000000"/>
                            </a:solidFill>
                            <a:prstDash val="solid"/>
                            <a:headEnd type="none" w="med" len="med"/>
                            <a:tailEnd type="arrow" w="med" len="med"/>
                          </a:ln>
                        </wps:spPr>
                        <wps:bodyPr/>
                      </wps:wsp>
                      <wps:wsp>
                        <wps:cNvPr id="93" name="直接连接符 5"/>
                        <wps:cNvCnPr/>
                        <wps:spPr>
                          <a:xfrm>
                            <a:off x="3271521" y="1102360"/>
                            <a:ext cx="804545" cy="635"/>
                          </a:xfrm>
                          <a:prstGeom prst="line">
                            <a:avLst/>
                          </a:prstGeom>
                          <a:ln w="9525" cap="flat" cmpd="sng">
                            <a:solidFill>
                              <a:srgbClr val="000000"/>
                            </a:solidFill>
                            <a:prstDash val="solid"/>
                            <a:headEnd type="none" w="med" len="med"/>
                            <a:tailEnd type="arrow" w="med" len="med"/>
                          </a:ln>
                        </wps:spPr>
                        <wps:bodyPr/>
                      </wps:wsp>
                      <wps:wsp>
                        <wps:cNvPr id="97" name="文本框 6"/>
                        <wps:cNvSpPr txBox="1"/>
                        <wps:spPr>
                          <a:xfrm>
                            <a:off x="3037841" y="683895"/>
                            <a:ext cx="1144270" cy="342900"/>
                          </a:xfrm>
                          <a:prstGeom prst="rect">
                            <a:avLst/>
                          </a:prstGeom>
                          <a:solidFill>
                            <a:srgbClr val="FFFFFF"/>
                          </a:solidFill>
                          <a:ln>
                            <a:noFill/>
                          </a:ln>
                        </wps:spPr>
                        <wps:txbx>
                          <w:txbxContent>
                            <w:p>
                              <w:pPr>
                                <w:jc w:val="center"/>
                              </w:pPr>
                              <w:r>
                                <w:rPr>
                                  <w:rFonts w:hint="eastAsia"/>
                                </w:rPr>
                                <w:t>小组可控制</w:t>
                              </w:r>
                            </w:p>
                          </w:txbxContent>
                        </wps:txbx>
                        <wps:bodyPr upright="1"/>
                      </wps:wsp>
                      <wps:wsp>
                        <wps:cNvPr id="101" name="文本框 7"/>
                        <wps:cNvSpPr txBox="1"/>
                        <wps:spPr>
                          <a:xfrm>
                            <a:off x="4064001" y="937260"/>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现场处置</w:t>
                              </w:r>
                            </w:p>
                          </w:txbxContent>
                        </wps:txbx>
                        <wps:bodyPr upright="1"/>
                      </wps:wsp>
                      <wps:wsp>
                        <wps:cNvPr id="102" name="文本框 8"/>
                        <wps:cNvSpPr txBox="1"/>
                        <wps:spPr>
                          <a:xfrm>
                            <a:off x="2826386" y="1297940"/>
                            <a:ext cx="1005205" cy="480695"/>
                          </a:xfrm>
                          <a:prstGeom prst="rect">
                            <a:avLst/>
                          </a:prstGeom>
                          <a:solidFill>
                            <a:srgbClr val="FFFFFF"/>
                          </a:solidFill>
                          <a:ln>
                            <a:noFill/>
                          </a:ln>
                        </wps:spPr>
                        <wps:txbx>
                          <w:txbxContent>
                            <w:p>
                              <w:pPr>
                                <w:jc w:val="center"/>
                              </w:pPr>
                              <w:r>
                                <w:rPr>
                                  <w:rFonts w:hint="eastAsia"/>
                                </w:rPr>
                                <w:t>事态超出小组控制范围</w:t>
                              </w:r>
                            </w:p>
                          </w:txbxContent>
                        </wps:txbx>
                        <wps:bodyPr upright="1"/>
                      </wps:wsp>
                      <wps:wsp>
                        <wps:cNvPr id="106" name="文本框 9"/>
                        <wps:cNvSpPr txBox="1"/>
                        <wps:spPr>
                          <a:xfrm>
                            <a:off x="2222500" y="916305"/>
                            <a:ext cx="103822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应急处置</w:t>
                              </w:r>
                            </w:p>
                          </w:txbxContent>
                        </wps:txbx>
                        <wps:bodyPr upright="1"/>
                      </wps:wsp>
                      <wps:wsp>
                        <wps:cNvPr id="110" name="文本框 10"/>
                        <wps:cNvSpPr txBox="1"/>
                        <wps:spPr>
                          <a:xfrm>
                            <a:off x="2232660" y="1889760"/>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向上级汇报</w:t>
                              </w:r>
                            </w:p>
                          </w:txbxContent>
                        </wps:txbx>
                        <wps:bodyPr upright="1"/>
                      </wps:wsp>
                      <wps:wsp>
                        <wps:cNvPr id="114" name="直接连接符 11"/>
                        <wps:cNvCnPr/>
                        <wps:spPr>
                          <a:xfrm>
                            <a:off x="2755901" y="2251075"/>
                            <a:ext cx="0" cy="304800"/>
                          </a:xfrm>
                          <a:prstGeom prst="line">
                            <a:avLst/>
                          </a:prstGeom>
                          <a:ln w="9525" cap="flat" cmpd="sng">
                            <a:solidFill>
                              <a:srgbClr val="000000"/>
                            </a:solidFill>
                            <a:prstDash val="solid"/>
                            <a:headEnd type="none" w="med" len="med"/>
                            <a:tailEnd type="arrow" w="med" len="med"/>
                          </a:ln>
                        </wps:spPr>
                        <wps:bodyPr/>
                      </wps:wsp>
                      <wps:wsp>
                        <wps:cNvPr id="128" name="文本框 12"/>
                        <wps:cNvSpPr txBox="1"/>
                        <wps:spPr>
                          <a:xfrm>
                            <a:off x="2253615" y="2567305"/>
                            <a:ext cx="1218565" cy="310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请求厂内增援</w:t>
                              </w:r>
                            </w:p>
                          </w:txbxContent>
                        </wps:txbx>
                        <wps:bodyPr upright="1"/>
                      </wps:wsp>
                      <wps:wsp>
                        <wps:cNvPr id="129" name="文本框 13"/>
                        <wps:cNvSpPr txBox="1"/>
                        <wps:spPr>
                          <a:xfrm>
                            <a:off x="1089660" y="1583055"/>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扩大应急</w:t>
                              </w:r>
                            </w:p>
                          </w:txbxContent>
                        </wps:txbx>
                        <wps:bodyPr upright="1"/>
                      </wps:wsp>
                      <wps:wsp>
                        <wps:cNvPr id="237" name="肘形连接符 14"/>
                        <wps:cNvCnPr/>
                        <wps:spPr>
                          <a:xfrm rot="10800000">
                            <a:off x="1603375" y="1925320"/>
                            <a:ext cx="649605" cy="796925"/>
                          </a:xfrm>
                          <a:prstGeom prst="bentConnector2">
                            <a:avLst/>
                          </a:prstGeom>
                          <a:ln w="9525" cap="flat" cmpd="sng">
                            <a:solidFill>
                              <a:srgbClr val="000000"/>
                            </a:solidFill>
                            <a:prstDash val="solid"/>
                            <a:miter/>
                            <a:headEnd type="none" w="med" len="med"/>
                            <a:tailEnd type="arrow" w="med" len="med"/>
                          </a:ln>
                        </wps:spPr>
                        <wps:bodyPr/>
                      </wps:wsp>
                      <wps:wsp>
                        <wps:cNvPr id="238" name="肘形连接符 15"/>
                        <wps:cNvCnPr/>
                        <wps:spPr>
                          <a:xfrm rot="-5400000">
                            <a:off x="1668145" y="1028700"/>
                            <a:ext cx="490220" cy="618490"/>
                          </a:xfrm>
                          <a:prstGeom prst="bentConnector2">
                            <a:avLst/>
                          </a:prstGeom>
                          <a:ln w="9525" cap="flat" cmpd="sng">
                            <a:solidFill>
                              <a:srgbClr val="000000"/>
                            </a:solidFill>
                            <a:prstDash val="solid"/>
                            <a:miter/>
                            <a:headEnd type="none" w="med" len="med"/>
                            <a:tailEnd type="arrow" w="med" len="med"/>
                          </a:ln>
                        </wps:spPr>
                        <wps:bodyPr/>
                      </wps:wsp>
                    </wpc:wpc>
                  </a:graphicData>
                </a:graphic>
              </wp:inline>
            </w:drawing>
          </mc:Choice>
          <mc:Fallback>
            <w:pict>
              <v:group id="_x0000_s1026" o:spid="_x0000_s1026" o:spt="203" style="height:227.5pt;width:400.4pt;" coordsize="5085080,2889250" editas="canvas" o:gfxdata="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">
                <o:lock v:ext="edit" aspectratio="f"/>
                <v:shape id="_x0000_s1026" o:spid="_x0000_s1026" style="position:absolute;left:0;top:0;height:2889250;width:5085080;" filled="f" stroked="f" coordsize="21600,21600" o:gfxdata="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">
                  <v:fill on="f" focussize="0,0"/>
                  <v:stroke on="f"/>
                  <v:imagedata o:title=""/>
                  <o:lock v:ext="edit" aspectratio="f"/>
                </v:shape>
                <v:shape id="流程图: 准备 1" o:spid="_x0000_s1026" o:spt="117" type="#_x0000_t117" style="position:absolute;left:1910080;top:219075;height:410210;width:1680845;" fillcolor="#FFFFFF" filled="t" stroked="t" coordsize="21600,21600" o:gfxdata="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k+v9dMA&#10;AAAFAQAADwAAAAAAAAABACAAAAAiAAAAZHJzL2Rvd25yZXYueG1sUEsBAhQAFAAAAAgAh07iQJ8S&#10;XmgkAgAARQQAAA4AAAAAAAAAAQAgAAAAIgEAAGRycy9lMm9Eb2MueG1sUEsFBgAAAAAGAAYAWQEA&#10;ALgFAAAAAA==&#10;">
                  <v:fill on="t" focussize="0,0"/>
                  <v:stroke color="#000000" joinstyle="miter"/>
                  <v:imagedata o:title=""/>
                  <o:lock v:ext="edit" aspectratio="f"/>
                </v:shape>
                <v:shape id="文本框 2" o:spid="_x0000_s1026" o:spt="202" type="#_x0000_t202" style="position:absolute;left:2190750;top:265430;height:285750;width:1109980;" fillcolor="#FFFFFF" filled="t" stroked="f" coordsize="21600,21600" o:gfxdata="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hcp0dQAAAAFAQAADwAAAAAAAAABACAAAAAiAAAAZHJzL2Rvd25y&#10;ZXYueG1sUEsBAhQAFAAAAAgAh07iQCE0Ni7JAQAAgwMAAA4AAAAAAAAAAQAgAAAAIwEAAGRycy9l&#10;Mm9Eb2MueG1sUEsFBgAAAAAGAAYAWQEAAF4FAAAAAA==&#10;">
                  <v:fill on="t" focussize="0,0"/>
                  <v:stroke on="f"/>
                  <v:imagedata o:title=""/>
                  <o:lock v:ext="edit" aspectratio="f"/>
                  <v:textbox>
                    <w:txbxContent>
                      <w:p>
                        <w:pPr>
                          <w:ind w:left="-120" w:leftChars="-50" w:right="-120" w:rightChars="-50"/>
                          <w:jc w:val="center"/>
                        </w:pPr>
                        <w:r>
                          <w:rPr>
                            <w:rFonts w:hint="eastAsia"/>
                          </w:rPr>
                          <w:t>发生泄漏</w:t>
                        </w:r>
                      </w:p>
                    </w:txbxContent>
                  </v:textbox>
                </v:shape>
                <v:line id="直接连接符 3" o:spid="_x0000_s1026" o:spt="20" style="position:absolute;left:2755901;top:621030;height:304800;width:635;" filled="f" stroked="t" coordsize="21600,21600" o:gfxdata="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F5OSPVAAAABQEAAA8AAAAAAAAAAQAgAAAAIgAAAGRycy9kb3du&#10;cmV2LnhtbFBLAQIUABQAAAAIAIdO4kDdoHPTAgIAAOYDAAAOAAAAAAAAAAEAIAAAACQBAABkcnMv&#10;ZTJvRG9jLnhtbFBLBQYAAAAABgAGAFkBAACYBQAAAAA=&#10;">
                  <v:fill on="f" focussize="0,0"/>
                  <v:stroke color="#000000" joinstyle="round" endarrow="open"/>
                  <v:imagedata o:title=""/>
                  <o:lock v:ext="edit" aspectratio="f"/>
                </v:line>
                <v:line id="直接连接符 4" o:spid="_x0000_s1026" o:spt="20" style="position:absolute;left:2755901;top:1277620;height:621665;width:635;" filled="f" stroked="t" coordsize="21600,21600" o:gfxdata="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F5OSPVAAAABQEAAA8AAAAAAAAAAQAgAAAAIgAAAGRycy9kb3ducmV2&#10;LnhtbFBLAQIUABQAAAAIAIdO4kA5MXj4/wEAAOcDAAAOAAAAAAAAAAEAIAAAACQBAABkcnMvZTJv&#10;RG9jLnhtbFBLBQYAAAAABgAGAFkBAACVBQAAAAA=&#10;">
                  <v:fill on="f" focussize="0,0"/>
                  <v:stroke color="#000000" joinstyle="round" endarrow="open"/>
                  <v:imagedata o:title=""/>
                  <o:lock v:ext="edit" aspectratio="f"/>
                </v:line>
                <v:line id="直接连接符 5" o:spid="_x0000_s1026" o:spt="20" style="position:absolute;left:3271521;top:1102360;height:635;width:804545;" filled="f" stroked="t" coordsize="21600,21600" o:gfxdata="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F5OSPVAAAABQEAAA8AAAAAAAAAAQAgAAAAIgAAAGRycy9kb3du&#10;cmV2LnhtbFBLAQIUABQAAAAIAIdO4kDa1Ur0AgIAAOcDAAAOAAAAAAAAAAEAIAAAACQBAABkcnMv&#10;ZTJvRG9jLnhtbFBLBQYAAAAABgAGAFkBAACYBQAAAAA=&#10;">
                  <v:fill on="f" focussize="0,0"/>
                  <v:stroke color="#000000" joinstyle="round" endarrow="open"/>
                  <v:imagedata o:title=""/>
                  <o:lock v:ext="edit" aspectratio="f"/>
                </v:line>
                <v:shape id="文本框 6" o:spid="_x0000_s1026" o:spt="202" type="#_x0000_t202" style="position:absolute;left:3037841;top:683895;height:342900;width:1144270;" fillcolor="#FFFFFF" filled="t" stroked="f" coordsize="21600,21600" o:gfxdata="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hcp0dQAAAAFAQAADwAAAAAAAAABACAAAAAiAAAAZHJz&#10;L2Rvd25yZXYueG1sUEsBAhQAFAAAAAgAh07iQCLWF0/PAQAAgwMAAA4AAAAAAAAAAQAgAAAAIwEA&#10;AGRycy9lMm9Eb2MueG1sUEsFBgAAAAAGAAYAWQEAAGQFAAAAAA==&#10;">
                  <v:fill on="t" focussize="0,0"/>
                  <v:stroke on="f"/>
                  <v:imagedata o:title=""/>
                  <o:lock v:ext="edit" aspectratio="f"/>
                  <v:textbox>
                    <w:txbxContent>
                      <w:p>
                        <w:pPr>
                          <w:jc w:val="center"/>
                        </w:pPr>
                        <w:r>
                          <w:rPr>
                            <w:rFonts w:hint="eastAsia"/>
                          </w:rPr>
                          <w:t>小组可控制</w:t>
                        </w:r>
                      </w:p>
                    </w:txbxContent>
                  </v:textbox>
                </v:shape>
                <v:shape id="文本框 7" o:spid="_x0000_s1026" o:spt="202" type="#_x0000_t202" style="position:absolute;left:4064001;top:937260;height:342900;width:1028700;" fillcolor="#FFFFFF" filled="t" stroked="t" coordsize="21600,21600" o:gfxdata="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hcbubVAAAABQEAAA8AAAAAAAAA&#10;AQAgAAAAIgAAAGRycy9kb3ducmV2LnhtbFBLAQIUABQAAAAIAIdO4kBVrGp9FAIAAEMEAAAOAAAA&#10;AAAAAAEAIAAAACQBAABkcnMvZTJvRG9jLnhtbFBLBQYAAAAABgAGAFkBAACqBQAAAAA=&#10;">
                  <v:fill on="t" focussize="0,0"/>
                  <v:stroke color="#000000" joinstyle="miter"/>
                  <v:imagedata o:title=""/>
                  <o:lock v:ext="edit" aspectratio="f"/>
                  <v:textbox>
                    <w:txbxContent>
                      <w:p>
                        <w:pPr>
                          <w:jc w:val="center"/>
                        </w:pPr>
                        <w:r>
                          <w:rPr>
                            <w:rFonts w:hint="eastAsia"/>
                          </w:rPr>
                          <w:t>现场处置</w:t>
                        </w:r>
                      </w:p>
                    </w:txbxContent>
                  </v:textbox>
                </v:shape>
                <v:shape id="文本框 8" o:spid="_x0000_s1026" o:spt="202" type="#_x0000_t202" style="position:absolute;left:2826386;top:1297940;height:480695;width:1005205;" fillcolor="#FFFFFF" filled="t" stroked="f" coordsize="21600,21600" o:gfxdata="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JYXKdHUAAAABQEAAA8AAAAAAAAAAQAgAAAAIgAAAGRycy9k&#10;b3ducmV2LnhtbFBLAQIUABQAAAAIAIdO4kAl8feOzQEAAIUDAAAOAAAAAAAAAAEAIAAAACMBAABk&#10;cnMvZTJvRG9jLnhtbFBLBQYAAAAABgAGAFkBAABiBQAAAAA=&#10;">
                  <v:fill on="t" focussize="0,0"/>
                  <v:stroke on="f"/>
                  <v:imagedata o:title=""/>
                  <o:lock v:ext="edit" aspectratio="f"/>
                  <v:textbox>
                    <w:txbxContent>
                      <w:p>
                        <w:pPr>
                          <w:jc w:val="center"/>
                        </w:pPr>
                        <w:r>
                          <w:rPr>
                            <w:rFonts w:hint="eastAsia"/>
                          </w:rPr>
                          <w:t>事态超出小组控制范围</w:t>
                        </w:r>
                      </w:p>
                    </w:txbxContent>
                  </v:textbox>
                </v:shape>
                <v:shape id="文本框 9" o:spid="_x0000_s1026" o:spt="202" type="#_x0000_t202" style="position:absolute;left:2222500;top:916305;height:352425;width:1038225;" fillcolor="#FFFFFF" filled="t" stroked="t" coordsize="21600,21600" o:gfxdata="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hcbubVAAAABQEAAA8AAAAAAAAAAQAg&#10;AAAAIgAAAGRycy9kb3ducmV2LnhtbFBLAQIUABQAAAAIAIdO4kAtRwAxEQIAAEMEAAAOAAAAAAAA&#10;AAEAIAAAACQBAABkcnMvZTJvRG9jLnhtbFBLBQYAAAAABgAGAFkBAACnBQAAAAA=&#10;">
                  <v:fill on="t" focussize="0,0"/>
                  <v:stroke color="#000000" joinstyle="miter"/>
                  <v:imagedata o:title=""/>
                  <o:lock v:ext="edit" aspectratio="f"/>
                  <v:textbox>
                    <w:txbxContent>
                      <w:p>
                        <w:pPr>
                          <w:jc w:val="center"/>
                        </w:pPr>
                        <w:r>
                          <w:rPr>
                            <w:rFonts w:hint="eastAsia"/>
                          </w:rPr>
                          <w:t>应急处置</w:t>
                        </w:r>
                      </w:p>
                    </w:txbxContent>
                  </v:textbox>
                </v:shape>
                <v:shape id="文本框 10" o:spid="_x0000_s1026" o:spt="202" type="#_x0000_t202" style="position:absolute;left:2232660;top:1889760;height:342900;width:1028700;" fillcolor="#FFFFFF" filled="t" stroked="t" coordsize="21600,21600" o:gfxdata="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Fxu5tUAAAAFAQAADwAAAAAAAAAB&#10;ACAAAAAiAAAAZHJzL2Rvd25yZXYueG1sUEsBAhQAFAAAAAgAh07iQPgYvAUTAgAARQQAAA4AAAAA&#10;AAAAAQAgAAAAJAEAAGRycy9lMm9Eb2MueG1sUEsFBgAAAAAGAAYAWQEAAKkFAAAAAA==&#10;">
                  <v:fill on="t" focussize="0,0"/>
                  <v:stroke color="#000000" joinstyle="miter"/>
                  <v:imagedata o:title=""/>
                  <o:lock v:ext="edit" aspectratio="f"/>
                  <v:textbox>
                    <w:txbxContent>
                      <w:p>
                        <w:pPr>
                          <w:jc w:val="center"/>
                        </w:pPr>
                        <w:r>
                          <w:rPr>
                            <w:rFonts w:hint="eastAsia"/>
                          </w:rPr>
                          <w:t>向上级汇报</w:t>
                        </w:r>
                      </w:p>
                    </w:txbxContent>
                  </v:textbox>
                </v:shape>
                <v:line id="直接连接符 11" o:spid="_x0000_s1026" o:spt="20" style="position:absolute;left:2755901;top:2251075;height:304800;width:0;" filled="f" stroked="t" coordsize="21600,21600" o:gfxdata="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F5OSPVAAAABQEAAA8AAAAAAAAAAQAgAAAAIgAAAGRycy9kb3du&#10;cmV2LnhtbFBLAQIUABQAAAAIAIdO4kAbRttzAgIAAOcDAAAOAAAAAAAAAAEAIAAAACQBAABkcnMv&#10;ZTJvRG9jLnhtbFBLBQYAAAAABgAGAFkBAACYBQAAAAA=&#10;">
                  <v:fill on="f" focussize="0,0"/>
                  <v:stroke color="#000000" joinstyle="round" endarrow="open"/>
                  <v:imagedata o:title=""/>
                  <o:lock v:ext="edit" aspectratio="f"/>
                </v:line>
                <v:shape id="文本框 12" o:spid="_x0000_s1026" o:spt="202" type="#_x0000_t202" style="position:absolute;left:2253615;top:2567305;height:310515;width:1218565;" fillcolor="#FFFFFF" filled="t" stroked="t" coordsize="21600,21600" o:gfxdata="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hcbubVAAAABQEAAA8AAAAAAAAA&#10;AQAgAAAAIgAAAGRycy9kb3ducmV2LnhtbFBLAQIUABQAAAAIAIdO4kChMZB5FAIAAEUEAAAOAAAA&#10;AAAAAAEAIAAAACQBAABkcnMvZTJvRG9jLnhtbFBLBQYAAAAABgAGAFkBAACqBQAAAAA=&#10;">
                  <v:fill on="t" focussize="0,0"/>
                  <v:stroke color="#000000" joinstyle="miter"/>
                  <v:imagedata o:title=""/>
                  <o:lock v:ext="edit" aspectratio="f"/>
                  <v:textbox>
                    <w:txbxContent>
                      <w:p>
                        <w:pPr>
                          <w:jc w:val="center"/>
                        </w:pPr>
                        <w:r>
                          <w:rPr>
                            <w:rFonts w:hint="eastAsia"/>
                          </w:rPr>
                          <w:t>请求厂内增援</w:t>
                        </w:r>
                      </w:p>
                    </w:txbxContent>
                  </v:textbox>
                </v:shape>
                <v:shape id="文本框 13" o:spid="_x0000_s1026" o:spt="202" type="#_x0000_t202" style="position:absolute;left:1089660;top:1583055;height:342900;width:1028700;" fillcolor="#FFFFFF" filled="t" stroked="t" coordsize="21600,21600" o:gfxdata="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XG7m1QAAAAUBAAAPAAAAAAAA&#10;AAEAIAAAACIAAABkcnMvZG93bnJldi54bWxQSwECFAAUAAAACACHTuJA0nZPeRUCAABFBAAADgAA&#10;AAAAAAABACAAAAAkAQAAZHJzL2Uyb0RvYy54bWxQSwUGAAAAAAYABgBZAQAAqwUAAAAA&#10;">
                  <v:fill on="t" focussize="0,0"/>
                  <v:stroke color="#000000" joinstyle="miter"/>
                  <v:imagedata o:title=""/>
                  <o:lock v:ext="edit" aspectratio="f"/>
                  <v:textbox>
                    <w:txbxContent>
                      <w:p>
                        <w:pPr>
                          <w:jc w:val="center"/>
                        </w:pPr>
                        <w:r>
                          <w:rPr>
                            <w:rFonts w:hint="eastAsia"/>
                          </w:rPr>
                          <w:t>扩大应急</w:t>
                        </w:r>
                      </w:p>
                    </w:txbxContent>
                  </v:textbox>
                </v:shape>
                <v:shape id="肘形连接符 14" o:spid="_x0000_s1026" o:spt="33" type="#_x0000_t33" style="position:absolute;left:1603375;top:1925320;height:796925;width:649605;rotation:11796480f;" filled="f" stroked="t" coordsize="21600,21600" o:gfxdata="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hUG37VAAAABQEA&#10;AA8AAAAAAAAAAQAgAAAAIgAAAGRycy9kb3ducmV2LnhtbFBLAQIUABQAAAAIAIdO4kBeZ15OHQIA&#10;AA8EAAAOAAAAAAAAAAEAIAAAACQBAABkcnMvZTJvRG9jLnhtbFBLBQYAAAAABgAGAFkBAACzBQAA&#10;AAA=&#10;">
                  <v:fill on="f" focussize="0,0"/>
                  <v:stroke color="#000000" joinstyle="miter" endarrow="open"/>
                  <v:imagedata o:title=""/>
                  <o:lock v:ext="edit" aspectratio="f"/>
                </v:shape>
                <v:shape id="肘形连接符 15" o:spid="_x0000_s1026" o:spt="33" type="#_x0000_t33" style="position:absolute;left:1668145;top:1028700;height:618490;width:490220;rotation:-5898240f;" filled="f" stroked="t" coordsize="21600,21600" o:gfxdata="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NQGzXVAAAABQEA&#10;AA8AAAAAAAAAAQAgAAAAIgAAAGRycy9kb3ducmV2LnhtbFBLAQIUABQAAAAIAIdO4kAFBoZOHQIA&#10;AA8EAAAOAAAAAAAAAAEAIAAAACQBAABkcnMvZTJvRG9jLnhtbFBLBQYAAAAABgAGAFkBAACzBQAA&#10;AAA=&#10;">
                  <v:fill on="f" focussize="0,0"/>
                  <v:stroke color="#000000" joinstyle="miter" endarrow="open"/>
                  <v:imagedata o:title=""/>
                  <o:lock v:ext="edit" aspectratio="f"/>
                </v:shape>
                <w10:wrap type="none"/>
                <w10:anchorlock/>
              </v:group>
            </w:pict>
          </mc:Fallback>
        </mc:AlternateContent>
      </w:r>
    </w:p>
    <w:p>
      <w:pPr>
        <w:adjustRightInd w:val="0"/>
        <w:snapToGrid w:val="0"/>
        <w:jc w:val="center"/>
        <w:rPr>
          <w:color w:val="auto"/>
          <w:highlight w:val="none"/>
        </w:rPr>
      </w:pPr>
      <w:r>
        <w:rPr>
          <w:b/>
          <w:bCs/>
          <w:color w:val="auto"/>
          <w:highlight w:val="none"/>
        </w:rPr>
        <w:t>图1.1  泄漏事故应急处置流程图</w:t>
      </w:r>
    </w:p>
    <w:p>
      <w:pPr>
        <w:adjustRightInd w:val="0"/>
        <w:snapToGrid w:val="0"/>
        <w:spacing w:before="156" w:beforeLines="50" w:line="360" w:lineRule="auto"/>
        <w:ind w:firstLine="480" w:firstLineChars="200"/>
        <w:rPr>
          <w:color w:val="auto"/>
          <w:highlight w:val="none"/>
        </w:rPr>
      </w:pPr>
      <w:r>
        <w:rPr>
          <w:color w:val="auto"/>
          <w:highlight w:val="none"/>
        </w:rPr>
        <w:t>发生</w:t>
      </w:r>
      <w:r>
        <w:rPr>
          <w:rFonts w:hint="eastAsia"/>
          <w:color w:val="auto"/>
          <w:highlight w:val="none"/>
        </w:rPr>
        <w:t>泄漏</w:t>
      </w:r>
      <w:r>
        <w:rPr>
          <w:color w:val="auto"/>
          <w:highlight w:val="none"/>
        </w:rPr>
        <w:t>事故后，启动应急预案，应急处置小组负责人立即进行应急处置，若事态可控制，现场处置完后，应急结束；若事态超出小组控制范围，立即向上级汇报，请求厂内增援进行应急处置。</w:t>
      </w:r>
    </w:p>
    <w:p>
      <w:pPr>
        <w:pStyle w:val="5"/>
        <w:rPr>
          <w:color w:val="auto"/>
          <w:highlight w:val="none"/>
        </w:rPr>
      </w:pPr>
      <w:bookmarkStart w:id="233" w:name="_Toc14096"/>
      <w:r>
        <w:rPr>
          <w:color w:val="auto"/>
          <w:highlight w:val="none"/>
        </w:rPr>
        <w:t>1.5 应急处置措施</w:t>
      </w:r>
      <w:bookmarkEnd w:id="233"/>
    </w:p>
    <w:p>
      <w:pPr>
        <w:pStyle w:val="6"/>
        <w:rPr>
          <w:color w:val="auto"/>
          <w:highlight w:val="none"/>
        </w:rPr>
      </w:pPr>
      <w:r>
        <w:rPr>
          <w:color w:val="auto"/>
          <w:highlight w:val="none"/>
        </w:rPr>
        <w:t>1.5.1泄漏处理</w:t>
      </w:r>
    </w:p>
    <w:p>
      <w:pPr>
        <w:autoSpaceDE w:val="0"/>
        <w:autoSpaceDN w:val="0"/>
        <w:adjustRightInd w:val="0"/>
        <w:spacing w:line="360" w:lineRule="auto"/>
        <w:ind w:firstLine="482" w:firstLineChars="200"/>
        <w:rPr>
          <w:rFonts w:hAnsi="宋体"/>
          <w:b/>
          <w:color w:val="auto"/>
          <w:highlight w:val="none"/>
        </w:rPr>
      </w:pPr>
      <w:r>
        <w:rPr>
          <w:rFonts w:hint="eastAsia" w:hAnsi="宋体"/>
          <w:b/>
          <w:color w:val="auto"/>
          <w:highlight w:val="none"/>
          <w:lang w:val="en-US" w:eastAsia="zh-CN"/>
        </w:rPr>
        <w:t>1</w:t>
      </w:r>
      <w:r>
        <w:rPr>
          <w:rFonts w:hint="eastAsia" w:hAnsi="宋体"/>
          <w:b/>
          <w:color w:val="auto"/>
          <w:highlight w:val="none"/>
        </w:rPr>
        <w:t>、</w:t>
      </w:r>
      <w:r>
        <w:rPr>
          <w:rFonts w:hint="eastAsia" w:hAnsi="宋体"/>
          <w:b/>
          <w:color w:val="auto"/>
          <w:highlight w:val="none"/>
          <w:lang w:val="en-US" w:eastAsia="zh-CN"/>
        </w:rPr>
        <w:t>酸性库</w:t>
      </w:r>
      <w:r>
        <w:rPr>
          <w:rFonts w:hint="eastAsia" w:hAnsi="宋体"/>
          <w:b/>
          <w:color w:val="auto"/>
          <w:highlight w:val="none"/>
        </w:rPr>
        <w:t>泄漏事故的应急措施</w:t>
      </w:r>
    </w:p>
    <w:p>
      <w:pPr>
        <w:adjustRightInd w:val="0"/>
        <w:snapToGrid w:val="0"/>
        <w:spacing w:before="156" w:beforeLines="50"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酸性库</w:t>
      </w:r>
      <w:r>
        <w:rPr>
          <w:rFonts w:hint="eastAsia" w:ascii="Times New Roman" w:hAnsi="Times New Roman" w:eastAsia="宋体" w:cs="Times New Roman"/>
          <w:color w:val="auto"/>
          <w:highlight w:val="none"/>
        </w:rPr>
        <w:t>存放有</w:t>
      </w:r>
      <w:r>
        <w:rPr>
          <w:rFonts w:hint="eastAsia" w:ascii="Times New Roman" w:hAnsi="Times New Roman" w:eastAsia="宋体" w:cs="Times New Roman"/>
          <w:color w:val="auto"/>
          <w:highlight w:val="none"/>
          <w:lang w:val="en-US" w:eastAsia="zh-CN"/>
        </w:rPr>
        <w:t>镀铬起镀液、镀铬起镀液、盐酸、硫酸、</w:t>
      </w:r>
      <w:r>
        <w:rPr>
          <w:rFonts w:hint="default" w:ascii="Times New Roman" w:hAnsi="Times New Roman" w:eastAsia="宋体" w:cs="Times New Roman"/>
          <w:color w:val="auto"/>
          <w:highlight w:val="none"/>
          <w:lang w:val="en-US" w:eastAsia="zh-CN"/>
        </w:rPr>
        <w:t>脱脂剂（喷淋清洁剂）</w:t>
      </w:r>
      <w:r>
        <w:rPr>
          <w:rFonts w:hint="eastAsia" w:ascii="Times New Roman" w:hAnsi="Times New Roman" w:eastAsia="宋体" w:cs="Times New Roman"/>
          <w:color w:val="auto"/>
          <w:highlight w:val="none"/>
          <w:lang w:val="en-US" w:eastAsia="zh-CN"/>
        </w:rPr>
        <w:t>等</w:t>
      </w:r>
      <w:r>
        <w:rPr>
          <w:rFonts w:hint="eastAsia" w:ascii="Times New Roman" w:hAnsi="Times New Roman" w:eastAsia="宋体" w:cs="Times New Roman"/>
          <w:color w:val="auto"/>
          <w:highlight w:val="none"/>
        </w:rPr>
        <w:t>。实验室内储存有少量硫酸、盐酸。化学品泄漏应急措施如下：</w:t>
      </w:r>
    </w:p>
    <w:p>
      <w:pPr>
        <w:snapToGrid w:val="0"/>
        <w:spacing w:line="360" w:lineRule="auto"/>
        <w:ind w:firstLine="480" w:firstLineChars="200"/>
        <w:rPr>
          <w:color w:val="auto"/>
          <w:szCs w:val="28"/>
          <w:highlight w:val="none"/>
        </w:rPr>
      </w:pPr>
      <w:r>
        <w:rPr>
          <w:rFonts w:hint="eastAsia"/>
          <w:color w:val="auto"/>
          <w:szCs w:val="28"/>
          <w:highlight w:val="none"/>
        </w:rPr>
        <w:t>（1）</w:t>
      </w:r>
      <w:r>
        <w:rPr>
          <w:rFonts w:hint="eastAsia"/>
          <w:color w:val="auto"/>
          <w:szCs w:val="28"/>
          <w:highlight w:val="none"/>
          <w:lang w:val="en-US" w:eastAsia="zh-CN"/>
        </w:rPr>
        <w:t>立即去车间应急救援柜中获取救援物资，救援柜内</w:t>
      </w:r>
      <w:r>
        <w:rPr>
          <w:rFonts w:hint="eastAsia"/>
          <w:color w:val="auto"/>
          <w:szCs w:val="28"/>
          <w:highlight w:val="none"/>
        </w:rPr>
        <w:t>有</w:t>
      </w:r>
      <w:r>
        <w:rPr>
          <w:rFonts w:hint="eastAsia"/>
          <w:color w:val="auto"/>
          <w:szCs w:val="28"/>
          <w:highlight w:val="none"/>
          <w:lang w:val="en-US" w:eastAsia="zh-CN"/>
        </w:rPr>
        <w:t>防化服、防化靴、</w:t>
      </w:r>
      <w:r>
        <w:rPr>
          <w:rFonts w:hint="eastAsia"/>
          <w:color w:val="auto"/>
          <w:szCs w:val="28"/>
          <w:highlight w:val="none"/>
        </w:rPr>
        <w:t>护目镜、</w:t>
      </w:r>
      <w:r>
        <w:rPr>
          <w:rFonts w:hint="eastAsia"/>
          <w:color w:val="auto"/>
          <w:szCs w:val="28"/>
          <w:highlight w:val="none"/>
          <w:lang w:val="en-US" w:eastAsia="zh-CN"/>
        </w:rPr>
        <w:t>条状吸油棉、片状吸油</w:t>
      </w:r>
      <w:r>
        <w:rPr>
          <w:rFonts w:hint="eastAsia"/>
          <w:color w:val="auto"/>
          <w:szCs w:val="28"/>
          <w:highlight w:val="none"/>
        </w:rPr>
        <w:t>棉、防化手套、</w:t>
      </w:r>
      <w:r>
        <w:rPr>
          <w:rFonts w:hint="eastAsia"/>
          <w:color w:val="auto"/>
          <w:szCs w:val="28"/>
          <w:highlight w:val="none"/>
          <w:lang w:val="en-US" w:eastAsia="zh-CN"/>
        </w:rPr>
        <w:t>等</w:t>
      </w:r>
      <w:r>
        <w:rPr>
          <w:rFonts w:hint="eastAsia"/>
          <w:color w:val="auto"/>
          <w:szCs w:val="28"/>
          <w:highlight w:val="none"/>
        </w:rPr>
        <w:t>。</w:t>
      </w:r>
    </w:p>
    <w:p>
      <w:pPr>
        <w:snapToGrid w:val="0"/>
        <w:spacing w:line="360" w:lineRule="auto"/>
        <w:ind w:firstLine="480" w:firstLineChars="200"/>
        <w:rPr>
          <w:color w:val="auto"/>
          <w:szCs w:val="28"/>
          <w:highlight w:val="none"/>
        </w:rPr>
      </w:pPr>
      <w:r>
        <w:rPr>
          <w:rFonts w:hint="eastAsia"/>
          <w:color w:val="auto"/>
          <w:szCs w:val="28"/>
          <w:highlight w:val="none"/>
        </w:rPr>
        <w:t>（</w:t>
      </w:r>
      <w:r>
        <w:rPr>
          <w:rFonts w:hint="eastAsia"/>
          <w:color w:val="auto"/>
          <w:szCs w:val="28"/>
          <w:highlight w:val="none"/>
          <w:lang w:val="en-US" w:eastAsia="zh-CN"/>
        </w:rPr>
        <w:t>2</w:t>
      </w:r>
      <w:r>
        <w:rPr>
          <w:rFonts w:hint="eastAsia"/>
          <w:color w:val="auto"/>
          <w:szCs w:val="28"/>
          <w:highlight w:val="none"/>
        </w:rPr>
        <w:t>）戴好防化眼镜</w:t>
      </w:r>
      <w:r>
        <w:rPr>
          <w:rFonts w:hint="eastAsia"/>
          <w:color w:val="auto"/>
          <w:szCs w:val="28"/>
          <w:highlight w:val="none"/>
          <w:lang w:eastAsia="zh-CN"/>
        </w:rPr>
        <w:t>和</w:t>
      </w:r>
      <w:r>
        <w:rPr>
          <w:rFonts w:hint="eastAsia"/>
          <w:color w:val="auto"/>
          <w:szCs w:val="28"/>
          <w:highlight w:val="none"/>
        </w:rPr>
        <w:t>手套进行泄漏物的处理：用条状吸附棉将泄漏物围起，防止其扩散；当泄漏量大时，将</w:t>
      </w:r>
      <w:r>
        <w:rPr>
          <w:rFonts w:hint="eastAsia"/>
          <w:color w:val="auto"/>
          <w:szCs w:val="28"/>
          <w:highlight w:val="none"/>
          <w:lang w:val="en-US" w:eastAsia="zh-CN"/>
        </w:rPr>
        <w:t>条状吸油棉</w:t>
      </w:r>
      <w:r>
        <w:rPr>
          <w:rFonts w:hint="eastAsia"/>
          <w:color w:val="auto"/>
          <w:szCs w:val="28"/>
          <w:highlight w:val="none"/>
        </w:rPr>
        <w:t>抛入</w:t>
      </w:r>
      <w:r>
        <w:rPr>
          <w:rFonts w:hint="eastAsia"/>
          <w:color w:val="auto"/>
          <w:szCs w:val="28"/>
          <w:highlight w:val="none"/>
          <w:lang w:val="en-US" w:eastAsia="zh-CN"/>
        </w:rPr>
        <w:t>泄漏</w:t>
      </w:r>
      <w:r>
        <w:rPr>
          <w:rFonts w:hint="eastAsia"/>
          <w:color w:val="auto"/>
          <w:szCs w:val="28"/>
          <w:highlight w:val="none"/>
        </w:rPr>
        <w:t>物中，泄漏量小时，只需抛入片状</w:t>
      </w:r>
      <w:r>
        <w:rPr>
          <w:rFonts w:hint="eastAsia"/>
          <w:color w:val="auto"/>
          <w:szCs w:val="28"/>
          <w:highlight w:val="none"/>
          <w:lang w:val="en-US" w:eastAsia="zh-CN"/>
        </w:rPr>
        <w:t>吸油棉</w:t>
      </w:r>
      <w:r>
        <w:rPr>
          <w:rFonts w:hint="eastAsia"/>
          <w:color w:val="auto"/>
          <w:szCs w:val="28"/>
          <w:highlight w:val="none"/>
        </w:rPr>
        <w:t>。</w:t>
      </w:r>
    </w:p>
    <w:p>
      <w:pPr>
        <w:spacing w:line="360" w:lineRule="auto"/>
        <w:ind w:firstLine="480" w:firstLineChars="200"/>
        <w:rPr>
          <w:color w:val="auto"/>
          <w:szCs w:val="28"/>
          <w:highlight w:val="none"/>
        </w:rPr>
      </w:pPr>
      <w:r>
        <w:rPr>
          <w:rFonts w:hint="eastAsia"/>
          <w:color w:val="auto"/>
          <w:szCs w:val="28"/>
          <w:highlight w:val="none"/>
        </w:rPr>
        <w:t>（</w:t>
      </w:r>
      <w:r>
        <w:rPr>
          <w:rFonts w:hint="eastAsia"/>
          <w:color w:val="auto"/>
          <w:szCs w:val="28"/>
          <w:highlight w:val="none"/>
          <w:lang w:val="en-US" w:eastAsia="zh-CN"/>
        </w:rPr>
        <w:t>3</w:t>
      </w:r>
      <w:r>
        <w:rPr>
          <w:rFonts w:hint="eastAsia"/>
          <w:color w:val="auto"/>
          <w:szCs w:val="28"/>
          <w:highlight w:val="none"/>
        </w:rPr>
        <w:t>）待</w:t>
      </w:r>
      <w:r>
        <w:rPr>
          <w:rFonts w:hint="eastAsia"/>
          <w:color w:val="auto"/>
          <w:szCs w:val="28"/>
          <w:highlight w:val="none"/>
          <w:lang w:val="en-US" w:eastAsia="zh-CN"/>
        </w:rPr>
        <w:t>泄漏</w:t>
      </w:r>
      <w:r>
        <w:rPr>
          <w:rFonts w:hint="eastAsia"/>
          <w:color w:val="auto"/>
          <w:szCs w:val="28"/>
          <w:highlight w:val="none"/>
        </w:rPr>
        <w:t>物充分吸收后，将液体回收，可以绞干吸液产品（吸液产品可再次使用），并用有害废物盛装袋或容器盛装液体，放进危险品库。</w:t>
      </w:r>
    </w:p>
    <w:p>
      <w:pPr>
        <w:autoSpaceDE w:val="0"/>
        <w:autoSpaceDN w:val="0"/>
        <w:adjustRightInd w:val="0"/>
        <w:spacing w:line="360" w:lineRule="auto"/>
        <w:ind w:firstLine="482" w:firstLineChars="200"/>
        <w:rPr>
          <w:rFonts w:hint="eastAsia" w:ascii="Times New Roman" w:hAnsi="宋体" w:eastAsia="宋体" w:cs="Times New Roman"/>
          <w:b/>
          <w:color w:val="auto"/>
          <w:highlight w:val="none"/>
          <w:lang w:val="en-US" w:eastAsia="zh-CN"/>
        </w:rPr>
      </w:pPr>
      <w:r>
        <w:rPr>
          <w:rFonts w:hint="eastAsia" w:ascii="Times New Roman" w:hAnsi="宋体" w:eastAsia="宋体" w:cs="Times New Roman"/>
          <w:b/>
          <w:color w:val="auto"/>
          <w:highlight w:val="none"/>
          <w:lang w:val="en-US" w:eastAsia="zh-CN"/>
        </w:rPr>
        <w:t>2、生产车间泄漏事故的应急处置措施</w:t>
      </w:r>
    </w:p>
    <w:p>
      <w:pPr>
        <w:autoSpaceDE w:val="0"/>
        <w:autoSpaceDN w:val="0"/>
        <w:adjustRightInd w:val="0"/>
        <w:spacing w:line="360" w:lineRule="auto"/>
        <w:ind w:firstLine="480" w:firstLineChars="200"/>
        <w:rPr>
          <w:color w:val="auto"/>
          <w:highlight w:val="none"/>
        </w:rPr>
      </w:pPr>
      <w:r>
        <w:rPr>
          <w:rFonts w:hint="eastAsia"/>
          <w:color w:val="auto"/>
          <w:highlight w:val="none"/>
        </w:rPr>
        <w:t>①车间值班人员如发生泄漏，如因少量撒漏等可以及时控制泄漏源的，则由值班人员及时控制并对少量泄漏物料用干燥的棉布、抹布等吸附或用洁净的铲子收集后放入密封容器内，操作时自身应做好防护。</w:t>
      </w:r>
    </w:p>
    <w:p>
      <w:pPr>
        <w:autoSpaceDE w:val="0"/>
        <w:autoSpaceDN w:val="0"/>
        <w:adjustRightInd w:val="0"/>
        <w:spacing w:line="360" w:lineRule="auto"/>
        <w:ind w:firstLine="480" w:firstLineChars="200"/>
        <w:rPr>
          <w:rFonts w:hint="eastAsia" w:eastAsia="宋体"/>
          <w:color w:val="auto"/>
          <w:highlight w:val="none"/>
          <w:lang w:eastAsia="zh-CN"/>
        </w:rPr>
      </w:pPr>
      <w:r>
        <w:rPr>
          <w:rFonts w:hint="eastAsia"/>
          <w:color w:val="auto"/>
          <w:highlight w:val="none"/>
        </w:rPr>
        <w:t>②如生产车间</w:t>
      </w:r>
      <w:r>
        <w:rPr>
          <w:rFonts w:hint="eastAsia"/>
          <w:color w:val="auto"/>
          <w:highlight w:val="none"/>
          <w:lang w:val="en-US" w:eastAsia="zh-CN"/>
        </w:rPr>
        <w:t>槽液</w:t>
      </w:r>
      <w:r>
        <w:rPr>
          <w:rFonts w:hint="eastAsia"/>
          <w:color w:val="auto"/>
          <w:highlight w:val="none"/>
        </w:rPr>
        <w:t>大量泄漏，生产车间办公室值班人员立即通知部门主管，主管将事故状态报告</w:t>
      </w:r>
      <w:r>
        <w:rPr>
          <w:rFonts w:hint="eastAsia"/>
          <w:color w:val="auto"/>
          <w:highlight w:val="none"/>
          <w:lang w:val="en-US" w:eastAsia="zh-CN"/>
        </w:rPr>
        <w:t>副指挥（吴科飞）</w:t>
      </w:r>
      <w:r>
        <w:rPr>
          <w:rFonts w:hint="eastAsia"/>
          <w:color w:val="auto"/>
          <w:highlight w:val="none"/>
        </w:rPr>
        <w:t>进行指挥，应急指挥告知门卫播放广播（物料发生泄漏，全厂人员到北门卫集合）。应急处置组到北门集合，委派相关专业人员第一时间达到现场</w:t>
      </w:r>
      <w:r>
        <w:rPr>
          <w:color w:val="auto"/>
          <w:highlight w:val="none"/>
        </w:rPr>
        <w:t>寻找</w:t>
      </w:r>
      <w:r>
        <w:rPr>
          <w:rFonts w:hint="eastAsia"/>
          <w:color w:val="auto"/>
          <w:highlight w:val="none"/>
        </w:rPr>
        <w:t>泄漏源并</w:t>
      </w:r>
      <w:r>
        <w:rPr>
          <w:color w:val="auto"/>
          <w:highlight w:val="none"/>
        </w:rPr>
        <w:t>进行堵漏</w:t>
      </w:r>
      <w:r>
        <w:rPr>
          <w:rFonts w:hint="eastAsia"/>
          <w:color w:val="auto"/>
          <w:highlight w:val="none"/>
        </w:rPr>
        <w:t>。去之前做好个人防护</w:t>
      </w:r>
      <w:r>
        <w:rPr>
          <w:rFonts w:hint="eastAsia"/>
          <w:color w:val="auto"/>
          <w:highlight w:val="none"/>
          <w:lang w:eastAsia="zh-CN"/>
        </w:rPr>
        <w:t>。</w:t>
      </w:r>
    </w:p>
    <w:p>
      <w:pPr>
        <w:autoSpaceDE w:val="0"/>
        <w:autoSpaceDN w:val="0"/>
        <w:adjustRightInd w:val="0"/>
        <w:spacing w:line="360" w:lineRule="auto"/>
        <w:ind w:firstLine="480" w:firstLineChars="200"/>
        <w:rPr>
          <w:color w:val="auto"/>
          <w:highlight w:val="none"/>
        </w:rPr>
      </w:pPr>
      <w:r>
        <w:rPr>
          <w:rFonts w:hint="eastAsia"/>
          <w:color w:val="auto"/>
          <w:highlight w:val="none"/>
        </w:rPr>
        <w:t>③现场设置防护范围，对泄漏源</w:t>
      </w:r>
      <w:r>
        <w:rPr>
          <w:color w:val="auto"/>
          <w:highlight w:val="none"/>
        </w:rPr>
        <w:t>进行封堵</w:t>
      </w:r>
      <w:r>
        <w:rPr>
          <w:rFonts w:hint="eastAsia"/>
          <w:color w:val="auto"/>
          <w:highlight w:val="none"/>
        </w:rPr>
        <w:t>处理。</w:t>
      </w:r>
    </w:p>
    <w:p>
      <w:pPr>
        <w:autoSpaceDE w:val="0"/>
        <w:autoSpaceDN w:val="0"/>
        <w:adjustRightInd w:val="0"/>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④根据物料泄漏情况及控制情况，第一时间通知</w:t>
      </w:r>
      <w:r>
        <w:rPr>
          <w:rFonts w:hint="default" w:ascii="Times New Roman" w:hAnsi="Times New Roman" w:eastAsia="宋体" w:cs="Times New Roman"/>
          <w:color w:val="auto"/>
          <w:highlight w:val="none"/>
        </w:rPr>
        <w:t>事故处理组付涛</w:t>
      </w:r>
      <w:r>
        <w:rPr>
          <w:rFonts w:hint="eastAsia" w:ascii="Times New Roman" w:hAnsi="Times New Roman" w:eastAsia="宋体" w:cs="Times New Roman"/>
          <w:color w:val="auto"/>
          <w:highlight w:val="none"/>
        </w:rPr>
        <w:t>（</w:t>
      </w:r>
      <w:r>
        <w:rPr>
          <w:rFonts w:hint="default" w:ascii="Times New Roman" w:hAnsi="Times New Roman" w:eastAsia="宋体" w:cs="Times New Roman"/>
          <w:color w:val="auto"/>
          <w:highlight w:val="none"/>
        </w:rPr>
        <w:t>18861865906</w:t>
      </w:r>
      <w:r>
        <w:rPr>
          <w:rFonts w:hint="eastAsia" w:ascii="Times New Roman" w:hAnsi="Times New Roman" w:eastAsia="宋体" w:cs="Times New Roman"/>
          <w:color w:val="auto"/>
          <w:highlight w:val="none"/>
        </w:rPr>
        <w:t>），委派相关人员就近确认</w:t>
      </w:r>
      <w:r>
        <w:rPr>
          <w:rFonts w:hint="eastAsia" w:ascii="Times New Roman" w:hAnsi="Times New Roman" w:eastAsia="宋体" w:cs="Times New Roman"/>
          <w:color w:val="auto"/>
          <w:highlight w:val="none"/>
          <w:lang w:val="en-US" w:eastAsia="zh-CN"/>
        </w:rPr>
        <w:t>厂区</w:t>
      </w:r>
      <w:r>
        <w:rPr>
          <w:rFonts w:hint="eastAsia" w:ascii="Times New Roman" w:hAnsi="Times New Roman" w:eastAsia="宋体" w:cs="Times New Roman"/>
          <w:color w:val="auto"/>
          <w:highlight w:val="none"/>
        </w:rPr>
        <w:t>雨水排放口切断阀处于关闭状态，同时为了确保事故影响范围。</w:t>
      </w:r>
    </w:p>
    <w:p>
      <w:pPr>
        <w:autoSpaceDE w:val="0"/>
        <w:autoSpaceDN w:val="0"/>
        <w:adjustRightInd w:val="0"/>
        <w:spacing w:line="360" w:lineRule="auto"/>
        <w:ind w:firstLine="480" w:firstLineChars="200"/>
        <w:rPr>
          <w:color w:val="auto"/>
          <w:highlight w:val="none"/>
        </w:rPr>
      </w:pPr>
      <w:r>
        <w:rPr>
          <w:rFonts w:hint="eastAsia"/>
          <w:color w:val="auto"/>
          <w:highlight w:val="none"/>
        </w:rPr>
        <w:t>⑤如无法及时进行</w:t>
      </w:r>
      <w:r>
        <w:rPr>
          <w:color w:val="auto"/>
          <w:highlight w:val="none"/>
        </w:rPr>
        <w:t>堵漏，</w:t>
      </w:r>
      <w:r>
        <w:rPr>
          <w:rFonts w:hint="eastAsia"/>
          <w:color w:val="auto"/>
          <w:highlight w:val="none"/>
        </w:rPr>
        <w:t>或事故结束后</w:t>
      </w:r>
      <w:r>
        <w:rPr>
          <w:color w:val="auto"/>
          <w:highlight w:val="none"/>
        </w:rPr>
        <w:t>泄漏物料</w:t>
      </w:r>
      <w:r>
        <w:rPr>
          <w:rFonts w:hint="eastAsia"/>
          <w:color w:val="auto"/>
          <w:highlight w:val="none"/>
        </w:rPr>
        <w:t>通过生产车间内的应急沟收集进入厂区污水管网，通过切换阀泵入事故应急池暂存，如泄漏物料必须要泵入污水处理</w:t>
      </w:r>
      <w:r>
        <w:rPr>
          <w:rFonts w:hint="eastAsia"/>
          <w:color w:val="auto"/>
          <w:highlight w:val="none"/>
          <w:lang w:val="en-US" w:eastAsia="zh-CN"/>
        </w:rPr>
        <w:t>设施收集</w:t>
      </w:r>
      <w:r>
        <w:rPr>
          <w:rFonts w:hint="eastAsia"/>
          <w:color w:val="auto"/>
          <w:highlight w:val="none"/>
        </w:rPr>
        <w:t>池</w:t>
      </w:r>
      <w:r>
        <w:rPr>
          <w:rFonts w:hint="eastAsia"/>
          <w:color w:val="auto"/>
          <w:highlight w:val="none"/>
          <w:lang w:val="en-US" w:eastAsia="zh-CN"/>
        </w:rPr>
        <w:t>内</w:t>
      </w:r>
      <w:r>
        <w:rPr>
          <w:rFonts w:hint="eastAsia"/>
          <w:color w:val="auto"/>
          <w:highlight w:val="none"/>
        </w:rPr>
        <w:t>进行暂存。</w:t>
      </w:r>
    </w:p>
    <w:p>
      <w:pPr>
        <w:autoSpaceDE w:val="0"/>
        <w:autoSpaceDN w:val="0"/>
        <w:adjustRightInd w:val="0"/>
        <w:spacing w:line="360" w:lineRule="auto"/>
        <w:ind w:firstLine="480" w:firstLineChars="200"/>
        <w:rPr>
          <w:color w:val="auto"/>
          <w:highlight w:val="none"/>
        </w:rPr>
      </w:pPr>
      <w:r>
        <w:rPr>
          <w:rFonts w:hint="eastAsia"/>
          <w:color w:val="auto"/>
          <w:highlight w:val="none"/>
        </w:rPr>
        <w:t>⑥事故结束后，对生产车间地面残留的物料可用水冲洗稀释进行现场洗消、处理工作，部分区域可用黄沙或棉布吸附，冲洗水等收集进入污水管网，通过切换阀泵入事故应急池</w:t>
      </w:r>
      <w:r>
        <w:rPr>
          <w:rFonts w:hint="eastAsia"/>
          <w:color w:val="auto"/>
          <w:highlight w:val="none"/>
          <w:lang w:eastAsia="zh-CN"/>
        </w:rPr>
        <w:t>、</w:t>
      </w:r>
      <w:r>
        <w:rPr>
          <w:rFonts w:hint="eastAsia"/>
          <w:color w:val="auto"/>
          <w:highlight w:val="none"/>
        </w:rPr>
        <w:t>污水处理</w:t>
      </w:r>
      <w:r>
        <w:rPr>
          <w:rFonts w:hint="eastAsia"/>
          <w:color w:val="auto"/>
          <w:highlight w:val="none"/>
          <w:lang w:val="en-US" w:eastAsia="zh-CN"/>
        </w:rPr>
        <w:t>设施收集</w:t>
      </w:r>
      <w:r>
        <w:rPr>
          <w:rFonts w:hint="eastAsia"/>
          <w:color w:val="auto"/>
          <w:highlight w:val="none"/>
        </w:rPr>
        <w:t>池内进行暂存。事故结束后通过厂内污水处理</w:t>
      </w:r>
      <w:r>
        <w:rPr>
          <w:rFonts w:hint="eastAsia"/>
          <w:color w:val="auto"/>
          <w:highlight w:val="none"/>
          <w:lang w:val="en-US" w:eastAsia="zh-CN"/>
        </w:rPr>
        <w:t>设施</w:t>
      </w:r>
      <w:r>
        <w:rPr>
          <w:rFonts w:hint="eastAsia"/>
          <w:color w:val="auto"/>
          <w:highlight w:val="none"/>
        </w:rPr>
        <w:t>处理或交由资质单位进行处置。</w:t>
      </w:r>
      <w:r>
        <w:rPr>
          <w:rFonts w:hint="eastAsia"/>
          <w:color w:val="auto"/>
          <w:highlight w:val="none"/>
          <w:lang w:val="en-US" w:eastAsia="zh-CN"/>
        </w:rPr>
        <w:t>吸油</w:t>
      </w:r>
      <w:r>
        <w:rPr>
          <w:rFonts w:hint="eastAsia"/>
          <w:color w:val="auto"/>
          <w:highlight w:val="none"/>
        </w:rPr>
        <w:t>棉布根据沾染物料的特性按照规定就行处置。</w:t>
      </w:r>
    </w:p>
    <w:p>
      <w:pPr>
        <w:autoSpaceDE w:val="0"/>
        <w:autoSpaceDN w:val="0"/>
        <w:adjustRightInd w:val="0"/>
        <w:spacing w:line="360" w:lineRule="auto"/>
        <w:ind w:firstLine="482" w:firstLineChars="200"/>
        <w:rPr>
          <w:rFonts w:hAnsi="宋体"/>
          <w:b/>
          <w:color w:val="auto"/>
          <w:highlight w:val="none"/>
        </w:rPr>
      </w:pPr>
      <w:r>
        <w:rPr>
          <w:rFonts w:hint="eastAsia" w:hAnsi="宋体"/>
          <w:b/>
          <w:color w:val="auto"/>
          <w:highlight w:val="none"/>
          <w:lang w:val="en-US" w:eastAsia="zh-CN"/>
        </w:rPr>
        <w:t>3</w:t>
      </w:r>
      <w:r>
        <w:rPr>
          <w:rFonts w:hint="eastAsia" w:hAnsi="宋体"/>
          <w:b/>
          <w:color w:val="auto"/>
          <w:highlight w:val="none"/>
        </w:rPr>
        <w:t>、</w:t>
      </w:r>
      <w:r>
        <w:rPr>
          <w:rFonts w:hAnsi="宋体"/>
          <w:b/>
          <w:color w:val="auto"/>
          <w:highlight w:val="none"/>
        </w:rPr>
        <w:t>危险化学品、危险废物运输过程中泄漏应急措施</w:t>
      </w:r>
    </w:p>
    <w:p>
      <w:pPr>
        <w:autoSpaceDE w:val="0"/>
        <w:autoSpaceDN w:val="0"/>
        <w:adjustRightInd w:val="0"/>
        <w:snapToGrid w:val="0"/>
        <w:spacing w:line="360" w:lineRule="auto"/>
        <w:ind w:firstLine="480" w:firstLineChars="200"/>
        <w:rPr>
          <w:color w:val="auto"/>
          <w:highlight w:val="none"/>
        </w:rPr>
      </w:pPr>
      <w:r>
        <w:rPr>
          <w:rFonts w:hAnsi="宋体"/>
          <w:color w:val="auto"/>
          <w:highlight w:val="none"/>
        </w:rPr>
        <w:t>（</w:t>
      </w:r>
      <w:r>
        <w:rPr>
          <w:color w:val="auto"/>
          <w:highlight w:val="none"/>
        </w:rPr>
        <w:t>1</w:t>
      </w:r>
      <w:r>
        <w:rPr>
          <w:rFonts w:hAnsi="宋体"/>
          <w:color w:val="auto"/>
          <w:highlight w:val="none"/>
        </w:rPr>
        <w:t>）发现泄漏的运输危险化学品、危险废物的驾驶员、押运员立即通知托运方厂内应急指挥小组或消防部门，并根据泄露的化学品或危险废物的特性进行临时应急对应。如在</w:t>
      </w:r>
      <w:r>
        <w:rPr>
          <w:rFonts w:hint="eastAsia" w:hAnsi="宋体"/>
          <w:color w:val="auto"/>
          <w:highlight w:val="none"/>
        </w:rPr>
        <w:t>厂</w:t>
      </w:r>
      <w:r>
        <w:rPr>
          <w:rFonts w:hAnsi="宋体"/>
          <w:color w:val="auto"/>
          <w:highlight w:val="none"/>
        </w:rPr>
        <w:t>内发生泄漏，还应立即通知厂内应急指挥小组，运输的危险化学品泄露由化学品购买部门、供应商进行应急对应，运输的危险废物泄露由废物管理部门、废物运输业者协同对应。</w:t>
      </w:r>
    </w:p>
    <w:p>
      <w:pPr>
        <w:autoSpaceDE w:val="0"/>
        <w:autoSpaceDN w:val="0"/>
        <w:adjustRightInd w:val="0"/>
        <w:snapToGrid w:val="0"/>
        <w:spacing w:line="360" w:lineRule="auto"/>
        <w:ind w:firstLine="480" w:firstLineChars="200"/>
        <w:rPr>
          <w:color w:val="auto"/>
          <w:highlight w:val="none"/>
        </w:rPr>
      </w:pPr>
      <w:r>
        <w:rPr>
          <w:rFonts w:hAnsi="宋体"/>
          <w:color w:val="auto"/>
          <w:highlight w:val="none"/>
        </w:rPr>
        <w:t>（</w:t>
      </w:r>
      <w:r>
        <w:rPr>
          <w:rFonts w:hint="eastAsia"/>
          <w:color w:val="auto"/>
          <w:highlight w:val="none"/>
        </w:rPr>
        <w:t>2</w:t>
      </w:r>
      <w:r>
        <w:rPr>
          <w:rFonts w:hAnsi="宋体"/>
          <w:color w:val="auto"/>
          <w:highlight w:val="none"/>
        </w:rPr>
        <w:t>）对所在道路实施车辆分流，疏散群众、抢救现场中毒人员。</w:t>
      </w:r>
    </w:p>
    <w:p>
      <w:pPr>
        <w:autoSpaceDE w:val="0"/>
        <w:autoSpaceDN w:val="0"/>
        <w:adjustRightInd w:val="0"/>
        <w:snapToGrid w:val="0"/>
        <w:spacing w:line="360" w:lineRule="auto"/>
        <w:ind w:firstLine="480" w:firstLineChars="200"/>
        <w:rPr>
          <w:color w:val="auto"/>
          <w:highlight w:val="none"/>
        </w:rPr>
      </w:pPr>
      <w:r>
        <w:rPr>
          <w:rFonts w:hAnsi="宋体"/>
          <w:color w:val="auto"/>
          <w:highlight w:val="none"/>
        </w:rPr>
        <w:t>（</w:t>
      </w:r>
      <w:r>
        <w:rPr>
          <w:rFonts w:hint="eastAsia"/>
          <w:color w:val="auto"/>
          <w:highlight w:val="none"/>
        </w:rPr>
        <w:t>3</w:t>
      </w:r>
      <w:r>
        <w:rPr>
          <w:rFonts w:hAnsi="宋体"/>
          <w:color w:val="auto"/>
          <w:highlight w:val="none"/>
        </w:rPr>
        <w:t>）及时将有关应急装备、安全防护品、现场应急处置材料等应急物资运送到事故现场（运输危险化学品、危险废物的车辆应配备应急装备品、安全防护用品等应急对应材料）。</w:t>
      </w:r>
    </w:p>
    <w:p>
      <w:pPr>
        <w:autoSpaceDE w:val="0"/>
        <w:autoSpaceDN w:val="0"/>
        <w:adjustRightInd w:val="0"/>
        <w:snapToGrid w:val="0"/>
        <w:spacing w:line="360" w:lineRule="auto"/>
        <w:ind w:firstLine="480" w:firstLineChars="200"/>
        <w:rPr>
          <w:rFonts w:hAnsi="宋体"/>
          <w:color w:val="auto"/>
          <w:highlight w:val="none"/>
        </w:rPr>
      </w:pPr>
      <w:r>
        <w:rPr>
          <w:rFonts w:hAnsi="宋体"/>
          <w:color w:val="auto"/>
          <w:highlight w:val="none"/>
        </w:rPr>
        <w:t>（</w:t>
      </w:r>
      <w:r>
        <w:rPr>
          <w:rFonts w:hint="eastAsia"/>
          <w:color w:val="auto"/>
          <w:highlight w:val="none"/>
        </w:rPr>
        <w:t>4</w:t>
      </w:r>
      <w:r>
        <w:rPr>
          <w:rFonts w:hAnsi="宋体"/>
          <w:color w:val="auto"/>
          <w:highlight w:val="none"/>
        </w:rPr>
        <w:t>）发生储罐、容器、槽车破损，设法堵塞漏洞，切断泄漏源。堵塞漏洞可用</w:t>
      </w:r>
      <w:r>
        <w:rPr>
          <w:rFonts w:hint="eastAsia" w:hAnsi="宋体"/>
          <w:color w:val="auto"/>
          <w:highlight w:val="none"/>
        </w:rPr>
        <w:t>吸附棉</w:t>
      </w:r>
      <w:r>
        <w:rPr>
          <w:rFonts w:hAnsi="宋体"/>
          <w:color w:val="auto"/>
          <w:highlight w:val="none"/>
        </w:rPr>
        <w:t>等材料进行封堵。</w:t>
      </w:r>
    </w:p>
    <w:p>
      <w:pPr>
        <w:autoSpaceDE w:val="0"/>
        <w:autoSpaceDN w:val="0"/>
        <w:adjustRightInd w:val="0"/>
        <w:snapToGrid w:val="0"/>
        <w:spacing w:line="360" w:lineRule="auto"/>
        <w:ind w:firstLine="480" w:firstLineChars="200"/>
        <w:rPr>
          <w:rFonts w:hAnsi="宋体"/>
          <w:color w:val="auto"/>
          <w:highlight w:val="none"/>
        </w:rPr>
      </w:pPr>
      <w:r>
        <w:rPr>
          <w:rFonts w:hAnsi="宋体"/>
          <w:color w:val="auto"/>
          <w:highlight w:val="none"/>
        </w:rPr>
        <w:t>（</w:t>
      </w:r>
      <w:r>
        <w:rPr>
          <w:rFonts w:hint="eastAsia"/>
          <w:color w:val="auto"/>
          <w:highlight w:val="none"/>
        </w:rPr>
        <w:t>5</w:t>
      </w:r>
      <w:r>
        <w:rPr>
          <w:rFonts w:hAnsi="宋体"/>
          <w:color w:val="auto"/>
          <w:highlight w:val="none"/>
        </w:rPr>
        <w:t>）对已泄漏的物料根据其化学性质采取初步处理，如大量泄漏，</w:t>
      </w:r>
      <w:r>
        <w:rPr>
          <w:rFonts w:hint="eastAsia" w:hAnsi="宋体"/>
          <w:color w:val="auto"/>
          <w:highlight w:val="none"/>
        </w:rPr>
        <w:t>可选择泵入应废水集水池收集</w:t>
      </w:r>
      <w:r>
        <w:rPr>
          <w:rFonts w:hAnsi="宋体"/>
          <w:color w:val="auto"/>
          <w:highlight w:val="none"/>
        </w:rPr>
        <w:t>，再转移、回收或无害处理。</w:t>
      </w:r>
    </w:p>
    <w:p>
      <w:pPr>
        <w:pStyle w:val="6"/>
        <w:keepNext/>
        <w:keepLines/>
        <w:pageBreakBefore w:val="0"/>
        <w:widowControl w:val="0"/>
        <w:kinsoku/>
        <w:wordWrap/>
        <w:overflowPunct/>
        <w:topLinePunct w:val="0"/>
        <w:autoSpaceDE/>
        <w:autoSpaceDN/>
        <w:bidi w:val="0"/>
        <w:adjustRightInd w:val="0"/>
        <w:snapToGrid w:val="0"/>
        <w:textAlignment w:val="auto"/>
        <w:rPr>
          <w:color w:val="auto"/>
          <w:highlight w:val="none"/>
        </w:rPr>
      </w:pPr>
      <w:bookmarkStart w:id="234" w:name="1.5.2急救措施"/>
      <w:bookmarkEnd w:id="234"/>
      <w:bookmarkStart w:id="235" w:name="_bookmark102"/>
      <w:bookmarkEnd w:id="235"/>
      <w:r>
        <w:rPr>
          <w:rFonts w:hint="eastAsia"/>
          <w:color w:val="auto"/>
          <w:highlight w:val="none"/>
        </w:rPr>
        <w:t>1.5.2</w:t>
      </w:r>
      <w:r>
        <w:rPr>
          <w:rFonts w:hint="default" w:ascii="Times New Roman" w:hAnsi="Times New Roman" w:cs="Times New Roman"/>
          <w:color w:val="auto"/>
          <w:highlight w:val="none"/>
          <w:lang w:val="en-US" w:eastAsia="zh-CN"/>
        </w:rPr>
        <w:t>应急监测</w:t>
      </w:r>
      <w:r>
        <w:rPr>
          <w:rFonts w:hint="eastAsia" w:cs="Times New Roman"/>
          <w:color w:val="auto"/>
          <w:highlight w:val="none"/>
          <w:lang w:val="en-US" w:eastAsia="zh-CN"/>
        </w:rPr>
        <w:t>、应急物资调用</w:t>
      </w:r>
    </w:p>
    <w:p>
      <w:pPr>
        <w:keepNext w:val="0"/>
        <w:keepLines w:val="0"/>
        <w:pageBreakBefore w:val="0"/>
        <w:widowControl w:val="0"/>
        <w:kinsoku/>
        <w:wordWrap/>
        <w:overflowPunct/>
        <w:topLinePunct w:val="0"/>
        <w:autoSpaceDE/>
        <w:autoSpaceDN/>
        <w:bidi w:val="0"/>
        <w:adjustRightInd w:val="0"/>
        <w:snapToGrid w:val="0"/>
        <w:spacing w:before="120" w:beforeLines="50" w:line="360" w:lineRule="auto"/>
        <w:ind w:firstLine="480" w:firstLineChars="200"/>
        <w:textAlignment w:val="auto"/>
        <w:rPr>
          <w:color w:val="auto"/>
          <w:kern w:val="0"/>
          <w:szCs w:val="28"/>
          <w:highlight w:val="none"/>
        </w:rPr>
      </w:pPr>
      <w:r>
        <w:rPr>
          <w:rFonts w:hint="eastAsia" w:ascii="Times New Roman" w:hAnsi="Times New Roman" w:cs="Times New Roman"/>
          <w:color w:val="auto"/>
          <w:sz w:val="24"/>
          <w:szCs w:val="24"/>
          <w:highlight w:val="none"/>
          <w:lang w:val="en-US" w:eastAsia="zh-CN"/>
        </w:rPr>
        <w:t>具体可见参照综合应急预案。</w:t>
      </w:r>
    </w:p>
    <w:p>
      <w:pPr>
        <w:rPr>
          <w:color w:val="auto"/>
          <w:highlight w:val="none"/>
        </w:rPr>
      </w:pPr>
      <w:r>
        <w:rPr>
          <w:color w:val="auto"/>
          <w:highlight w:val="none"/>
        </w:rPr>
        <w:br w:type="page"/>
      </w:r>
    </w:p>
    <w:p>
      <w:pPr>
        <w:pStyle w:val="4"/>
        <w:rPr>
          <w:color w:val="auto"/>
          <w:highlight w:val="none"/>
        </w:rPr>
      </w:pPr>
      <w:bookmarkStart w:id="236" w:name="_Toc7874"/>
      <w:r>
        <w:rPr>
          <w:color w:val="auto"/>
          <w:highlight w:val="none"/>
        </w:rPr>
        <w:t>2 火灾事故专项应急预案</w:t>
      </w:r>
      <w:bookmarkEnd w:id="236"/>
    </w:p>
    <w:p>
      <w:pPr>
        <w:pStyle w:val="5"/>
        <w:rPr>
          <w:color w:val="auto"/>
          <w:highlight w:val="none"/>
        </w:rPr>
      </w:pPr>
      <w:bookmarkStart w:id="237" w:name="_Toc7953"/>
      <w:r>
        <w:rPr>
          <w:color w:val="auto"/>
          <w:highlight w:val="none"/>
        </w:rPr>
        <w:t>2.1总体要求</w:t>
      </w:r>
      <w:bookmarkEnd w:id="237"/>
    </w:p>
    <w:p>
      <w:pPr>
        <w:spacing w:line="360" w:lineRule="auto"/>
        <w:ind w:firstLine="480" w:firstLineChars="200"/>
        <w:rPr>
          <w:color w:val="auto"/>
          <w:highlight w:val="none"/>
        </w:rPr>
      </w:pPr>
      <w:r>
        <w:rPr>
          <w:color w:val="auto"/>
          <w:highlight w:val="none"/>
        </w:rPr>
        <w:t>本专项应急预案是根据公司生产情况，针对</w:t>
      </w:r>
      <w:r>
        <w:rPr>
          <w:rFonts w:hint="eastAsia"/>
          <w:color w:val="auto"/>
          <w:highlight w:val="none"/>
          <w:lang w:val="en-US" w:eastAsia="zh-CN"/>
        </w:rPr>
        <w:t>生产车间、酸性库、危废仓库等重点风险区域可能发</w:t>
      </w:r>
      <w:r>
        <w:rPr>
          <w:color w:val="auto"/>
          <w:highlight w:val="none"/>
        </w:rPr>
        <w:t>生火灾炸突发环境事件制定的专项预案，包括突发环境事件特征、应急组织机构、应急处置程序、应急处置措施等。</w:t>
      </w:r>
    </w:p>
    <w:p>
      <w:pPr>
        <w:pStyle w:val="5"/>
        <w:rPr>
          <w:color w:val="auto"/>
          <w:highlight w:val="none"/>
        </w:rPr>
      </w:pPr>
      <w:bookmarkStart w:id="238" w:name="_Toc8674"/>
      <w:r>
        <w:rPr>
          <w:color w:val="auto"/>
          <w:highlight w:val="none"/>
        </w:rPr>
        <w:t>2.2 突发环境事件特征</w:t>
      </w:r>
      <w:bookmarkEnd w:id="238"/>
    </w:p>
    <w:p>
      <w:pPr>
        <w:adjustRightInd w:val="0"/>
        <w:snapToGrid w:val="0"/>
        <w:spacing w:line="360" w:lineRule="auto"/>
        <w:ind w:firstLine="480" w:firstLineChars="200"/>
        <w:rPr>
          <w:color w:val="auto"/>
          <w:highlight w:val="none"/>
        </w:rPr>
      </w:pPr>
      <w:r>
        <w:rPr>
          <w:color w:val="auto"/>
          <w:highlight w:val="none"/>
        </w:rPr>
        <w:t>公司可能发生火灾事故情景如下：</w:t>
      </w:r>
    </w:p>
    <w:p>
      <w:pPr>
        <w:adjustRightInd w:val="0"/>
        <w:snapToGrid w:val="0"/>
        <w:jc w:val="center"/>
        <w:rPr>
          <w:b/>
          <w:color w:val="auto"/>
          <w:highlight w:val="none"/>
        </w:rPr>
      </w:pPr>
      <w:r>
        <w:rPr>
          <w:b/>
          <w:color w:val="auto"/>
          <w:highlight w:val="none"/>
        </w:rPr>
        <w:t>2.1  公司可能发生火灾事故情景</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9"/>
        <w:gridCol w:w="1086"/>
        <w:gridCol w:w="1885"/>
        <w:gridCol w:w="485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04" w:type="pct"/>
            <w:vAlign w:val="center"/>
          </w:tcPr>
          <w:p>
            <w:pPr>
              <w:jc w:val="center"/>
              <w:rPr>
                <w:b/>
                <w:color w:val="auto"/>
                <w:kern w:val="0"/>
                <w:sz w:val="18"/>
                <w:szCs w:val="18"/>
                <w:highlight w:val="none"/>
              </w:rPr>
            </w:pPr>
            <w:r>
              <w:rPr>
                <w:b/>
                <w:color w:val="auto"/>
                <w:kern w:val="0"/>
                <w:sz w:val="18"/>
                <w:szCs w:val="18"/>
                <w:highlight w:val="none"/>
              </w:rPr>
              <w:t>事故类型</w:t>
            </w:r>
          </w:p>
        </w:tc>
        <w:tc>
          <w:tcPr>
            <w:tcW w:w="637" w:type="pct"/>
            <w:vAlign w:val="center"/>
          </w:tcPr>
          <w:p>
            <w:pPr>
              <w:jc w:val="center"/>
              <w:rPr>
                <w:b/>
                <w:color w:val="auto"/>
                <w:kern w:val="0"/>
                <w:sz w:val="18"/>
                <w:szCs w:val="18"/>
                <w:highlight w:val="none"/>
              </w:rPr>
            </w:pPr>
            <w:r>
              <w:rPr>
                <w:b/>
                <w:color w:val="auto"/>
                <w:kern w:val="0"/>
                <w:sz w:val="18"/>
                <w:szCs w:val="18"/>
                <w:highlight w:val="none"/>
              </w:rPr>
              <w:t>环境风险危险源</w:t>
            </w:r>
          </w:p>
        </w:tc>
        <w:tc>
          <w:tcPr>
            <w:tcW w:w="1106" w:type="pct"/>
            <w:vAlign w:val="center"/>
          </w:tcPr>
          <w:p>
            <w:pPr>
              <w:jc w:val="center"/>
              <w:rPr>
                <w:b/>
                <w:color w:val="auto"/>
                <w:kern w:val="0"/>
                <w:sz w:val="18"/>
                <w:szCs w:val="18"/>
                <w:highlight w:val="none"/>
              </w:rPr>
            </w:pPr>
            <w:r>
              <w:rPr>
                <w:b/>
                <w:color w:val="auto"/>
                <w:kern w:val="0"/>
                <w:sz w:val="18"/>
                <w:szCs w:val="18"/>
                <w:highlight w:val="none"/>
              </w:rPr>
              <w:t>主要危险物质</w:t>
            </w:r>
          </w:p>
        </w:tc>
        <w:tc>
          <w:tcPr>
            <w:tcW w:w="2851" w:type="pct"/>
            <w:vAlign w:val="center"/>
          </w:tcPr>
          <w:p>
            <w:pPr>
              <w:jc w:val="center"/>
              <w:rPr>
                <w:b/>
                <w:color w:val="auto"/>
                <w:kern w:val="0"/>
                <w:sz w:val="18"/>
                <w:szCs w:val="18"/>
                <w:highlight w:val="none"/>
              </w:rPr>
            </w:pPr>
            <w:r>
              <w:rPr>
                <w:b/>
                <w:color w:val="auto"/>
                <w:kern w:val="0"/>
                <w:sz w:val="18"/>
                <w:szCs w:val="18"/>
                <w:highlight w:val="none"/>
              </w:rPr>
              <w:t>可能引发或次生突发环境事件情景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pct"/>
            <w:vMerge w:val="restart"/>
            <w:vAlign w:val="center"/>
          </w:tcPr>
          <w:p>
            <w:pPr>
              <w:jc w:val="center"/>
              <w:rPr>
                <w:color w:val="auto"/>
                <w:kern w:val="0"/>
                <w:sz w:val="18"/>
                <w:szCs w:val="18"/>
                <w:highlight w:val="none"/>
              </w:rPr>
            </w:pPr>
            <w:r>
              <w:rPr>
                <w:color w:val="auto"/>
                <w:kern w:val="0"/>
                <w:sz w:val="18"/>
                <w:szCs w:val="18"/>
                <w:highlight w:val="none"/>
              </w:rPr>
              <w:t>火灾、爆炸</w:t>
            </w:r>
          </w:p>
        </w:tc>
        <w:tc>
          <w:tcPr>
            <w:tcW w:w="637" w:type="pct"/>
            <w:vAlign w:val="center"/>
          </w:tcPr>
          <w:p>
            <w:pPr>
              <w:jc w:val="center"/>
              <w:rPr>
                <w:color w:val="auto"/>
                <w:sz w:val="18"/>
                <w:szCs w:val="18"/>
                <w:highlight w:val="none"/>
              </w:rPr>
            </w:pPr>
            <w:r>
              <w:rPr>
                <w:rFonts w:hint="default" w:ascii="Times New Roman" w:hAnsi="Times New Roman" w:cs="Times New Roman"/>
                <w:color w:val="auto"/>
                <w:kern w:val="0"/>
                <w:sz w:val="21"/>
                <w:szCs w:val="21"/>
                <w:highlight w:val="none"/>
              </w:rPr>
              <w:t>生产车间</w:t>
            </w:r>
          </w:p>
        </w:tc>
        <w:tc>
          <w:tcPr>
            <w:tcW w:w="1106" w:type="pct"/>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镀铬起镀液、</w:t>
            </w:r>
            <w:r>
              <w:rPr>
                <w:rFonts w:hint="default" w:ascii="Times New Roman" w:hAnsi="Times New Roman" w:eastAsia="宋体" w:cs="Times New Roman"/>
                <w:color w:val="auto"/>
                <w:sz w:val="21"/>
                <w:szCs w:val="21"/>
                <w:highlight w:val="none"/>
                <w:lang w:val="en-US" w:eastAsia="zh-CN"/>
              </w:rPr>
              <w:t>脱脂剂</w:t>
            </w:r>
          </w:p>
          <w:p>
            <w:pPr>
              <w:jc w:val="center"/>
              <w:rPr>
                <w:color w:val="auto"/>
                <w:sz w:val="18"/>
                <w:szCs w:val="18"/>
                <w:highlight w:val="none"/>
              </w:rPr>
            </w:pPr>
            <w:r>
              <w:rPr>
                <w:rFonts w:hint="default" w:ascii="Times New Roman" w:hAnsi="Times New Roman" w:eastAsia="宋体" w:cs="Times New Roman"/>
                <w:color w:val="auto"/>
                <w:sz w:val="21"/>
                <w:szCs w:val="21"/>
                <w:highlight w:val="none"/>
                <w:lang w:val="en-US" w:eastAsia="zh-CN"/>
              </w:rPr>
              <w:t>（喷淋清洁剂）</w:t>
            </w:r>
          </w:p>
        </w:tc>
        <w:tc>
          <w:tcPr>
            <w:tcW w:w="2851" w:type="pct"/>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①</w:t>
            </w:r>
            <w:r>
              <w:rPr>
                <w:rFonts w:hint="default" w:ascii="Times New Roman" w:hAnsi="Times New Roman" w:eastAsia="宋体" w:cs="Times New Roman"/>
                <w:color w:val="auto"/>
                <w:kern w:val="0"/>
                <w:sz w:val="21"/>
                <w:szCs w:val="21"/>
                <w:highlight w:val="none"/>
                <w:lang w:val="en-US" w:eastAsia="zh-CN" w:bidi="ar-SA"/>
              </w:rPr>
              <w:t>因其他区域原因，导致火灾事故；</w:t>
            </w:r>
          </w:p>
          <w:p>
            <w:pPr>
              <w:keepNext w:val="0"/>
              <w:keepLines w:val="0"/>
              <w:pageBreakBefore w:val="0"/>
              <w:kinsoku/>
              <w:wordWrap/>
              <w:overflowPunct/>
              <w:topLinePunct w:val="0"/>
              <w:autoSpaceDE/>
              <w:autoSpaceDN/>
              <w:bidi w:val="0"/>
              <w:adjustRightInd w:val="0"/>
              <w:snapToGrid w:val="0"/>
              <w:jc w:val="left"/>
              <w:rPr>
                <w:color w:val="auto"/>
                <w:kern w:val="0"/>
                <w:sz w:val="18"/>
                <w:szCs w:val="18"/>
                <w:highlight w:val="none"/>
              </w:rPr>
            </w:pPr>
            <w:r>
              <w:rPr>
                <w:rFonts w:hint="eastAsia" w:ascii="宋体" w:hAnsi="宋体" w:eastAsia="宋体" w:cs="宋体"/>
                <w:color w:val="auto"/>
                <w:kern w:val="0"/>
                <w:sz w:val="21"/>
                <w:szCs w:val="21"/>
                <w:highlight w:val="none"/>
                <w:lang w:val="en-US" w:eastAsia="zh-CN" w:bidi="ar-SA"/>
              </w:rPr>
              <w:t>②</w:t>
            </w:r>
            <w:r>
              <w:rPr>
                <w:rFonts w:hint="default" w:ascii="Times New Roman" w:hAnsi="Times New Roman" w:eastAsia="宋体" w:cs="Times New Roman"/>
                <w:color w:val="auto"/>
                <w:kern w:val="0"/>
                <w:sz w:val="21"/>
                <w:szCs w:val="21"/>
                <w:highlight w:val="none"/>
                <w:lang w:val="en-US" w:eastAsia="zh-CN" w:bidi="ar-SA"/>
              </w:rPr>
              <w:t>次生、衍生影响：引燃周围可燃物质；泄漏废液、消防废水、消防土收集不当对外环境的影响；燃烧产物一氧化碳、二氧化碳、氮氧化物、烟尘等对大气环境的影响；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pct"/>
            <w:vMerge w:val="continue"/>
            <w:vAlign w:val="center"/>
          </w:tcPr>
          <w:p>
            <w:pPr>
              <w:jc w:val="center"/>
              <w:rPr>
                <w:color w:val="auto"/>
                <w:kern w:val="0"/>
                <w:sz w:val="18"/>
                <w:szCs w:val="18"/>
                <w:highlight w:val="none"/>
              </w:rPr>
            </w:pPr>
          </w:p>
        </w:tc>
        <w:tc>
          <w:tcPr>
            <w:tcW w:w="637" w:type="pct"/>
            <w:vAlign w:val="center"/>
          </w:tcPr>
          <w:p>
            <w:pPr>
              <w:jc w:val="center"/>
              <w:rPr>
                <w:color w:val="auto"/>
                <w:sz w:val="18"/>
                <w:szCs w:val="18"/>
                <w:highlight w:val="none"/>
              </w:rPr>
            </w:pPr>
            <w:r>
              <w:rPr>
                <w:rFonts w:hint="eastAsia" w:ascii="Times New Roman" w:hAnsi="Times New Roman" w:cs="Times New Roman"/>
                <w:color w:val="auto"/>
                <w:kern w:val="0"/>
                <w:sz w:val="21"/>
                <w:szCs w:val="21"/>
                <w:highlight w:val="none"/>
                <w:lang w:val="en-US" w:eastAsia="zh-CN"/>
              </w:rPr>
              <w:t>酸性库</w:t>
            </w:r>
          </w:p>
        </w:tc>
        <w:tc>
          <w:tcPr>
            <w:tcW w:w="1106" w:type="pct"/>
            <w:vAlign w:val="center"/>
          </w:tcPr>
          <w:p>
            <w:pPr>
              <w:jc w:val="left"/>
              <w:rPr>
                <w:color w:val="auto"/>
                <w:sz w:val="18"/>
                <w:szCs w:val="18"/>
                <w:highlight w:val="none"/>
              </w:rPr>
            </w:pPr>
            <w:r>
              <w:rPr>
                <w:rFonts w:hint="eastAsia" w:ascii="Times New Roman" w:hAnsi="Times New Roman" w:eastAsia="宋体" w:cs="Times New Roman"/>
                <w:color w:val="auto"/>
                <w:sz w:val="21"/>
                <w:szCs w:val="21"/>
                <w:highlight w:val="none"/>
                <w:lang w:val="en-US" w:eastAsia="zh-CN"/>
              </w:rPr>
              <w:t>硫酸、盐酸、镀铬起镀液</w:t>
            </w:r>
          </w:p>
        </w:tc>
        <w:tc>
          <w:tcPr>
            <w:tcW w:w="2851" w:type="pct"/>
            <w:vAlign w:val="center"/>
          </w:tcPr>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fldChar w:fldCharType="begin"/>
            </w:r>
            <w:r>
              <w:rPr>
                <w:rFonts w:hint="default" w:ascii="Times New Roman" w:hAnsi="Times New Roman" w:eastAsia="宋体" w:cs="Times New Roman"/>
                <w:color w:val="auto"/>
                <w:kern w:val="0"/>
                <w:sz w:val="21"/>
                <w:szCs w:val="21"/>
                <w:highlight w:val="none"/>
                <w:lang w:val="en-US" w:eastAsia="zh-CN" w:bidi="ar-SA"/>
              </w:rPr>
              <w:instrText xml:space="preserve"> = 1 \* GB3 </w:instrText>
            </w:r>
            <w:r>
              <w:rPr>
                <w:rFonts w:hint="default" w:ascii="Times New Roman" w:hAnsi="Times New Roman" w:eastAsia="宋体" w:cs="Times New Roman"/>
                <w:color w:val="auto"/>
                <w:kern w:val="0"/>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①</w:t>
            </w:r>
            <w:r>
              <w:rPr>
                <w:rFonts w:hint="default" w:ascii="Times New Roman" w:hAnsi="Times New Roman" w:eastAsia="宋体" w:cs="Times New Roman"/>
                <w:color w:val="auto"/>
                <w:kern w:val="0"/>
                <w:sz w:val="21"/>
                <w:szCs w:val="21"/>
                <w:highlight w:val="none"/>
                <w:lang w:val="en-US" w:eastAsia="zh-CN" w:bidi="ar-SA"/>
              </w:rPr>
              <w:fldChar w:fldCharType="end"/>
            </w:r>
            <w:r>
              <w:rPr>
                <w:rFonts w:hint="default" w:ascii="Times New Roman" w:hAnsi="Times New Roman" w:eastAsia="宋体" w:cs="Times New Roman"/>
                <w:color w:val="auto"/>
                <w:kern w:val="0"/>
                <w:sz w:val="21"/>
                <w:szCs w:val="21"/>
                <w:highlight w:val="none"/>
                <w:lang w:val="en-US" w:eastAsia="zh-CN" w:bidi="ar-SA"/>
              </w:rPr>
              <w:t>硫酸、盐酸</w:t>
            </w:r>
            <w:r>
              <w:rPr>
                <w:rFonts w:hint="eastAsia" w:ascii="Times New Roman" w:hAnsi="Times New Roman" w:eastAsia="宋体" w:cs="Times New Roman"/>
                <w:color w:val="auto"/>
                <w:kern w:val="0"/>
                <w:sz w:val="21"/>
                <w:szCs w:val="21"/>
                <w:highlight w:val="none"/>
                <w:lang w:val="en-US" w:eastAsia="zh-CN" w:bidi="ar-SA"/>
              </w:rPr>
              <w:t>泄漏</w:t>
            </w:r>
            <w:r>
              <w:rPr>
                <w:rFonts w:hint="default" w:ascii="Times New Roman" w:hAnsi="Times New Roman" w:eastAsia="宋体" w:cs="Times New Roman"/>
                <w:color w:val="auto"/>
                <w:kern w:val="0"/>
                <w:sz w:val="21"/>
                <w:szCs w:val="21"/>
                <w:highlight w:val="none"/>
                <w:lang w:val="en-US" w:eastAsia="zh-CN" w:bidi="ar-SA"/>
              </w:rPr>
              <w:t>与氧化其他物料或遇水释放大量的热引发火灾</w:t>
            </w:r>
            <w:r>
              <w:rPr>
                <w:rFonts w:hint="eastAsia" w:ascii="Times New Roman" w:hAnsi="Times New Roman" w:eastAsia="宋体" w:cs="Times New Roman"/>
                <w:color w:val="auto"/>
                <w:kern w:val="0"/>
                <w:sz w:val="21"/>
                <w:szCs w:val="21"/>
                <w:highlight w:val="none"/>
                <w:lang w:val="en-US" w:eastAsia="zh-CN" w:bidi="ar-SA"/>
              </w:rPr>
              <w:t>。</w:t>
            </w:r>
          </w:p>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②</w:t>
            </w:r>
            <w:r>
              <w:rPr>
                <w:rFonts w:hint="eastAsia" w:ascii="Times New Roman" w:hAnsi="Times New Roman" w:eastAsia="宋体" w:cs="Times New Roman"/>
                <w:color w:val="auto"/>
                <w:kern w:val="0"/>
                <w:sz w:val="21"/>
                <w:szCs w:val="21"/>
                <w:highlight w:val="none"/>
                <w:lang w:val="en-US" w:eastAsia="zh-CN" w:bidi="ar-SA"/>
              </w:rPr>
              <w:t>镀铬起镀液泄漏，挥发产生铬酸雾气体，污染空气。</w:t>
            </w:r>
          </w:p>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③因其他区域原因，导致火灾事故；</w:t>
            </w:r>
          </w:p>
          <w:p>
            <w:pPr>
              <w:keepNext w:val="0"/>
              <w:keepLines w:val="0"/>
              <w:pageBreakBefore w:val="0"/>
              <w:kinsoku/>
              <w:wordWrap/>
              <w:overflowPunct/>
              <w:topLinePunct w:val="0"/>
              <w:autoSpaceDE/>
              <w:autoSpaceDN/>
              <w:bidi w:val="0"/>
              <w:adjustRightInd w:val="0"/>
              <w:snapToGrid w:val="0"/>
              <w:jc w:val="left"/>
              <w:rPr>
                <w:color w:val="auto"/>
                <w:kern w:val="0"/>
                <w:sz w:val="18"/>
                <w:szCs w:val="18"/>
                <w:highlight w:val="none"/>
              </w:rPr>
            </w:pPr>
            <w:r>
              <w:rPr>
                <w:rFonts w:hint="eastAsia" w:ascii="Times New Roman" w:hAnsi="Times New Roman" w:eastAsia="宋体" w:cs="Times New Roman"/>
                <w:color w:val="auto"/>
                <w:kern w:val="0"/>
                <w:sz w:val="21"/>
                <w:szCs w:val="21"/>
                <w:highlight w:val="none"/>
                <w:lang w:val="en-US" w:eastAsia="zh-CN" w:bidi="ar-SA"/>
              </w:rPr>
              <w:t>④次生、衍生影响：引燃周围易燃易爆物质；火灾消防液、消防土，消防废水收集不当对外环境的影响；燃烧产物有一氧化碳、二氧化碳、二氧化硫、氮氧化物、颗粒物、氯化氢等，对大气环境的影响。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4" w:type="pct"/>
            <w:vMerge w:val="continue"/>
            <w:vAlign w:val="center"/>
          </w:tcPr>
          <w:p>
            <w:pPr>
              <w:jc w:val="center"/>
              <w:rPr>
                <w:color w:val="auto"/>
                <w:kern w:val="0"/>
                <w:sz w:val="18"/>
                <w:szCs w:val="18"/>
                <w:highlight w:val="none"/>
              </w:rPr>
            </w:pPr>
          </w:p>
        </w:tc>
        <w:tc>
          <w:tcPr>
            <w:tcW w:w="637" w:type="pct"/>
            <w:vAlign w:val="center"/>
          </w:tcPr>
          <w:p>
            <w:pPr>
              <w:spacing w:before="156" w:beforeLines="50"/>
              <w:ind w:left="-60" w:leftChars="-25" w:right="-60" w:rightChars="-25"/>
              <w:jc w:val="center"/>
              <w:rPr>
                <w:color w:val="auto"/>
                <w:sz w:val="18"/>
                <w:szCs w:val="18"/>
                <w:highlight w:val="none"/>
              </w:rPr>
            </w:pPr>
            <w:r>
              <w:rPr>
                <w:color w:val="auto"/>
                <w:sz w:val="18"/>
                <w:szCs w:val="18"/>
                <w:highlight w:val="none"/>
              </w:rPr>
              <w:t>危废仓库</w:t>
            </w:r>
          </w:p>
        </w:tc>
        <w:tc>
          <w:tcPr>
            <w:tcW w:w="1106" w:type="pct"/>
            <w:vAlign w:val="center"/>
          </w:tcPr>
          <w:p>
            <w:pPr>
              <w:spacing w:before="156" w:beforeLines="50"/>
              <w:ind w:left="-60" w:leftChars="-25" w:right="-60" w:rightChars="-25"/>
              <w:jc w:val="center"/>
              <w:rPr>
                <w:rFonts w:hint="eastAsia" w:eastAsia="宋体"/>
                <w:color w:val="auto"/>
                <w:sz w:val="18"/>
                <w:szCs w:val="18"/>
                <w:highlight w:val="none"/>
                <w:lang w:val="en-US" w:eastAsia="zh-CN"/>
              </w:rPr>
            </w:pPr>
            <w:r>
              <w:rPr>
                <w:rFonts w:hint="default" w:ascii="Times New Roman" w:hAnsi="Times New Roman" w:eastAsia="宋体" w:cs="Times New Roman"/>
                <w:color w:val="auto"/>
                <w:kern w:val="0"/>
                <w:sz w:val="21"/>
                <w:szCs w:val="21"/>
                <w:highlight w:val="none"/>
                <w:lang w:val="en-US" w:eastAsia="zh-CN"/>
              </w:rPr>
              <w:t>废弃劳保用品</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废包装袋</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废机油</w:t>
            </w:r>
            <w:r>
              <w:rPr>
                <w:rFonts w:hint="eastAsia" w:ascii="Times New Roman" w:hAnsi="Times New Roman" w:eastAsia="宋体" w:cs="Times New Roman"/>
                <w:color w:val="auto"/>
                <w:kern w:val="0"/>
                <w:sz w:val="21"/>
                <w:szCs w:val="21"/>
                <w:highlight w:val="none"/>
                <w:lang w:val="en-US" w:eastAsia="zh-CN"/>
              </w:rPr>
              <w:t>、</w:t>
            </w:r>
            <w:r>
              <w:rPr>
                <w:rFonts w:hint="eastAsia"/>
                <w:color w:val="auto"/>
                <w:sz w:val="18"/>
                <w:szCs w:val="18"/>
                <w:highlight w:val="none"/>
                <w:lang w:val="en-US" w:eastAsia="zh-CN"/>
              </w:rPr>
              <w:t>废油</w:t>
            </w:r>
          </w:p>
        </w:tc>
        <w:tc>
          <w:tcPr>
            <w:tcW w:w="2851" w:type="pct"/>
            <w:vAlign w:val="center"/>
          </w:tcPr>
          <w:p>
            <w:pPr>
              <w:jc w:val="left"/>
              <w:rPr>
                <w:rFonts w:ascii="Times New Roman" w:hAnsi="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fldChar w:fldCharType="begin"/>
            </w:r>
            <w:r>
              <w:rPr>
                <w:rFonts w:hint="default" w:ascii="Times New Roman" w:hAnsi="Times New Roman" w:eastAsia="宋体" w:cs="Times New Roman"/>
                <w:color w:val="auto"/>
                <w:kern w:val="0"/>
                <w:sz w:val="21"/>
                <w:szCs w:val="21"/>
                <w:highlight w:val="none"/>
                <w:lang w:val="en-US" w:eastAsia="zh-CN" w:bidi="ar-SA"/>
              </w:rPr>
              <w:instrText xml:space="preserve"> = 1 \* GB3 </w:instrText>
            </w:r>
            <w:r>
              <w:rPr>
                <w:rFonts w:hint="default" w:ascii="Times New Roman" w:hAnsi="Times New Roman" w:eastAsia="宋体" w:cs="Times New Roman"/>
                <w:color w:val="auto"/>
                <w:kern w:val="0"/>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①</w:t>
            </w:r>
            <w:r>
              <w:rPr>
                <w:rFonts w:hint="default" w:ascii="Times New Roman" w:hAnsi="Times New Roman" w:eastAsia="宋体" w:cs="Times New Roman"/>
                <w:color w:val="auto"/>
                <w:kern w:val="0"/>
                <w:sz w:val="21"/>
                <w:szCs w:val="21"/>
                <w:highlight w:val="none"/>
                <w:lang w:val="en-US" w:eastAsia="zh-CN" w:bidi="ar-SA"/>
              </w:rPr>
              <w:fldChar w:fldCharType="end"/>
            </w:r>
            <w:r>
              <w:rPr>
                <w:rFonts w:hint="eastAsia" w:ascii="Times New Roman" w:hAnsi="Times New Roman"/>
                <w:color w:val="auto"/>
                <w:sz w:val="21"/>
                <w:szCs w:val="21"/>
                <w:highlight w:val="none"/>
              </w:rPr>
              <w:t>存放的废油遇明火</w:t>
            </w:r>
            <w:r>
              <w:rPr>
                <w:rFonts w:ascii="Times New Roman" w:hAnsi="Times New Roman"/>
                <w:color w:val="auto"/>
                <w:sz w:val="21"/>
                <w:szCs w:val="21"/>
                <w:highlight w:val="none"/>
              </w:rPr>
              <w:t>，导致火灾事故；</w:t>
            </w:r>
          </w:p>
          <w:p>
            <w:pPr>
              <w:jc w:val="left"/>
              <w:rPr>
                <w:color w:val="auto"/>
                <w:kern w:val="0"/>
                <w:sz w:val="18"/>
                <w:szCs w:val="18"/>
                <w:highlight w:val="none"/>
              </w:rPr>
            </w:pPr>
            <w:r>
              <w:rPr>
                <w:rFonts w:ascii="Times New Roman" w:hAnsi="Times New Roman"/>
                <w:color w:val="auto"/>
                <w:sz w:val="21"/>
                <w:szCs w:val="21"/>
                <w:highlight w:val="none"/>
              </w:rPr>
              <w:fldChar w:fldCharType="begin"/>
            </w:r>
            <w:r>
              <w:rPr>
                <w:rFonts w:ascii="Times New Roman" w:hAnsi="Times New Roman"/>
                <w:color w:val="auto"/>
                <w:sz w:val="21"/>
                <w:szCs w:val="21"/>
                <w:highlight w:val="none"/>
              </w:rPr>
              <w:instrText xml:space="preserve"> = 2 \* GB3 </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②</w:t>
            </w:r>
            <w:r>
              <w:rPr>
                <w:rFonts w:ascii="Times New Roman" w:hAnsi="Times New Roman"/>
                <w:color w:val="auto"/>
                <w:sz w:val="21"/>
                <w:szCs w:val="21"/>
                <w:highlight w:val="none"/>
              </w:rPr>
              <w:fldChar w:fldCharType="end"/>
            </w:r>
            <w:r>
              <w:rPr>
                <w:rFonts w:ascii="Times New Roman" w:hAnsi="Times New Roman"/>
                <w:color w:val="auto"/>
                <w:sz w:val="21"/>
                <w:szCs w:val="21"/>
                <w:highlight w:val="none"/>
              </w:rPr>
              <w:t>次生、衍生影响：</w:t>
            </w:r>
            <w:r>
              <w:rPr>
                <w:rFonts w:hint="eastAsia" w:ascii="Times New Roman" w:hAnsi="Times New Roman"/>
                <w:color w:val="auto"/>
                <w:sz w:val="21"/>
                <w:szCs w:val="21"/>
                <w:highlight w:val="none"/>
              </w:rPr>
              <w:t>火灾事故发生后</w:t>
            </w:r>
            <w:r>
              <w:rPr>
                <w:rFonts w:ascii="Times New Roman" w:hAnsi="Times New Roman"/>
                <w:color w:val="auto"/>
                <w:sz w:val="21"/>
                <w:szCs w:val="21"/>
                <w:highlight w:val="none"/>
              </w:rPr>
              <w:t>引燃或引爆周围易燃易爆物质；火灾消防液、消防土，消防废水收集不当对外环境的影响；燃烧产物一氧化碳、二氧化碳、二氧化硫、氮氧化物、颗粒物、VOCs等对大气环境的影响</w:t>
            </w:r>
            <w:r>
              <w:rPr>
                <w:rFonts w:hint="eastAsia" w:ascii="Times New Roman" w:hAnsi="Times New Roman"/>
                <w:color w:val="auto"/>
                <w:sz w:val="21"/>
                <w:szCs w:val="21"/>
                <w:highlight w:val="none"/>
              </w:rPr>
              <w:t>。</w:t>
            </w:r>
          </w:p>
        </w:tc>
      </w:tr>
    </w:tbl>
    <w:p>
      <w:pPr>
        <w:pStyle w:val="5"/>
        <w:rPr>
          <w:color w:val="auto"/>
          <w:highlight w:val="none"/>
        </w:rPr>
      </w:pPr>
      <w:bookmarkStart w:id="239" w:name="_Toc16430"/>
      <w:r>
        <w:rPr>
          <w:color w:val="auto"/>
          <w:highlight w:val="none"/>
        </w:rPr>
        <w:t>2.3 应急组织机构</w:t>
      </w:r>
      <w:bookmarkEnd w:id="239"/>
    </w:p>
    <w:p>
      <w:pPr>
        <w:adjustRightInd w:val="0"/>
        <w:snapToGrid w:val="0"/>
        <w:spacing w:line="360" w:lineRule="auto"/>
        <w:ind w:firstLine="480" w:firstLineChars="200"/>
        <w:rPr>
          <w:color w:val="auto"/>
          <w:highlight w:val="none"/>
        </w:rPr>
      </w:pPr>
      <w:r>
        <w:rPr>
          <w:color w:val="auto"/>
          <w:highlight w:val="none"/>
        </w:rPr>
        <w:t>抢险灭火组见表2.2。</w:t>
      </w:r>
    </w:p>
    <w:p>
      <w:pPr>
        <w:jc w:val="center"/>
        <w:rPr>
          <w:b/>
          <w:bCs/>
          <w:color w:val="auto"/>
          <w:highlight w:val="none"/>
        </w:rPr>
      </w:pPr>
      <w:r>
        <w:rPr>
          <w:b/>
          <w:bCs/>
          <w:color w:val="auto"/>
          <w:highlight w:val="none"/>
        </w:rPr>
        <w:t>表2.2  抢险灭火组应急救援队伍</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716"/>
        <w:gridCol w:w="1366"/>
        <w:gridCol w:w="2672"/>
        <w:gridCol w:w="207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0" w:hRule="atLeast"/>
          <w:jc w:val="center"/>
        </w:trPr>
        <w:tc>
          <w:tcPr>
            <w:tcW w:w="408" w:type="pct"/>
            <w:tcBorders>
              <w:tl2br w:val="nil"/>
              <w:tr2bl w:val="nil"/>
            </w:tcBorders>
            <w:noWrap/>
            <w:vAlign w:val="center"/>
          </w:tcPr>
          <w:p>
            <w:pPr>
              <w:adjustRightInd w:val="0"/>
              <w:snapToGrid w:val="0"/>
              <w:jc w:val="center"/>
              <w:rPr>
                <w:b/>
                <w:color w:val="auto"/>
                <w:sz w:val="21"/>
                <w:szCs w:val="21"/>
                <w:highlight w:val="none"/>
              </w:rPr>
            </w:pPr>
            <w:r>
              <w:rPr>
                <w:b/>
                <w:color w:val="auto"/>
                <w:sz w:val="21"/>
                <w:szCs w:val="21"/>
                <w:highlight w:val="none"/>
              </w:rPr>
              <w:t>序号</w:t>
            </w:r>
          </w:p>
        </w:tc>
        <w:tc>
          <w:tcPr>
            <w:tcW w:w="1006" w:type="pct"/>
            <w:tcBorders>
              <w:tl2br w:val="nil"/>
              <w:tr2bl w:val="nil"/>
            </w:tcBorders>
            <w:noWrap/>
            <w:vAlign w:val="center"/>
          </w:tcPr>
          <w:p>
            <w:pPr>
              <w:adjustRightInd w:val="0"/>
              <w:snapToGrid w:val="0"/>
              <w:jc w:val="center"/>
              <w:rPr>
                <w:b/>
                <w:color w:val="auto"/>
                <w:sz w:val="21"/>
                <w:szCs w:val="21"/>
                <w:highlight w:val="none"/>
              </w:rPr>
            </w:pPr>
            <w:r>
              <w:rPr>
                <w:b/>
                <w:color w:val="auto"/>
                <w:sz w:val="21"/>
                <w:szCs w:val="21"/>
                <w:highlight w:val="none"/>
              </w:rPr>
              <w:t>职务</w:t>
            </w:r>
          </w:p>
        </w:tc>
        <w:tc>
          <w:tcPr>
            <w:tcW w:w="801" w:type="pct"/>
            <w:tcBorders>
              <w:tl2br w:val="nil"/>
              <w:tr2bl w:val="nil"/>
            </w:tcBorders>
            <w:noWrap/>
            <w:vAlign w:val="center"/>
          </w:tcPr>
          <w:p>
            <w:pPr>
              <w:adjustRightInd w:val="0"/>
              <w:snapToGrid w:val="0"/>
              <w:jc w:val="center"/>
              <w:rPr>
                <w:b/>
                <w:color w:val="auto"/>
                <w:sz w:val="21"/>
                <w:szCs w:val="21"/>
                <w:highlight w:val="none"/>
              </w:rPr>
            </w:pPr>
            <w:r>
              <w:rPr>
                <w:b/>
                <w:color w:val="auto"/>
                <w:sz w:val="21"/>
                <w:szCs w:val="21"/>
                <w:highlight w:val="none"/>
              </w:rPr>
              <w:t>姓名</w:t>
            </w:r>
          </w:p>
        </w:tc>
        <w:tc>
          <w:tcPr>
            <w:tcW w:w="1567" w:type="pct"/>
            <w:tcBorders>
              <w:tl2br w:val="nil"/>
              <w:tr2bl w:val="nil"/>
            </w:tcBorders>
            <w:noWrap/>
            <w:vAlign w:val="center"/>
          </w:tcPr>
          <w:p>
            <w:pPr>
              <w:adjustRightInd w:val="0"/>
              <w:snapToGrid w:val="0"/>
              <w:jc w:val="center"/>
              <w:rPr>
                <w:b/>
                <w:color w:val="auto"/>
                <w:sz w:val="21"/>
                <w:szCs w:val="21"/>
                <w:highlight w:val="none"/>
              </w:rPr>
            </w:pPr>
            <w:r>
              <w:rPr>
                <w:b/>
                <w:color w:val="auto"/>
                <w:sz w:val="21"/>
                <w:szCs w:val="21"/>
                <w:highlight w:val="none"/>
              </w:rPr>
              <w:t>职位</w:t>
            </w:r>
          </w:p>
        </w:tc>
        <w:tc>
          <w:tcPr>
            <w:tcW w:w="1215" w:type="pct"/>
            <w:tcBorders>
              <w:tl2br w:val="nil"/>
              <w:tr2bl w:val="nil"/>
            </w:tcBorders>
            <w:noWrap/>
            <w:vAlign w:val="center"/>
          </w:tcPr>
          <w:p>
            <w:pPr>
              <w:adjustRightInd w:val="0"/>
              <w:snapToGrid w:val="0"/>
              <w:jc w:val="center"/>
              <w:rPr>
                <w:b/>
                <w:color w:val="auto"/>
                <w:sz w:val="21"/>
                <w:szCs w:val="21"/>
                <w:highlight w:val="none"/>
              </w:rPr>
            </w:pPr>
            <w:r>
              <w:rPr>
                <w:b/>
                <w:color w:val="auto"/>
                <w:sz w:val="21"/>
                <w:szCs w:val="21"/>
                <w:highlight w:val="none"/>
              </w:rPr>
              <w:t>联系方式(手机)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tcBorders>
              <w:tl2br w:val="nil"/>
              <w:tr2bl w:val="nil"/>
            </w:tcBorders>
            <w:noWrap/>
            <w:vAlign w:val="center"/>
          </w:tcPr>
          <w:p>
            <w:pPr>
              <w:adjustRightInd w:val="0"/>
              <w:snapToGrid w:val="0"/>
              <w:jc w:val="center"/>
              <w:rPr>
                <w:color w:val="auto"/>
                <w:sz w:val="21"/>
                <w:szCs w:val="21"/>
                <w:highlight w:val="none"/>
              </w:rPr>
            </w:pPr>
            <w:r>
              <w:rPr>
                <w:color w:val="auto"/>
                <w:sz w:val="21"/>
                <w:szCs w:val="21"/>
                <w:highlight w:val="none"/>
              </w:rPr>
              <w:t>1</w:t>
            </w:r>
          </w:p>
        </w:tc>
        <w:tc>
          <w:tcPr>
            <w:tcW w:w="1716" w:type="dxa"/>
            <w:tcBorders>
              <w:tl2br w:val="nil"/>
              <w:tr2bl w:val="nil"/>
            </w:tcBorders>
            <w:noWrap/>
            <w:vAlign w:val="center"/>
          </w:tcPr>
          <w:p>
            <w:pPr>
              <w:adjustRightInd w:val="0"/>
              <w:snapToGrid w:val="0"/>
              <w:jc w:val="center"/>
              <w:rPr>
                <w:color w:val="auto"/>
                <w:sz w:val="21"/>
                <w:szCs w:val="21"/>
                <w:highlight w:val="none"/>
              </w:rPr>
            </w:pPr>
            <w:r>
              <w:rPr>
                <w:rFonts w:hint="default" w:ascii="Times New Roman" w:hAnsi="Times New Roman" w:cs="Times New Roman"/>
                <w:color w:val="auto"/>
                <w:sz w:val="21"/>
                <w:szCs w:val="21"/>
                <w:highlight w:val="none"/>
              </w:rPr>
              <w:t>抢险灭火组</w:t>
            </w:r>
          </w:p>
        </w:tc>
        <w:tc>
          <w:tcPr>
            <w:tcW w:w="1366" w:type="dxa"/>
            <w:tcBorders>
              <w:tl2br w:val="nil"/>
              <w:tr2bl w:val="nil"/>
            </w:tcBorders>
            <w:noWrap/>
            <w:vAlign w:val="center"/>
          </w:tcPr>
          <w:p>
            <w:pPr>
              <w:adjustRightInd w:val="0"/>
              <w:snapToGrid w:val="0"/>
              <w:jc w:val="center"/>
              <w:rPr>
                <w:color w:val="auto"/>
                <w:sz w:val="21"/>
                <w:szCs w:val="21"/>
                <w:highlight w:val="none"/>
              </w:rPr>
            </w:pPr>
            <w:r>
              <w:rPr>
                <w:rFonts w:hint="default" w:ascii="Times New Roman" w:hAnsi="Times New Roman" w:cs="Times New Roman"/>
                <w:color w:val="auto"/>
                <w:sz w:val="21"/>
                <w:szCs w:val="21"/>
                <w:highlight w:val="none"/>
              </w:rPr>
              <w:t>蒋政元</w:t>
            </w:r>
          </w:p>
        </w:tc>
        <w:tc>
          <w:tcPr>
            <w:tcW w:w="2672" w:type="dxa"/>
            <w:tcBorders>
              <w:tl2br w:val="nil"/>
              <w:tr2bl w:val="nil"/>
            </w:tcBorders>
            <w:noWrap/>
            <w:vAlign w:val="center"/>
          </w:tcPr>
          <w:p>
            <w:pPr>
              <w:adjustRightInd w:val="0"/>
              <w:snapToGrid w:val="0"/>
              <w:jc w:val="center"/>
              <w:rPr>
                <w:color w:val="auto"/>
                <w:sz w:val="21"/>
                <w:szCs w:val="21"/>
                <w:highlight w:val="none"/>
              </w:rPr>
            </w:pPr>
            <w:r>
              <w:rPr>
                <w:rFonts w:hint="default" w:ascii="Times New Roman" w:hAnsi="Times New Roman" w:cs="Times New Roman"/>
                <w:color w:val="auto"/>
                <w:sz w:val="21"/>
                <w:szCs w:val="21"/>
                <w:highlight w:val="none"/>
              </w:rPr>
              <w:t>安全员</w:t>
            </w:r>
          </w:p>
        </w:tc>
        <w:tc>
          <w:tcPr>
            <w:tcW w:w="2072" w:type="dxa"/>
            <w:tcBorders>
              <w:tl2br w:val="nil"/>
              <w:tr2bl w:val="nil"/>
            </w:tcBorders>
            <w:noWrap/>
            <w:vAlign w:val="center"/>
          </w:tcPr>
          <w:p>
            <w:pPr>
              <w:adjustRightInd w:val="0"/>
              <w:snapToGrid w:val="0"/>
              <w:jc w:val="center"/>
              <w:rPr>
                <w:color w:val="auto"/>
                <w:sz w:val="21"/>
                <w:szCs w:val="21"/>
                <w:highlight w:val="none"/>
              </w:rPr>
            </w:pPr>
            <w:r>
              <w:rPr>
                <w:rFonts w:hint="default" w:ascii="Times New Roman" w:hAnsi="Times New Roman" w:cs="Times New Roman"/>
                <w:color w:val="auto"/>
                <w:sz w:val="21"/>
                <w:szCs w:val="21"/>
                <w:highlight w:val="none"/>
              </w:rPr>
              <w:t>13405788736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8" w:type="pct"/>
            <w:tcBorders>
              <w:tl2br w:val="nil"/>
              <w:tr2bl w:val="nil"/>
            </w:tcBorders>
            <w:noWrap/>
            <w:vAlign w:val="center"/>
          </w:tcPr>
          <w:p>
            <w:pPr>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1716" w:type="dxa"/>
            <w:tcBorders>
              <w:tl2br w:val="nil"/>
              <w:tr2bl w:val="nil"/>
            </w:tcBorders>
            <w:noWrap/>
            <w:vAlign w:val="center"/>
          </w:tcPr>
          <w:p>
            <w:pPr>
              <w:adjustRightInd w:val="0"/>
              <w:snapToGrid w:val="0"/>
              <w:jc w:val="center"/>
              <w:rPr>
                <w:color w:val="auto"/>
                <w:sz w:val="21"/>
                <w:szCs w:val="21"/>
                <w:highlight w:val="none"/>
              </w:rPr>
            </w:pPr>
            <w:r>
              <w:rPr>
                <w:rFonts w:hint="default" w:ascii="Times New Roman" w:hAnsi="Times New Roman" w:cs="Times New Roman"/>
                <w:color w:val="auto"/>
                <w:sz w:val="21"/>
                <w:szCs w:val="21"/>
                <w:highlight w:val="none"/>
              </w:rPr>
              <w:t>成员</w:t>
            </w:r>
          </w:p>
        </w:tc>
        <w:tc>
          <w:tcPr>
            <w:tcW w:w="1366" w:type="dxa"/>
            <w:tcBorders>
              <w:tl2br w:val="nil"/>
              <w:tr2bl w:val="nil"/>
            </w:tcBorders>
            <w:noWrap/>
            <w:vAlign w:val="center"/>
          </w:tcPr>
          <w:p>
            <w:pPr>
              <w:adjustRightInd w:val="0"/>
              <w:snapToGrid w:val="0"/>
              <w:jc w:val="center"/>
              <w:rPr>
                <w:color w:val="auto"/>
                <w:kern w:val="0"/>
                <w:sz w:val="21"/>
                <w:szCs w:val="21"/>
                <w:highlight w:val="none"/>
              </w:rPr>
            </w:pPr>
            <w:r>
              <w:rPr>
                <w:rFonts w:hint="default" w:ascii="Times New Roman" w:hAnsi="Times New Roman" w:cs="Times New Roman"/>
                <w:color w:val="auto"/>
                <w:sz w:val="21"/>
                <w:szCs w:val="21"/>
                <w:highlight w:val="none"/>
              </w:rPr>
              <w:t>王艳伟</w:t>
            </w:r>
          </w:p>
        </w:tc>
        <w:tc>
          <w:tcPr>
            <w:tcW w:w="2672" w:type="dxa"/>
            <w:tcBorders>
              <w:tl2br w:val="nil"/>
              <w:tr2bl w:val="nil"/>
            </w:tcBorders>
            <w:noWrap/>
            <w:vAlign w:val="center"/>
          </w:tcPr>
          <w:p>
            <w:pPr>
              <w:adjustRightInd w:val="0"/>
              <w:snapToGrid w:val="0"/>
              <w:jc w:val="center"/>
              <w:rPr>
                <w:color w:val="auto"/>
                <w:kern w:val="0"/>
                <w:sz w:val="21"/>
                <w:szCs w:val="21"/>
                <w:highlight w:val="none"/>
              </w:rPr>
            </w:pPr>
            <w:r>
              <w:rPr>
                <w:rFonts w:hint="default" w:ascii="Times New Roman" w:hAnsi="Times New Roman" w:cs="Times New Roman"/>
                <w:color w:val="auto"/>
                <w:sz w:val="21"/>
                <w:szCs w:val="21"/>
                <w:highlight w:val="none"/>
              </w:rPr>
              <w:t>夹具工</w:t>
            </w:r>
          </w:p>
        </w:tc>
        <w:tc>
          <w:tcPr>
            <w:tcW w:w="2072" w:type="dxa"/>
            <w:tcBorders>
              <w:tl2br w:val="nil"/>
              <w:tr2bl w:val="nil"/>
            </w:tcBorders>
            <w:noWrap/>
            <w:vAlign w:val="center"/>
          </w:tcPr>
          <w:p>
            <w:pPr>
              <w:adjustRightInd w:val="0"/>
              <w:snapToGrid w:val="0"/>
              <w:jc w:val="center"/>
              <w:rPr>
                <w:rFonts w:hint="eastAsia"/>
                <w:color w:val="auto"/>
                <w:kern w:val="0"/>
                <w:sz w:val="21"/>
                <w:szCs w:val="21"/>
                <w:highlight w:val="none"/>
              </w:rPr>
            </w:pPr>
            <w:r>
              <w:rPr>
                <w:rFonts w:hint="default" w:ascii="Times New Roman" w:hAnsi="Times New Roman" w:cs="Times New Roman"/>
                <w:color w:val="auto"/>
                <w:sz w:val="21"/>
                <w:szCs w:val="21"/>
                <w:highlight w:val="none"/>
              </w:rPr>
              <w:t>18351573066</w:t>
            </w:r>
          </w:p>
        </w:tc>
      </w:tr>
    </w:tbl>
    <w:p>
      <w:pPr>
        <w:spacing w:line="360" w:lineRule="auto"/>
        <w:ind w:firstLine="480" w:firstLineChars="200"/>
        <w:rPr>
          <w:bCs/>
          <w:color w:val="auto"/>
          <w:highlight w:val="none"/>
        </w:rPr>
      </w:pPr>
      <w:r>
        <w:rPr>
          <w:bCs/>
          <w:color w:val="auto"/>
          <w:highlight w:val="none"/>
        </w:rPr>
        <w:t>主要职责如下：</w:t>
      </w:r>
    </w:p>
    <w:p>
      <w:pPr>
        <w:spacing w:line="360" w:lineRule="auto"/>
        <w:ind w:firstLine="480" w:firstLineChars="200"/>
        <w:rPr>
          <w:color w:val="auto"/>
          <w:highlight w:val="none"/>
        </w:rPr>
      </w:pPr>
      <w:r>
        <w:rPr>
          <w:color w:val="auto"/>
          <w:highlight w:val="none"/>
        </w:rPr>
        <w:t>（1）在事故发生后，迅速派出人员进行抢险救灾；</w:t>
      </w:r>
    </w:p>
    <w:p>
      <w:pPr>
        <w:spacing w:line="360" w:lineRule="auto"/>
        <w:ind w:firstLine="480" w:firstLineChars="200"/>
        <w:rPr>
          <w:color w:val="auto"/>
          <w:highlight w:val="none"/>
        </w:rPr>
      </w:pPr>
      <w:r>
        <w:rPr>
          <w:color w:val="auto"/>
          <w:highlight w:val="none"/>
        </w:rPr>
        <w:t>（</w:t>
      </w:r>
      <w:r>
        <w:rPr>
          <w:rFonts w:hint="eastAsia"/>
          <w:color w:val="auto"/>
          <w:highlight w:val="none"/>
          <w:lang w:val="en-US" w:eastAsia="zh-CN"/>
        </w:rPr>
        <w:t>2</w:t>
      </w:r>
      <w:r>
        <w:rPr>
          <w:color w:val="auto"/>
          <w:highlight w:val="none"/>
        </w:rPr>
        <w:t>）为在进行有毒有害介质堵漏的抢修队员进行气体防护监护，指导抢险抢修人员正确使用防护用具；</w:t>
      </w:r>
    </w:p>
    <w:p>
      <w:pPr>
        <w:spacing w:line="360" w:lineRule="auto"/>
        <w:ind w:firstLine="480" w:firstLineChars="200"/>
        <w:rPr>
          <w:color w:val="auto"/>
          <w:highlight w:val="none"/>
        </w:rPr>
      </w:pPr>
      <w:r>
        <w:rPr>
          <w:color w:val="auto"/>
          <w:highlight w:val="none"/>
        </w:rPr>
        <w:t>（</w:t>
      </w:r>
      <w:r>
        <w:rPr>
          <w:rFonts w:hint="eastAsia"/>
          <w:color w:val="auto"/>
          <w:highlight w:val="none"/>
          <w:lang w:val="en-US" w:eastAsia="zh-CN"/>
        </w:rPr>
        <w:t>3</w:t>
      </w:r>
      <w:r>
        <w:rPr>
          <w:color w:val="auto"/>
          <w:highlight w:val="none"/>
        </w:rPr>
        <w:t>）储备一定量的防护用具；当储备量不够需要时，迅速调配其他岗位的备用防毒器具；</w:t>
      </w:r>
    </w:p>
    <w:p>
      <w:pPr>
        <w:spacing w:line="360" w:lineRule="auto"/>
        <w:ind w:firstLine="480" w:firstLineChars="200"/>
        <w:rPr>
          <w:color w:val="auto"/>
          <w:highlight w:val="none"/>
        </w:rPr>
      </w:pPr>
      <w:r>
        <w:rPr>
          <w:color w:val="auto"/>
          <w:highlight w:val="none"/>
        </w:rPr>
        <w:t>（</w:t>
      </w:r>
      <w:r>
        <w:rPr>
          <w:rFonts w:hint="eastAsia"/>
          <w:color w:val="auto"/>
          <w:highlight w:val="none"/>
          <w:lang w:val="en-US" w:eastAsia="zh-CN"/>
        </w:rPr>
        <w:t>4</w:t>
      </w:r>
      <w:r>
        <w:rPr>
          <w:color w:val="auto"/>
          <w:highlight w:val="none"/>
        </w:rPr>
        <w:t>）负责事故现场及有毒物质扩散区域内的清洗、消毒工作。</w:t>
      </w:r>
    </w:p>
    <w:p>
      <w:pPr>
        <w:spacing w:line="360" w:lineRule="auto"/>
        <w:ind w:firstLine="464" w:firstLineChars="200"/>
        <w:rPr>
          <w:color w:val="auto"/>
          <w:spacing w:val="-4"/>
          <w:highlight w:val="none"/>
        </w:rPr>
      </w:pPr>
      <w:r>
        <w:rPr>
          <w:color w:val="auto"/>
          <w:spacing w:val="-4"/>
          <w:highlight w:val="none"/>
        </w:rPr>
        <w:t>（</w:t>
      </w:r>
      <w:r>
        <w:rPr>
          <w:rFonts w:hint="eastAsia"/>
          <w:color w:val="auto"/>
          <w:spacing w:val="-4"/>
          <w:highlight w:val="none"/>
          <w:lang w:val="en-US" w:eastAsia="zh-CN"/>
        </w:rPr>
        <w:t>5</w:t>
      </w:r>
      <w:r>
        <w:rPr>
          <w:color w:val="auto"/>
          <w:spacing w:val="-4"/>
          <w:highlight w:val="none"/>
        </w:rPr>
        <w:t>）火灾扑救后，尽快组织力量抢修厂内的供电、供水等重要设施，尽快恢复功能。</w:t>
      </w:r>
    </w:p>
    <w:p>
      <w:pPr>
        <w:spacing w:line="360" w:lineRule="auto"/>
        <w:ind w:firstLine="480" w:firstLineChars="200"/>
        <w:rPr>
          <w:color w:val="auto"/>
          <w:highlight w:val="none"/>
        </w:rPr>
      </w:pPr>
      <w:r>
        <w:rPr>
          <w:color w:val="auto"/>
          <w:highlight w:val="none"/>
        </w:rPr>
        <w:t>若事态超出小组控制范围，可请求厂内增援，公司应急救援指挥部组织</w:t>
      </w:r>
      <w:r>
        <w:rPr>
          <w:rFonts w:hint="eastAsia"/>
          <w:color w:val="auto"/>
          <w:highlight w:val="none"/>
          <w:lang w:eastAsia="zh-CN"/>
        </w:rPr>
        <w:t>名单</w:t>
      </w:r>
      <w:r>
        <w:rPr>
          <w:color w:val="auto"/>
          <w:highlight w:val="none"/>
        </w:rPr>
        <w:t>表2.3。</w:t>
      </w:r>
    </w:p>
    <w:p>
      <w:pPr>
        <w:jc w:val="center"/>
        <w:rPr>
          <w:b/>
          <w:bCs/>
          <w:color w:val="auto"/>
          <w:highlight w:val="none"/>
        </w:rPr>
      </w:pPr>
      <w:r>
        <w:rPr>
          <w:b/>
          <w:bCs/>
          <w:color w:val="auto"/>
          <w:highlight w:val="none"/>
        </w:rPr>
        <w:t>表</w:t>
      </w:r>
      <w:r>
        <w:rPr>
          <w:rFonts w:hint="eastAsia"/>
          <w:b/>
          <w:bCs/>
          <w:color w:val="auto"/>
          <w:highlight w:val="none"/>
        </w:rPr>
        <w:t>2.3</w:t>
      </w:r>
      <w:r>
        <w:rPr>
          <w:b/>
          <w:bCs/>
          <w:color w:val="auto"/>
          <w:highlight w:val="none"/>
        </w:rPr>
        <w:t xml:space="preserve"> 公司应急救援指挥部组织名单</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650"/>
        <w:gridCol w:w="1260"/>
        <w:gridCol w:w="2586"/>
        <w:gridCol w:w="2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90"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968"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职务</w:t>
            </w:r>
          </w:p>
        </w:tc>
        <w:tc>
          <w:tcPr>
            <w:tcW w:w="739"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姓名</w:t>
            </w:r>
          </w:p>
        </w:tc>
        <w:tc>
          <w:tcPr>
            <w:tcW w:w="1517"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职位</w:t>
            </w:r>
          </w:p>
        </w:tc>
        <w:tc>
          <w:tcPr>
            <w:tcW w:w="1383"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联系方式(手机)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总指挥</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陈海</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副总经理</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13771056107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90"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副总指挥</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吴科飞</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办公室主任</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通信警戒组</w:t>
            </w:r>
          </w:p>
        </w:tc>
        <w:tc>
          <w:tcPr>
            <w:tcW w:w="739"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吴科飞</w:t>
            </w:r>
          </w:p>
        </w:tc>
        <w:tc>
          <w:tcPr>
            <w:tcW w:w="1517"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办公室主任</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李红</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内审员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15251520326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抢险灭火组</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蒋政元</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安全员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13405788736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王艳伟</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夹具工</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18351573066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救护疏散组</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朱琴</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质检科副科长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18015349969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吴佩</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检验员</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1525166675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后勤保障组</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周卫平</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机修组组长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18973418746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周小红</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机修工</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17368785636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事故处理组</w:t>
            </w:r>
          </w:p>
        </w:tc>
        <w:tc>
          <w:tcPr>
            <w:tcW w:w="739"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付涛</w:t>
            </w:r>
          </w:p>
        </w:tc>
        <w:tc>
          <w:tcPr>
            <w:tcW w:w="1517"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生产科长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王佳银</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物流组长</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18852474726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w:t>
            </w:r>
            <w:r>
              <w:rPr>
                <w:rFonts w:hint="default" w:ascii="Times New Roman" w:hAnsi="Times New Roman" w:cs="Times New Roman"/>
                <w:color w:val="auto"/>
                <w:sz w:val="21"/>
                <w:szCs w:val="21"/>
                <w:highlight w:val="none"/>
                <w:lang w:val="en-US" w:eastAsia="zh-CN"/>
              </w:rPr>
              <w:t>监测</w:t>
            </w:r>
            <w:r>
              <w:rPr>
                <w:rFonts w:hint="default" w:ascii="Times New Roman" w:hAnsi="Times New Roman" w:cs="Times New Roman"/>
                <w:color w:val="auto"/>
                <w:sz w:val="21"/>
                <w:szCs w:val="21"/>
                <w:highlight w:val="none"/>
              </w:rPr>
              <w:t>组</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沈斌</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实验室组长</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18861804682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孙丹凤</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实验员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13915335530</w:t>
            </w:r>
          </w:p>
        </w:tc>
      </w:tr>
    </w:tbl>
    <w:p>
      <w:pPr>
        <w:pStyle w:val="5"/>
        <w:rPr>
          <w:color w:val="auto"/>
          <w:highlight w:val="none"/>
        </w:rPr>
      </w:pPr>
      <w:bookmarkStart w:id="240" w:name="_Toc2818"/>
      <w:r>
        <w:rPr>
          <w:color w:val="auto"/>
          <w:highlight w:val="none"/>
        </w:rPr>
        <w:t>2.4 应急处置程序</w:t>
      </w:r>
      <w:bookmarkEnd w:id="240"/>
    </w:p>
    <w:p>
      <w:pPr>
        <w:adjustRightInd w:val="0"/>
        <w:snapToGrid w:val="0"/>
        <w:spacing w:line="360" w:lineRule="auto"/>
        <w:ind w:firstLine="480" w:firstLineChars="200"/>
        <w:rPr>
          <w:color w:val="auto"/>
          <w:sz w:val="28"/>
          <w:szCs w:val="28"/>
          <w:highlight w:val="none"/>
        </w:rPr>
      </w:pPr>
      <w:r>
        <w:rPr>
          <w:color w:val="auto"/>
          <w:highlight w:val="none"/>
        </w:rPr>
        <w:t>必要情况下启动应急预案时，火灾事故应急处置流程如下：</w:t>
      </w:r>
    </w:p>
    <w:p>
      <w:pPr>
        <w:pStyle w:val="2"/>
        <w:adjustRightInd w:val="0"/>
        <w:snapToGrid w:val="0"/>
        <w:jc w:val="center"/>
        <w:rPr>
          <w:rFonts w:ascii="Times New Roman" w:hAnsi="Times New Roman"/>
          <w:color w:val="auto"/>
          <w:highlight w:val="none"/>
        </w:rPr>
      </w:pPr>
      <w:r>
        <w:rPr>
          <w:rFonts w:ascii="Times New Roman" w:hAnsi="Times New Roman"/>
          <w:color w:val="auto"/>
          <w:sz w:val="24"/>
          <w:highlight w:val="none"/>
        </w:rPr>
        <mc:AlternateContent>
          <mc:Choice Requires="wpc">
            <w:drawing>
              <wp:inline distT="0" distB="0" distL="114300" distR="114300">
                <wp:extent cx="5105400" cy="2917825"/>
                <wp:effectExtent l="0" t="0" r="0" b="15875"/>
                <wp:docPr id="299" name="画布 299"/>
                <wp:cNvGraphicFramePr/>
                <a:graphic xmlns:a="http://schemas.openxmlformats.org/drawingml/2006/main">
                  <a:graphicData uri="http://schemas.microsoft.com/office/word/2010/wordprocessingCanvas">
                    <wpc:wpc>
                      <wpc:bg>
                        <a:noFill/>
                      </wpc:bg>
                      <wpc:whole>
                        <a:ln>
                          <a:noFill/>
                        </a:ln>
                      </wpc:whole>
                      <wps:wsp>
                        <wps:cNvPr id="300" name="流程图: 准备 1"/>
                        <wps:cNvSpPr/>
                        <wps:spPr>
                          <a:xfrm>
                            <a:off x="1910080" y="219075"/>
                            <a:ext cx="1680845" cy="410210"/>
                          </a:xfrm>
                          <a:prstGeom prst="flowChartPreparation">
                            <a:avLst/>
                          </a:prstGeom>
                          <a:solidFill>
                            <a:srgbClr val="FFFFFF"/>
                          </a:solidFill>
                          <a:ln w="9525" cap="flat" cmpd="sng">
                            <a:solidFill>
                              <a:srgbClr val="000000"/>
                            </a:solidFill>
                            <a:prstDash val="solid"/>
                            <a:miter/>
                            <a:headEnd type="none" w="med" len="med"/>
                            <a:tailEnd type="none" w="med" len="med"/>
                          </a:ln>
                        </wps:spPr>
                        <wps:bodyPr upright="1"/>
                      </wps:wsp>
                      <wps:wsp>
                        <wps:cNvPr id="301" name="文本框 2"/>
                        <wps:cNvSpPr txBox="1"/>
                        <wps:spPr>
                          <a:xfrm>
                            <a:off x="2115820" y="258445"/>
                            <a:ext cx="1320165" cy="285750"/>
                          </a:xfrm>
                          <a:prstGeom prst="rect">
                            <a:avLst/>
                          </a:prstGeom>
                          <a:noFill/>
                          <a:ln>
                            <a:noFill/>
                          </a:ln>
                        </wps:spPr>
                        <wps:txbx>
                          <w:txbxContent>
                            <w:p>
                              <w:pPr>
                                <w:ind w:left="-120" w:leftChars="-50" w:right="-120" w:rightChars="-50"/>
                              </w:pPr>
                              <w:r>
                                <w:rPr>
                                  <w:rFonts w:hint="eastAsia"/>
                                </w:rPr>
                                <w:t>发生泄火灾</w:t>
                              </w:r>
                            </w:p>
                          </w:txbxContent>
                        </wps:txbx>
                        <wps:bodyPr upright="1"/>
                      </wps:wsp>
                      <wps:wsp>
                        <wps:cNvPr id="366" name="直接连接符 3"/>
                        <wps:cNvCnPr/>
                        <wps:spPr>
                          <a:xfrm>
                            <a:off x="2755901" y="621030"/>
                            <a:ext cx="635" cy="304800"/>
                          </a:xfrm>
                          <a:prstGeom prst="line">
                            <a:avLst/>
                          </a:prstGeom>
                          <a:ln w="9525" cap="flat" cmpd="sng">
                            <a:solidFill>
                              <a:srgbClr val="000000"/>
                            </a:solidFill>
                            <a:prstDash val="solid"/>
                            <a:headEnd type="none" w="med" len="med"/>
                            <a:tailEnd type="arrow" w="med" len="med"/>
                          </a:ln>
                        </wps:spPr>
                        <wps:bodyPr/>
                      </wps:wsp>
                      <wps:wsp>
                        <wps:cNvPr id="367" name="直接连接符 4"/>
                        <wps:cNvCnPr/>
                        <wps:spPr>
                          <a:xfrm>
                            <a:off x="2755901" y="1277620"/>
                            <a:ext cx="635" cy="621665"/>
                          </a:xfrm>
                          <a:prstGeom prst="line">
                            <a:avLst/>
                          </a:prstGeom>
                          <a:ln w="9525" cap="flat" cmpd="sng">
                            <a:solidFill>
                              <a:srgbClr val="000000"/>
                            </a:solidFill>
                            <a:prstDash val="solid"/>
                            <a:headEnd type="none" w="med" len="med"/>
                            <a:tailEnd type="arrow" w="med" len="med"/>
                          </a:ln>
                        </wps:spPr>
                        <wps:bodyPr/>
                      </wps:wsp>
                      <wps:wsp>
                        <wps:cNvPr id="368" name="直接连接符 5"/>
                        <wps:cNvCnPr/>
                        <wps:spPr>
                          <a:xfrm>
                            <a:off x="3271521" y="1102360"/>
                            <a:ext cx="804545" cy="635"/>
                          </a:xfrm>
                          <a:prstGeom prst="line">
                            <a:avLst/>
                          </a:prstGeom>
                          <a:ln w="9525" cap="flat" cmpd="sng">
                            <a:solidFill>
                              <a:srgbClr val="000000"/>
                            </a:solidFill>
                            <a:prstDash val="solid"/>
                            <a:headEnd type="none" w="med" len="med"/>
                            <a:tailEnd type="arrow" w="med" len="med"/>
                          </a:ln>
                        </wps:spPr>
                        <wps:bodyPr/>
                      </wps:wsp>
                      <wps:wsp>
                        <wps:cNvPr id="371" name="文本框 6"/>
                        <wps:cNvSpPr txBox="1"/>
                        <wps:spPr>
                          <a:xfrm>
                            <a:off x="3037841" y="683895"/>
                            <a:ext cx="1144270" cy="342900"/>
                          </a:xfrm>
                          <a:prstGeom prst="rect">
                            <a:avLst/>
                          </a:prstGeom>
                          <a:solidFill>
                            <a:srgbClr val="FFFFFF"/>
                          </a:solidFill>
                          <a:ln>
                            <a:noFill/>
                          </a:ln>
                        </wps:spPr>
                        <wps:txbx>
                          <w:txbxContent>
                            <w:p>
                              <w:pPr>
                                <w:jc w:val="center"/>
                              </w:pPr>
                              <w:r>
                                <w:rPr>
                                  <w:rFonts w:hint="eastAsia"/>
                                </w:rPr>
                                <w:t>小组可控制</w:t>
                              </w:r>
                            </w:p>
                          </w:txbxContent>
                        </wps:txbx>
                        <wps:bodyPr upright="1"/>
                      </wps:wsp>
                      <wps:wsp>
                        <wps:cNvPr id="372" name="文本框 7"/>
                        <wps:cNvSpPr txBox="1"/>
                        <wps:spPr>
                          <a:xfrm>
                            <a:off x="4064001" y="937260"/>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现场处置</w:t>
                              </w:r>
                            </w:p>
                          </w:txbxContent>
                        </wps:txbx>
                        <wps:bodyPr upright="1"/>
                      </wps:wsp>
                      <wps:wsp>
                        <wps:cNvPr id="373" name="文本框 8"/>
                        <wps:cNvSpPr txBox="1"/>
                        <wps:spPr>
                          <a:xfrm>
                            <a:off x="2826386" y="1297940"/>
                            <a:ext cx="1005205" cy="480695"/>
                          </a:xfrm>
                          <a:prstGeom prst="rect">
                            <a:avLst/>
                          </a:prstGeom>
                          <a:solidFill>
                            <a:srgbClr val="FFFFFF"/>
                          </a:solidFill>
                          <a:ln>
                            <a:noFill/>
                          </a:ln>
                        </wps:spPr>
                        <wps:txbx>
                          <w:txbxContent>
                            <w:p>
                              <w:pPr>
                                <w:jc w:val="center"/>
                              </w:pPr>
                              <w:r>
                                <w:rPr>
                                  <w:rFonts w:hint="eastAsia"/>
                                </w:rPr>
                                <w:t>事态超出小组控制范围</w:t>
                              </w:r>
                            </w:p>
                          </w:txbxContent>
                        </wps:txbx>
                        <wps:bodyPr upright="1"/>
                      </wps:wsp>
                      <wps:wsp>
                        <wps:cNvPr id="374" name="文本框 9"/>
                        <wps:cNvSpPr txBox="1"/>
                        <wps:spPr>
                          <a:xfrm>
                            <a:off x="2222500" y="916305"/>
                            <a:ext cx="103822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应急处置</w:t>
                              </w:r>
                            </w:p>
                          </w:txbxContent>
                        </wps:txbx>
                        <wps:bodyPr upright="1"/>
                      </wps:wsp>
                      <wps:wsp>
                        <wps:cNvPr id="375" name="文本框 10"/>
                        <wps:cNvSpPr txBox="1"/>
                        <wps:spPr>
                          <a:xfrm>
                            <a:off x="2232660" y="1889760"/>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向上级汇报</w:t>
                              </w:r>
                            </w:p>
                          </w:txbxContent>
                        </wps:txbx>
                        <wps:bodyPr upright="1"/>
                      </wps:wsp>
                      <wps:wsp>
                        <wps:cNvPr id="376" name="直接连接符 11"/>
                        <wps:cNvCnPr/>
                        <wps:spPr>
                          <a:xfrm>
                            <a:off x="2755901" y="2251075"/>
                            <a:ext cx="0" cy="304800"/>
                          </a:xfrm>
                          <a:prstGeom prst="line">
                            <a:avLst/>
                          </a:prstGeom>
                          <a:ln w="9525" cap="flat" cmpd="sng">
                            <a:solidFill>
                              <a:srgbClr val="000000"/>
                            </a:solidFill>
                            <a:prstDash val="solid"/>
                            <a:headEnd type="none" w="med" len="med"/>
                            <a:tailEnd type="arrow" w="med" len="med"/>
                          </a:ln>
                        </wps:spPr>
                        <wps:bodyPr/>
                      </wps:wsp>
                      <wps:wsp>
                        <wps:cNvPr id="377" name="文本框 12"/>
                        <wps:cNvSpPr txBox="1"/>
                        <wps:spPr>
                          <a:xfrm>
                            <a:off x="2253615" y="2567305"/>
                            <a:ext cx="1266825" cy="310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请求厂内增援</w:t>
                              </w:r>
                            </w:p>
                          </w:txbxContent>
                        </wps:txbx>
                        <wps:bodyPr upright="1"/>
                      </wps:wsp>
                      <wps:wsp>
                        <wps:cNvPr id="378" name="文本框 13"/>
                        <wps:cNvSpPr txBox="1"/>
                        <wps:spPr>
                          <a:xfrm>
                            <a:off x="1089660" y="1583055"/>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扩大应急</w:t>
                              </w:r>
                            </w:p>
                          </w:txbxContent>
                        </wps:txbx>
                        <wps:bodyPr upright="1"/>
                      </wps:wsp>
                      <wps:wsp>
                        <wps:cNvPr id="379" name="肘形连接符 14"/>
                        <wps:cNvCnPr/>
                        <wps:spPr>
                          <a:xfrm rot="10800000">
                            <a:off x="1603375" y="1925320"/>
                            <a:ext cx="649605" cy="796925"/>
                          </a:xfrm>
                          <a:prstGeom prst="bentConnector2">
                            <a:avLst/>
                          </a:prstGeom>
                          <a:ln w="9525" cap="flat" cmpd="sng">
                            <a:solidFill>
                              <a:srgbClr val="000000"/>
                            </a:solidFill>
                            <a:prstDash val="solid"/>
                            <a:miter/>
                            <a:headEnd type="none" w="med" len="med"/>
                            <a:tailEnd type="arrow" w="med" len="med"/>
                          </a:ln>
                        </wps:spPr>
                        <wps:bodyPr/>
                      </wps:wsp>
                      <wps:wsp>
                        <wps:cNvPr id="380" name="肘形连接符 15"/>
                        <wps:cNvCnPr/>
                        <wps:spPr>
                          <a:xfrm rot="-5400000">
                            <a:off x="1668145" y="1028700"/>
                            <a:ext cx="490220" cy="618490"/>
                          </a:xfrm>
                          <a:prstGeom prst="bentConnector2">
                            <a:avLst/>
                          </a:prstGeom>
                          <a:ln w="9525" cap="flat" cmpd="sng">
                            <a:solidFill>
                              <a:srgbClr val="000000"/>
                            </a:solidFill>
                            <a:prstDash val="solid"/>
                            <a:miter/>
                            <a:headEnd type="none" w="med" len="med"/>
                            <a:tailEnd type="arrow" w="med" len="med"/>
                          </a:ln>
                        </wps:spPr>
                        <wps:bodyPr/>
                      </wps:wsp>
                    </wpc:wpc>
                  </a:graphicData>
                </a:graphic>
              </wp:inline>
            </w:drawing>
          </mc:Choice>
          <mc:Fallback>
            <w:pict>
              <v:group id="_x0000_s1026" o:spid="_x0000_s1026" o:spt="203" style="height:229.75pt;width:402pt;" coordsize="5105400,2917825" editas="canvas" o:gfxdata="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">
                <o:lock v:ext="edit" aspectratio="f"/>
                <v:shape id="_x0000_s1026" o:spid="_x0000_s1026" style="position:absolute;left:0;top:0;height:2917825;width:5105400;" filled="f" stroked="f" coordsize="21600,21600" o:gfxdata="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">
                  <v:fill on="f" focussize="0,0"/>
                  <v:stroke on="f"/>
                  <v:imagedata o:title=""/>
                  <o:lock v:ext="edit" aspectratio="f"/>
                </v:shape>
                <v:shape id="流程图: 准备 1" o:spid="_x0000_s1026" o:spt="117" type="#_x0000_t117" style="position:absolute;left:1910080;top:219075;height:410210;width:1680845;" fillcolor="#FFFFFF" filled="t" stroked="t" coordsize="21600,21600" o:gfxdata="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FnXSQtMA&#10;AAAFAQAADwAAAAAAAAABACAAAAAiAAAAZHJzL2Rvd25yZXYueG1sUEsBAhQAFAAAAAgAh07iQJq0&#10;evokAgAARgQAAA4AAAAAAAAAAQAgAAAAIgEAAGRycy9lMm9Eb2MueG1sUEsFBgAAAAAGAAYAWQEA&#10;ALgFAAAAAA==&#10;">
                  <v:fill on="t" focussize="0,0"/>
                  <v:stroke color="#000000" joinstyle="miter"/>
                  <v:imagedata o:title=""/>
                  <o:lock v:ext="edit" aspectratio="f"/>
                </v:shape>
                <v:shape id="文本框 2" o:spid="_x0000_s1026" o:spt="202" type="#_x0000_t202" style="position:absolute;left:2115820;top:258445;height:285750;width:1320165;" filled="f" stroked="f" coordsize="21600,21600" o:gfxdata="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NVT+zTAAAABQEAAA8AAAAAAAAAAQAgAAAAIgAAAGRycy9kb3ducmV2LnhtbFBLAQIUABQAAAAI&#10;AIdO4kA+1ebluQEAAFsDAAAOAAAAAAAAAAEAIAAAACIBAABkcnMvZTJvRG9jLnhtbFBLBQYAAAAA&#10;BgAGAFkBAABNBQAAAAA=&#10;">
                  <v:fill on="f" focussize="0,0"/>
                  <v:stroke on="f"/>
                  <v:imagedata o:title=""/>
                  <o:lock v:ext="edit" aspectratio="f"/>
                  <v:textbox>
                    <w:txbxContent>
                      <w:p>
                        <w:pPr>
                          <w:ind w:left="-120" w:leftChars="-50" w:right="-120" w:rightChars="-50"/>
                        </w:pPr>
                        <w:r>
                          <w:rPr>
                            <w:rFonts w:hint="eastAsia"/>
                          </w:rPr>
                          <w:t>发生泄火灾</w:t>
                        </w:r>
                      </w:p>
                    </w:txbxContent>
                  </v:textbox>
                </v:shape>
                <v:line id="直接连接符 3" o:spid="_x0000_s1026" o:spt="20" style="position:absolute;left:2755901;top:621030;height:304800;width:635;" filled="f" stroked="t" coordsize="21600,21600" o:gfxdata="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UNElNYAAAAFAQAADwAAAAAAAAABACAAAAAiAAAAZHJzL2Rv&#10;d25yZXYueG1sUEsBAhQAFAAAAAgAh07iQOjB6RIDAgAA5wMAAA4AAAAAAAAAAQAgAAAAJQEAAGRy&#10;cy9lMm9Eb2MueG1sUEsFBgAAAAAGAAYAWQEAAJoFAAAAAA==&#10;">
                  <v:fill on="f" focussize="0,0"/>
                  <v:stroke color="#000000" joinstyle="round" endarrow="open"/>
                  <v:imagedata o:title=""/>
                  <o:lock v:ext="edit" aspectratio="f"/>
                </v:line>
                <v:line id="直接连接符 4" o:spid="_x0000_s1026" o:spt="20" style="position:absolute;left:2755901;top:1277620;height:621665;width:635;" filled="f" stroked="t" coordsize="21600,21600" o:gfxdata="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lDRJTWAAAABQEAAA8AAAAAAAAAAQAgAAAAIgAAAGRycy9kb3du&#10;cmV2LnhtbFBLAQIUABQAAAAIAIdO4kDNvWm7AQIAAOgDAAAOAAAAAAAAAAEAIAAAACUBAABkcnMv&#10;ZTJvRG9jLnhtbFBLBQYAAAAABgAGAFkBAACYBQAAAAA=&#10;">
                  <v:fill on="f" focussize="0,0"/>
                  <v:stroke color="#000000" joinstyle="round" endarrow="open"/>
                  <v:imagedata o:title=""/>
                  <o:lock v:ext="edit" aspectratio="f"/>
                </v:line>
                <v:line id="直接连接符 5" o:spid="_x0000_s1026" o:spt="20" style="position:absolute;left:3271521;top:1102360;height:635;width:804545;" filled="f" stroked="t" coordsize="21600,21600" o:gfxdata="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Q0SU1gAAAAUBAAAPAAAAAAAAAAEAIAAAACIAAABkcnMvZG93&#10;bnJldi54bWxQSwECFAAUAAAACACHTuJAGN15fAICAADoAwAADgAAAAAAAAABACAAAAAlAQAAZHJz&#10;L2Uyb0RvYy54bWxQSwUGAAAAAAYABgBZAQAAmQUAAAAA&#10;">
                  <v:fill on="f" focussize="0,0"/>
                  <v:stroke color="#000000" joinstyle="round" endarrow="open"/>
                  <v:imagedata o:title=""/>
                  <o:lock v:ext="edit" aspectratio="f"/>
                </v:line>
                <v:shape id="文本框 6" o:spid="_x0000_s1026" o:spt="202" type="#_x0000_t202" style="position:absolute;left:3037841;top:683895;height:342900;width:1144270;" fillcolor="#FFFFFF" filled="t" stroked="f" coordsize="21600,21600" o:gfxdata="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LVRm1AAAAAUBAAAPAAAAAAAAAAEAIAAAACIAAABk&#10;cnMvZG93bnJldi54bWxQSwECFAAUAAAACACHTuJA63K3qNEBAACEAwAADgAAAAAAAAABACAAAAAj&#10;AQAAZHJzL2Uyb0RvYy54bWxQSwUGAAAAAAYABgBZAQAAZgUAAAAA&#10;">
                  <v:fill on="t" focussize="0,0"/>
                  <v:stroke on="f"/>
                  <v:imagedata o:title=""/>
                  <o:lock v:ext="edit" aspectratio="f"/>
                  <v:textbox>
                    <w:txbxContent>
                      <w:p>
                        <w:pPr>
                          <w:jc w:val="center"/>
                        </w:pPr>
                        <w:r>
                          <w:rPr>
                            <w:rFonts w:hint="eastAsia"/>
                          </w:rPr>
                          <w:t>小组可控制</w:t>
                        </w:r>
                      </w:p>
                    </w:txbxContent>
                  </v:textbox>
                </v:shape>
                <v:shape id="文本框 7" o:spid="_x0000_s1026" o:spt="202" type="#_x0000_t202" style="position:absolute;left:4064001;top:937260;height:342900;width:1028700;" fillcolor="#FFFFFF" filled="t" stroked="t" coordsize="21600,21600" o:gfxdata="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ZhNR1QAAAAUBAAAPAAAAAAAA&#10;AAEAIAAAACIAAABkcnMvZG93bnJldi54bWxQSwECFAAUAAAACACHTuJARCqGZRUCAABDBAAADgAA&#10;AAAAAAABACAAAAAkAQAAZHJzL2Uyb0RvYy54bWxQSwUGAAAAAAYABgBZAQAAqwUAAAAA&#10;">
                  <v:fill on="t" focussize="0,0"/>
                  <v:stroke color="#000000" joinstyle="miter"/>
                  <v:imagedata o:title=""/>
                  <o:lock v:ext="edit" aspectratio="f"/>
                  <v:textbox>
                    <w:txbxContent>
                      <w:p>
                        <w:pPr>
                          <w:jc w:val="center"/>
                        </w:pPr>
                        <w:r>
                          <w:rPr>
                            <w:rFonts w:hint="eastAsia"/>
                          </w:rPr>
                          <w:t>现场处置</w:t>
                        </w:r>
                      </w:p>
                    </w:txbxContent>
                  </v:textbox>
                </v:shape>
                <v:shape id="文本框 8" o:spid="_x0000_s1026" o:spt="202" type="#_x0000_t202" style="position:absolute;left:2826386;top:1297940;height:480695;width:1005205;" fillcolor="#FFFFFF" filled="t" stroked="f" coordsize="21600,21600" o:gfxdata="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VRm1AAAAAUBAAAPAAAAAAAAAAEAIAAAACIAAABkcnMv&#10;ZG93bnJldi54bWxQSwECFAAUAAAACACHTuJAzHYlts4BAACFAwAADgAAAAAAAAABACAAAAAjAQAA&#10;ZHJzL2Uyb0RvYy54bWxQSwUGAAAAAAYABgBZAQAAYwUAAAAA&#10;">
                  <v:fill on="t" focussize="0,0"/>
                  <v:stroke on="f"/>
                  <v:imagedata o:title=""/>
                  <o:lock v:ext="edit" aspectratio="f"/>
                  <v:textbox>
                    <w:txbxContent>
                      <w:p>
                        <w:pPr>
                          <w:jc w:val="center"/>
                        </w:pPr>
                        <w:r>
                          <w:rPr>
                            <w:rFonts w:hint="eastAsia"/>
                          </w:rPr>
                          <w:t>事态超出小组控制范围</w:t>
                        </w:r>
                      </w:p>
                    </w:txbxContent>
                  </v:textbox>
                </v:shape>
                <v:shape id="文本框 9" o:spid="_x0000_s1026" o:spt="202" type="#_x0000_t202" style="position:absolute;left:2222500;top:916305;height:352425;width:1038225;" fillcolor="#FFFFFF" filled="t" stroked="t" coordsize="21600,21600" o:gfxdata="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GYTUdUAAAAFAQAADwAAAAAAAAAB&#10;ACAAAAAiAAAAZHJzL2Rvd25yZXYueG1sUEsBAhQAFAAAAAgAh07iQAgSagwTAgAAQwQAAA4AAAAA&#10;AAAAAQAgAAAAJAEAAGRycy9lMm9Eb2MueG1sUEsFBgAAAAAGAAYAWQEAAKkFAAAAAA==&#10;">
                  <v:fill on="t" focussize="0,0"/>
                  <v:stroke color="#000000" joinstyle="miter"/>
                  <v:imagedata o:title=""/>
                  <o:lock v:ext="edit" aspectratio="f"/>
                  <v:textbox>
                    <w:txbxContent>
                      <w:p>
                        <w:pPr>
                          <w:jc w:val="center"/>
                        </w:pPr>
                        <w:r>
                          <w:rPr>
                            <w:rFonts w:hint="eastAsia"/>
                          </w:rPr>
                          <w:t>应急处置</w:t>
                        </w:r>
                      </w:p>
                    </w:txbxContent>
                  </v:textbox>
                </v:shape>
                <v:shape id="文本框 10" o:spid="_x0000_s1026" o:spt="202" type="#_x0000_t202" style="position:absolute;left:2232660;top:1889760;height:342900;width:1028700;" fillcolor="#FFFFFF" filled="t" stroked="t" coordsize="21600,21600" o:gfxdata="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ZhNR1QAAAAUBAAAPAAAAAAAA&#10;AAEAIAAAACIAAABkcnMvZG93bnJldi54bWxQSwECFAAUAAAACACHTuJAcQrRsxUCAABFBAAADgAA&#10;AAAAAAABACAAAAAkAQAAZHJzL2Uyb0RvYy54bWxQSwUGAAAAAAYABgBZAQAAqwUAAAAA&#10;">
                  <v:fill on="t" focussize="0,0"/>
                  <v:stroke color="#000000" joinstyle="miter"/>
                  <v:imagedata o:title=""/>
                  <o:lock v:ext="edit" aspectratio="f"/>
                  <v:textbox>
                    <w:txbxContent>
                      <w:p>
                        <w:pPr>
                          <w:jc w:val="center"/>
                        </w:pPr>
                        <w:r>
                          <w:rPr>
                            <w:rFonts w:hint="eastAsia"/>
                          </w:rPr>
                          <w:t>向上级汇报</w:t>
                        </w:r>
                      </w:p>
                    </w:txbxContent>
                  </v:textbox>
                </v:shape>
                <v:line id="直接连接符 11" o:spid="_x0000_s1026" o:spt="20" style="position:absolute;left:2755901;top:2251075;height:304800;width:0;" filled="f" stroked="t" coordsize="21600,21600" o:gfxdata="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DRJTWAAAABQEAAA8AAAAAAAAAAQAgAAAAIgAAAGRycy9k&#10;b3ducmV2LnhtbFBLAQIUABQAAAAIAIdO4kDOf+L0BAIAAOcDAAAOAAAAAAAAAAEAIAAAACUBAABk&#10;cnMvZTJvRG9jLnhtbFBLBQYAAAAABgAGAFkBAACbBQAAAAA=&#10;">
                  <v:fill on="f" focussize="0,0"/>
                  <v:stroke color="#000000" joinstyle="round" endarrow="open"/>
                  <v:imagedata o:title=""/>
                  <o:lock v:ext="edit" aspectratio="f"/>
                </v:line>
                <v:shape id="文本框 12" o:spid="_x0000_s1026" o:spt="202" type="#_x0000_t202" style="position:absolute;left:2253615;top:2567305;height:310515;width:1266825;" fillcolor="#FFFFFF" filled="t" stroked="t" coordsize="21600,21600" o:gfxdata="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ZhNR1QAAAAUBAAAPAAAAAAAA&#10;AAEAIAAAACIAAABkcnMvZG93bnJldi54bWxQSwECFAAUAAAACACHTuJA8s9AxRUCAABFBAAADgAA&#10;AAAAAAABACAAAAAkAQAAZHJzL2Uyb0RvYy54bWxQSwUGAAAAAAYABgBZAQAAqwUAAAAA&#10;">
                  <v:fill on="t" focussize="0,0"/>
                  <v:stroke color="#000000" joinstyle="miter"/>
                  <v:imagedata o:title=""/>
                  <o:lock v:ext="edit" aspectratio="f"/>
                  <v:textbox>
                    <w:txbxContent>
                      <w:p>
                        <w:pPr>
                          <w:jc w:val="center"/>
                        </w:pPr>
                        <w:r>
                          <w:rPr>
                            <w:rFonts w:hint="eastAsia"/>
                          </w:rPr>
                          <w:t>请求厂内增援</w:t>
                        </w:r>
                      </w:p>
                    </w:txbxContent>
                  </v:textbox>
                </v:shape>
                <v:shape id="文本框 13" o:spid="_x0000_s1026" o:spt="202" type="#_x0000_t202" style="position:absolute;left:1089660;top:1583055;height:342900;width:1028700;" fillcolor="#FFFFFF" filled="t" stroked="t" coordsize="21600,21600" o:gfxdata="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ZhNR1QAAAAUBAAAPAAAAAAAA&#10;AAEAIAAAACIAAABkcnMvZG93bnJldi54bWxQSwECFAAUAAAACACHTuJARTr0fBUCAABFBAAADgAA&#10;AAAAAAABACAAAAAkAQAAZHJzL2Uyb0RvYy54bWxQSwUGAAAAAAYABgBZAQAAqwUAAAAA&#10;">
                  <v:fill on="t" focussize="0,0"/>
                  <v:stroke color="#000000" joinstyle="miter"/>
                  <v:imagedata o:title=""/>
                  <o:lock v:ext="edit" aspectratio="f"/>
                  <v:textbox>
                    <w:txbxContent>
                      <w:p>
                        <w:pPr>
                          <w:jc w:val="center"/>
                        </w:pPr>
                        <w:r>
                          <w:rPr>
                            <w:rFonts w:hint="eastAsia"/>
                          </w:rPr>
                          <w:t>扩大应急</w:t>
                        </w:r>
                      </w:p>
                    </w:txbxContent>
                  </v:textbox>
                </v:shape>
                <v:shape id="肘形连接符 14" o:spid="_x0000_s1026" o:spt="33" type="#_x0000_t33" style="position:absolute;left:1603375;top:1925320;height:796925;width:649605;rotation:11796480f;" filled="f" stroked="t" coordsize="21600,21600" o:gfxdata="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BuZsnVAAAABQEA&#10;AA8AAAAAAAAAAQAgAAAAIgAAAGRycy9kb3ducmV2LnhtbFBLAQIUABQAAAAIAIdO4kC1KxG5HQIA&#10;AA8EAAAOAAAAAAAAAAEAIAAAACQBAABkcnMvZTJvRG9jLnhtbFBLBQYAAAAABgAGAFkBAACzBQAA&#10;AAA=&#10;">
                  <v:fill on="f" focussize="0,0"/>
                  <v:stroke color="#000000" joinstyle="miter" endarrow="open"/>
                  <v:imagedata o:title=""/>
                  <o:lock v:ext="edit" aspectratio="f"/>
                </v:shape>
                <v:shape id="肘形连接符 15" o:spid="_x0000_s1026" o:spt="33" type="#_x0000_t33" style="position:absolute;left:1668145;top:1028700;height:618490;width:490220;rotation:-5898240f;" filled="f" stroked="t" coordsize="21600,21600" o:gfxdata="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tqZoLVAAAABQEA&#10;AA8AAAAAAAAAAQAgAAAAIgAAAGRycy9kb3ducmV2LnhtbFBLAQIUABQAAAAIAIdO4kD3JdXiHQIA&#10;AA8EAAAOAAAAAAAAAAEAIAAAACQBAABkcnMvZTJvRG9jLnhtbFBLBQYAAAAABgAGAFkBAACzBQAA&#10;AAA=&#10;">
                  <v:fill on="f" focussize="0,0"/>
                  <v:stroke color="#000000" joinstyle="miter" endarrow="open"/>
                  <v:imagedata o:title=""/>
                  <o:lock v:ext="edit" aspectratio="f"/>
                </v:shape>
                <w10:wrap type="none"/>
                <w10:anchorlock/>
              </v:group>
            </w:pict>
          </mc:Fallback>
        </mc:AlternateContent>
      </w:r>
    </w:p>
    <w:p>
      <w:pPr>
        <w:adjustRightInd w:val="0"/>
        <w:snapToGrid w:val="0"/>
        <w:jc w:val="center"/>
        <w:rPr>
          <w:b/>
          <w:bCs/>
          <w:color w:val="auto"/>
          <w:highlight w:val="none"/>
        </w:rPr>
      </w:pPr>
      <w:r>
        <w:rPr>
          <w:b/>
          <w:bCs/>
          <w:color w:val="auto"/>
          <w:highlight w:val="none"/>
        </w:rPr>
        <w:t>图2.1  火灾事故应急处置流程图</w:t>
      </w:r>
    </w:p>
    <w:p>
      <w:pPr>
        <w:adjustRightInd w:val="0"/>
        <w:snapToGrid w:val="0"/>
        <w:spacing w:before="156" w:beforeLines="50" w:line="360" w:lineRule="auto"/>
        <w:ind w:firstLine="480" w:firstLineChars="200"/>
        <w:rPr>
          <w:color w:val="auto"/>
          <w:highlight w:val="none"/>
        </w:rPr>
      </w:pPr>
      <w:r>
        <w:rPr>
          <w:color w:val="auto"/>
          <w:highlight w:val="none"/>
        </w:rPr>
        <w:t>发生</w:t>
      </w:r>
      <w:r>
        <w:rPr>
          <w:rFonts w:hint="eastAsia"/>
          <w:color w:val="auto"/>
          <w:highlight w:val="none"/>
        </w:rPr>
        <w:t>泄漏</w:t>
      </w:r>
      <w:r>
        <w:rPr>
          <w:color w:val="auto"/>
          <w:highlight w:val="none"/>
        </w:rPr>
        <w:t>、火灾事故后，启动应急预案，急救队小组负责人立即进行应急处置，若事态可控制，现场处置完后，应急结束；若事态超出小组控制范围，立即向上级汇报，请求厂内增援进行应急处置。</w:t>
      </w:r>
    </w:p>
    <w:p>
      <w:pPr>
        <w:pStyle w:val="5"/>
        <w:rPr>
          <w:color w:val="auto"/>
          <w:highlight w:val="none"/>
        </w:rPr>
      </w:pPr>
      <w:bookmarkStart w:id="241" w:name="_Toc11153"/>
      <w:r>
        <w:rPr>
          <w:color w:val="auto"/>
          <w:highlight w:val="none"/>
        </w:rPr>
        <w:t>2.5 应急处置措施</w:t>
      </w:r>
      <w:bookmarkEnd w:id="241"/>
    </w:p>
    <w:p>
      <w:pPr>
        <w:pStyle w:val="6"/>
        <w:rPr>
          <w:color w:val="auto"/>
          <w:highlight w:val="none"/>
        </w:rPr>
      </w:pPr>
      <w:bookmarkStart w:id="242" w:name="_Toc8287"/>
      <w:r>
        <w:rPr>
          <w:color w:val="auto"/>
          <w:highlight w:val="none"/>
        </w:rPr>
        <w:t>2.5.1 污染源切断、污染物控制、消除</w:t>
      </w:r>
      <w:bookmarkEnd w:id="242"/>
    </w:p>
    <w:p>
      <w:pPr>
        <w:snapToGrid w:val="0"/>
        <w:spacing w:line="360" w:lineRule="auto"/>
        <w:ind w:firstLine="482" w:firstLineChars="200"/>
        <w:rPr>
          <w:b/>
          <w:color w:val="auto"/>
          <w:highlight w:val="none"/>
        </w:rPr>
      </w:pPr>
      <w:r>
        <w:rPr>
          <w:b/>
          <w:color w:val="auto"/>
          <w:highlight w:val="none"/>
        </w:rPr>
        <w:t>（1）初始火灾扑救</w:t>
      </w:r>
    </w:p>
    <w:p>
      <w:pPr>
        <w:adjustRightInd w:val="0"/>
        <w:snapToGrid w:val="0"/>
        <w:spacing w:line="360" w:lineRule="auto"/>
        <w:ind w:firstLine="480" w:firstLineChars="200"/>
        <w:rPr>
          <w:color w:val="auto"/>
          <w:highlight w:val="none"/>
        </w:rPr>
      </w:pPr>
      <w:r>
        <w:rPr>
          <w:rFonts w:hint="eastAsia"/>
          <w:color w:val="auto"/>
          <w:highlight w:val="none"/>
        </w:rPr>
        <w:t>发现火灾的人员应迅速查清着火部位、着火物及来源，准确关闭有关阀门，切断物料来源；按压附近的消防手动报警按钮并试着用灭火器灭火。若火势一时难以扑灭，要采取防止火势蔓延的措施，转移危险物质。如果火势发展，使用灭火器已经无法控制，应当立即撤离火场并通知该区域的主管。</w:t>
      </w:r>
    </w:p>
    <w:p>
      <w:pPr>
        <w:snapToGrid w:val="0"/>
        <w:spacing w:line="360" w:lineRule="auto"/>
        <w:ind w:firstLine="482" w:firstLineChars="200"/>
        <w:rPr>
          <w:rFonts w:hAnsi="宋体"/>
          <w:b/>
          <w:color w:val="auto"/>
          <w:highlight w:val="none"/>
        </w:rPr>
      </w:pPr>
      <w:r>
        <w:rPr>
          <w:rFonts w:hint="eastAsia" w:hAnsi="宋体"/>
          <w:b/>
          <w:color w:val="auto"/>
          <w:highlight w:val="none"/>
        </w:rPr>
        <w:t>（2）重大火灾应急处置措施</w:t>
      </w:r>
    </w:p>
    <w:p>
      <w:pPr>
        <w:adjustRightInd w:val="0"/>
        <w:snapToGrid w:val="0"/>
        <w:spacing w:line="360" w:lineRule="auto"/>
        <w:ind w:firstLine="480" w:firstLineChars="200"/>
        <w:rPr>
          <w:color w:val="auto"/>
          <w:highlight w:val="none"/>
        </w:rPr>
      </w:pPr>
      <w:r>
        <w:rPr>
          <w:rFonts w:hint="eastAsia"/>
          <w:color w:val="auto"/>
          <w:highlight w:val="none"/>
        </w:rPr>
        <w:t>发生重大火灾，应向上一级人员报告，请求援助。并立即拨打消防报警电话，讲清着火部位，燃烧物性质、具体地址等信息。立即疏散厂区人员到安全地点。划出防火隔离带，可清除周边可燃物或用消防水冷却隔离。如有受伤人员，迅速将受伤人员撤离危险区域，并进行救护，如需要，立即送医院。</w:t>
      </w:r>
    </w:p>
    <w:p>
      <w:pPr>
        <w:snapToGrid w:val="0"/>
        <w:spacing w:line="360" w:lineRule="auto"/>
        <w:ind w:firstLine="482" w:firstLineChars="200"/>
        <w:rPr>
          <w:rFonts w:hAnsi="宋体"/>
          <w:b/>
          <w:color w:val="auto"/>
          <w:highlight w:val="none"/>
        </w:rPr>
      </w:pPr>
      <w:r>
        <w:rPr>
          <w:rFonts w:hint="eastAsia" w:hAnsi="宋体"/>
          <w:b/>
          <w:color w:val="auto"/>
          <w:highlight w:val="none"/>
        </w:rPr>
        <w:t>（3）电气火灾应急处置措施</w:t>
      </w:r>
    </w:p>
    <w:p>
      <w:pPr>
        <w:adjustRightInd w:val="0"/>
        <w:snapToGrid w:val="0"/>
        <w:spacing w:line="360" w:lineRule="auto"/>
        <w:ind w:firstLine="480" w:firstLineChars="200"/>
        <w:rPr>
          <w:rFonts w:hint="eastAsia" w:ascii="Times New Roman" w:hAnsi="Times New Roman" w:cs="Times New Roman"/>
          <w:color w:val="auto"/>
          <w:highlight w:val="none"/>
        </w:rPr>
      </w:pPr>
      <w:r>
        <w:rPr>
          <w:rFonts w:hint="eastAsia"/>
          <w:color w:val="auto"/>
          <w:highlight w:val="none"/>
          <w:lang w:val="en-US" w:eastAsia="zh-CN"/>
        </w:rPr>
        <w:t>1</w:t>
      </w:r>
      <w:r>
        <w:rPr>
          <w:rFonts w:hint="eastAsia"/>
          <w:color w:val="auto"/>
          <w:highlight w:val="none"/>
        </w:rPr>
        <w:t>）</w:t>
      </w:r>
      <w:r>
        <w:rPr>
          <w:rFonts w:hint="eastAsia" w:ascii="Times New Roman" w:hAnsi="Times New Roman" w:cs="Times New Roman"/>
          <w:color w:val="auto"/>
          <w:highlight w:val="none"/>
        </w:rPr>
        <w:t>灭火扑救应按照“先控后灭”的程序，先采取措施控制火势蔓延，然后扑灭、消除火源，防止事故扩大。</w:t>
      </w:r>
    </w:p>
    <w:p>
      <w:pPr>
        <w:adjustRightInd w:val="0"/>
        <w:snapToGrid w:val="0"/>
        <w:spacing w:line="360" w:lineRule="auto"/>
        <w:ind w:firstLine="480" w:firstLineChars="200"/>
        <w:rPr>
          <w:rFonts w:hint="eastAsia" w:ascii="Times New Roman" w:hAnsi="Times New Roman" w:cs="Times New Roman"/>
          <w:color w:val="auto"/>
          <w:highlight w:val="none"/>
        </w:rPr>
      </w:pPr>
      <w:r>
        <w:rPr>
          <w:rFonts w:hint="eastAsia"/>
          <w:color w:val="auto"/>
          <w:highlight w:val="none"/>
          <w:lang w:val="en-US" w:eastAsia="zh-CN"/>
        </w:rPr>
        <w:t>2</w:t>
      </w:r>
      <w:r>
        <w:rPr>
          <w:rFonts w:hint="eastAsia"/>
          <w:color w:val="auto"/>
          <w:highlight w:val="none"/>
        </w:rPr>
        <w:t>）</w:t>
      </w:r>
      <w:r>
        <w:rPr>
          <w:rFonts w:hint="eastAsia" w:ascii="Times New Roman" w:hAnsi="Times New Roman" w:cs="Times New Roman"/>
          <w:color w:val="auto"/>
          <w:highlight w:val="none"/>
        </w:rPr>
        <w:t>若发生电气设备着火时，电工迅速切断电源，如无法切断应及时拉下总电源开关，以免事态扩大，切断电源操作时应戴绝缘手套、绝缘鞋，使用绝缘工具。断电注意事项如下：</w:t>
      </w:r>
    </w:p>
    <w:p>
      <w:pPr>
        <w:adjustRightInd w:val="0"/>
        <w:snapToGrid w:val="0"/>
        <w:spacing w:line="360" w:lineRule="auto"/>
        <w:ind w:firstLine="480" w:firstLineChars="200"/>
        <w:rPr>
          <w:color w:val="auto"/>
          <w:highlight w:val="none"/>
        </w:rPr>
      </w:pPr>
      <w:r>
        <w:rPr>
          <w:color w:val="auto"/>
          <w:highlight w:val="none"/>
        </w:rPr>
        <w:t>a.</w:t>
      </w:r>
      <w:r>
        <w:rPr>
          <w:rFonts w:hint="eastAsia"/>
          <w:color w:val="auto"/>
          <w:highlight w:val="none"/>
        </w:rPr>
        <w:t>切断电源应先断开负载断路器，后拉开隔离开关。</w:t>
      </w:r>
    </w:p>
    <w:p>
      <w:pPr>
        <w:adjustRightInd w:val="0"/>
        <w:snapToGrid w:val="0"/>
        <w:spacing w:line="360" w:lineRule="auto"/>
        <w:ind w:firstLine="480" w:firstLineChars="200"/>
        <w:rPr>
          <w:color w:val="auto"/>
          <w:highlight w:val="none"/>
        </w:rPr>
      </w:pPr>
      <w:r>
        <w:rPr>
          <w:color w:val="auto"/>
          <w:highlight w:val="none"/>
        </w:rPr>
        <w:t>d.</w:t>
      </w:r>
      <w:r>
        <w:rPr>
          <w:rFonts w:hint="eastAsia"/>
          <w:color w:val="auto"/>
          <w:highlight w:val="none"/>
        </w:rPr>
        <w:t>切断电源时，如需供电、电力部门或其他部门配合，应迅速联系，报告情况，提出断电要求。</w:t>
      </w:r>
    </w:p>
    <w:p>
      <w:pPr>
        <w:adjustRightInd w:val="0"/>
        <w:snapToGrid w:val="0"/>
        <w:spacing w:line="360" w:lineRule="auto"/>
        <w:ind w:firstLine="480" w:firstLineChars="200"/>
        <w:rPr>
          <w:color w:val="auto"/>
          <w:highlight w:val="none"/>
        </w:rPr>
      </w:pPr>
      <w:r>
        <w:rPr>
          <w:color w:val="auto"/>
          <w:highlight w:val="none"/>
        </w:rPr>
        <w:t>3</w:t>
      </w:r>
      <w:r>
        <w:rPr>
          <w:rFonts w:hint="eastAsia"/>
          <w:color w:val="auto"/>
          <w:highlight w:val="none"/>
        </w:rPr>
        <w:t>）火灾发生的初期，现场人员应抓住灭火有利时机，在保证自身安全前提下立即采取措施全力扑救，将火灾消灭在初始阶段或控制住火势。</w:t>
      </w:r>
    </w:p>
    <w:p>
      <w:pPr>
        <w:adjustRightInd w:val="0"/>
        <w:snapToGrid w:val="0"/>
        <w:spacing w:line="360" w:lineRule="auto"/>
        <w:ind w:firstLine="480" w:firstLineChars="200"/>
        <w:rPr>
          <w:color w:val="auto"/>
          <w:highlight w:val="none"/>
        </w:rPr>
      </w:pPr>
      <w:r>
        <w:rPr>
          <w:color w:val="auto"/>
          <w:highlight w:val="none"/>
        </w:rPr>
        <w:t>4</w:t>
      </w:r>
      <w:r>
        <w:rPr>
          <w:rFonts w:hint="eastAsia"/>
          <w:color w:val="auto"/>
          <w:highlight w:val="none"/>
        </w:rPr>
        <w:t>）遇到带电设备着火时，在现场工作人员中要熟悉带电设备的人员进行指挥或带领下进行灭火。灭火应当使用干粉灭火器、二氧化碳灭火器等灭火，不得使用泡沫灭火器灭火。</w:t>
      </w:r>
    </w:p>
    <w:p>
      <w:pPr>
        <w:adjustRightInd w:val="0"/>
        <w:snapToGrid w:val="0"/>
        <w:spacing w:line="360" w:lineRule="auto"/>
        <w:ind w:firstLine="480" w:firstLineChars="200"/>
        <w:rPr>
          <w:color w:val="auto"/>
          <w:highlight w:val="none"/>
        </w:rPr>
      </w:pPr>
      <w:r>
        <w:rPr>
          <w:color w:val="auto"/>
          <w:highlight w:val="none"/>
        </w:rPr>
        <w:t>5</w:t>
      </w:r>
      <w:r>
        <w:rPr>
          <w:rFonts w:hint="eastAsia"/>
          <w:color w:val="auto"/>
          <w:highlight w:val="none"/>
        </w:rPr>
        <w:t>）严禁带电灭火，一定要带电灭火时，必须由电工完成，灭火人员必须穿绝缘鞋和戴绝缘手套，灭火器和带电体之间应保持足够的安全距离。</w:t>
      </w:r>
    </w:p>
    <w:p>
      <w:pPr>
        <w:adjustRightInd w:val="0"/>
        <w:snapToGrid w:val="0"/>
        <w:spacing w:line="360" w:lineRule="auto"/>
        <w:ind w:firstLine="480" w:firstLineChars="200"/>
        <w:rPr>
          <w:color w:val="auto"/>
          <w:highlight w:val="none"/>
        </w:rPr>
      </w:pPr>
      <w:r>
        <w:rPr>
          <w:color w:val="auto"/>
          <w:highlight w:val="none"/>
        </w:rPr>
        <w:t>6</w:t>
      </w:r>
      <w:r>
        <w:rPr>
          <w:rFonts w:hint="eastAsia"/>
          <w:color w:val="auto"/>
          <w:highlight w:val="none"/>
        </w:rPr>
        <w:t>）注意现场周围可能存在着较高的接触电压和跨步电压，其他人员严禁进入现场。</w:t>
      </w:r>
    </w:p>
    <w:p>
      <w:pPr>
        <w:adjustRightInd w:val="0"/>
        <w:snapToGrid w:val="0"/>
        <w:spacing w:line="360" w:lineRule="auto"/>
        <w:ind w:firstLine="480" w:firstLineChars="200"/>
        <w:rPr>
          <w:color w:val="auto"/>
          <w:highlight w:val="none"/>
        </w:rPr>
      </w:pPr>
      <w:r>
        <w:rPr>
          <w:color w:val="auto"/>
          <w:highlight w:val="none"/>
        </w:rPr>
        <w:t>7</w:t>
      </w:r>
      <w:r>
        <w:rPr>
          <w:rFonts w:hint="eastAsia"/>
          <w:color w:val="auto"/>
          <w:highlight w:val="none"/>
        </w:rPr>
        <w:t>）当现场灭火条件不具备或灭火无效时，在救援人员未赶到现场之前，要做好相应的准备工作。</w:t>
      </w:r>
    </w:p>
    <w:p>
      <w:pPr>
        <w:adjustRightInd w:val="0"/>
        <w:snapToGrid w:val="0"/>
        <w:spacing w:line="360" w:lineRule="auto"/>
        <w:ind w:firstLine="480" w:firstLineChars="200"/>
        <w:rPr>
          <w:color w:val="auto"/>
          <w:highlight w:val="none"/>
        </w:rPr>
      </w:pPr>
      <w:r>
        <w:rPr>
          <w:color w:val="auto"/>
          <w:highlight w:val="none"/>
        </w:rPr>
        <w:t>8</w:t>
      </w:r>
      <w:r>
        <w:rPr>
          <w:rFonts w:hint="eastAsia"/>
          <w:color w:val="auto"/>
          <w:highlight w:val="none"/>
        </w:rPr>
        <w:t>）当火灾难以控制，引起厂房大面积火灾时，应在确保安全的情况下，清理现场未燃烧的其他物质，对现场人员进行撤离，联络外部消防力量，等待救援。</w:t>
      </w:r>
    </w:p>
    <w:p>
      <w:pPr>
        <w:pStyle w:val="6"/>
        <w:bidi w:val="0"/>
        <w:rPr>
          <w:rFonts w:hint="eastAsia"/>
          <w:color w:val="auto"/>
          <w:highlight w:val="none"/>
        </w:rPr>
      </w:pPr>
      <w:r>
        <w:rPr>
          <w:rFonts w:hint="default"/>
          <w:color w:val="auto"/>
          <w:highlight w:val="none"/>
          <w:lang w:val="en-US" w:eastAsia="zh-CN"/>
        </w:rPr>
        <w:t>2.5.2 应急监测、应急物资调用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eastAsia="宋体"/>
          <w:color w:val="auto"/>
          <w:highlight w:val="none"/>
          <w:lang w:eastAsia="zh-CN"/>
        </w:rPr>
      </w:pPr>
      <w:r>
        <w:rPr>
          <w:rFonts w:hint="eastAsia" w:ascii="Times New Roman" w:hAnsi="Times New Roman" w:cs="Times New Roman"/>
          <w:color w:val="auto"/>
          <w:sz w:val="24"/>
          <w:szCs w:val="24"/>
          <w:highlight w:val="none"/>
          <w:lang w:val="en-US" w:eastAsia="zh-CN"/>
        </w:rPr>
        <w:t>具体可见参照综合应急预案。</w:t>
      </w:r>
    </w:p>
    <w:p>
      <w:pPr>
        <w:pStyle w:val="2"/>
        <w:rPr>
          <w:color w:val="auto"/>
          <w:highlight w:val="none"/>
        </w:rPr>
      </w:pPr>
    </w:p>
    <w:p>
      <w:pPr>
        <w:rPr>
          <w:color w:val="auto"/>
          <w:highlight w:val="none"/>
        </w:rPr>
      </w:pPr>
      <w:r>
        <w:rPr>
          <w:color w:val="auto"/>
          <w:highlight w:val="none"/>
        </w:rPr>
        <w:br w:type="page"/>
      </w:r>
    </w:p>
    <w:p>
      <w:pPr>
        <w:pStyle w:val="4"/>
        <w:rPr>
          <w:color w:val="auto"/>
          <w:highlight w:val="none"/>
        </w:rPr>
      </w:pPr>
      <w:bookmarkStart w:id="243" w:name="_Toc12337"/>
      <w:r>
        <w:rPr>
          <w:color w:val="auto"/>
          <w:highlight w:val="none"/>
        </w:rPr>
        <w:t>3 危废仓库专项应急预案</w:t>
      </w:r>
      <w:bookmarkEnd w:id="243"/>
    </w:p>
    <w:p>
      <w:pPr>
        <w:pStyle w:val="5"/>
        <w:rPr>
          <w:color w:val="auto"/>
          <w:highlight w:val="none"/>
        </w:rPr>
      </w:pPr>
      <w:bookmarkStart w:id="244" w:name="_Toc29465"/>
      <w:bookmarkStart w:id="245" w:name="_Toc17481"/>
      <w:r>
        <w:rPr>
          <w:color w:val="auto"/>
          <w:highlight w:val="none"/>
        </w:rPr>
        <w:t>3.1 总体要求</w:t>
      </w:r>
      <w:bookmarkEnd w:id="244"/>
    </w:p>
    <w:p>
      <w:pPr>
        <w:spacing w:line="360" w:lineRule="auto"/>
        <w:ind w:firstLine="480" w:firstLineChars="200"/>
        <w:rPr>
          <w:color w:val="auto"/>
          <w:highlight w:val="none"/>
        </w:rPr>
      </w:pPr>
      <w:r>
        <w:rPr>
          <w:color w:val="auto"/>
          <w:highlight w:val="none"/>
        </w:rPr>
        <w:t>公司产生的危险固废存在泄漏、火灾的风险，为确保在发生危险废物流失、泄漏、扩散等意外事故时能够及时、迅速、有序地处理由此造成的环境污染及人员伤害，保障公司群众和环境安全，根据《中华人民共和国固体废物污染环境防治法》、《企事业单位和工业园区突发环境事件应急预案编制导则》，并结合公司实际情况，特制定本专项预案。</w:t>
      </w:r>
    </w:p>
    <w:p>
      <w:pPr>
        <w:spacing w:line="360" w:lineRule="auto"/>
        <w:ind w:firstLine="480" w:firstLineChars="200"/>
        <w:rPr>
          <w:color w:val="auto"/>
          <w:highlight w:val="none"/>
        </w:rPr>
      </w:pPr>
      <w:r>
        <w:rPr>
          <w:color w:val="auto"/>
          <w:highlight w:val="none"/>
        </w:rPr>
        <w:t>公司产生的危险废物包括</w:t>
      </w:r>
      <w:r>
        <w:rPr>
          <w:rFonts w:hint="eastAsia" w:eastAsia="宋体"/>
          <w:color w:val="auto"/>
          <w:highlight w:val="none"/>
          <w:lang w:eastAsia="zh-CN"/>
        </w:rPr>
        <w:t>废劳保手套、废包装袋、含铬废液、废机油、废滤芯、废水处理</w:t>
      </w:r>
      <w:r>
        <w:rPr>
          <w:rFonts w:hint="eastAsia" w:ascii="Times New Roman" w:eastAsia="宋体"/>
          <w:color w:val="auto"/>
          <w:highlight w:val="none"/>
          <w:lang w:val="en-US" w:eastAsia="zh-CN"/>
        </w:rPr>
        <w:t>RO膜、废水处理污泥及蒸发废盐，</w:t>
      </w:r>
      <w:r>
        <w:rPr>
          <w:color w:val="auto"/>
          <w:highlight w:val="none"/>
        </w:rPr>
        <w:t>具体产生情况见下表：</w:t>
      </w:r>
    </w:p>
    <w:p>
      <w:pPr>
        <w:adjustRightInd w:val="0"/>
        <w:snapToGrid w:val="0"/>
        <w:jc w:val="center"/>
        <w:rPr>
          <w:b/>
          <w:bCs/>
          <w:color w:val="auto"/>
          <w:highlight w:val="none"/>
        </w:rPr>
      </w:pPr>
      <w:r>
        <w:rPr>
          <w:b/>
          <w:bCs/>
          <w:color w:val="auto"/>
          <w:highlight w:val="none"/>
        </w:rPr>
        <w:t>表</w:t>
      </w:r>
      <w:r>
        <w:rPr>
          <w:rFonts w:hint="eastAsia"/>
          <w:b/>
          <w:bCs/>
          <w:color w:val="auto"/>
          <w:highlight w:val="none"/>
          <w:lang w:val="en-US" w:eastAsia="zh-CN"/>
        </w:rPr>
        <w:t>3</w:t>
      </w:r>
      <w:r>
        <w:rPr>
          <w:rFonts w:hint="eastAsia"/>
          <w:b/>
          <w:bCs/>
          <w:color w:val="auto"/>
          <w:highlight w:val="none"/>
        </w:rPr>
        <w:t>.</w:t>
      </w:r>
      <w:r>
        <w:rPr>
          <w:b/>
          <w:bCs/>
          <w:color w:val="auto"/>
          <w:highlight w:val="none"/>
        </w:rPr>
        <w:t>1  公司危险废物产生及处置情况</w:t>
      </w:r>
    </w:p>
    <w:tbl>
      <w:tblPr>
        <w:tblStyle w:val="20"/>
        <w:tblW w:w="4715"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61"/>
        <w:gridCol w:w="597"/>
        <w:gridCol w:w="1301"/>
        <w:gridCol w:w="1454"/>
        <w:gridCol w:w="1179"/>
        <w:gridCol w:w="178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86"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序号</w:t>
            </w:r>
          </w:p>
        </w:tc>
        <w:tc>
          <w:tcPr>
            <w:tcW w:w="78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固废名称</w:t>
            </w:r>
          </w:p>
        </w:tc>
        <w:tc>
          <w:tcPr>
            <w:tcW w:w="371"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属性</w:t>
            </w:r>
          </w:p>
        </w:tc>
        <w:tc>
          <w:tcPr>
            <w:tcW w:w="809"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废物类别</w:t>
            </w:r>
          </w:p>
        </w:tc>
        <w:tc>
          <w:tcPr>
            <w:tcW w:w="90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废物代码</w:t>
            </w:r>
          </w:p>
        </w:tc>
        <w:tc>
          <w:tcPr>
            <w:tcW w:w="733"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color w:val="auto"/>
                <w:kern w:val="0"/>
                <w:sz w:val="21"/>
                <w:szCs w:val="21"/>
                <w:highlight w:val="none"/>
                <w:lang w:val="en-US" w:eastAsia="zh-CN"/>
              </w:rPr>
            </w:pPr>
            <w:r>
              <w:rPr>
                <w:rFonts w:hint="eastAsia" w:ascii="Times New Roman" w:hAnsi="Times New Roman" w:eastAsia="宋体" w:cs="Times New Roman"/>
                <w:b/>
                <w:color w:val="auto"/>
                <w:kern w:val="0"/>
                <w:sz w:val="21"/>
                <w:szCs w:val="21"/>
                <w:highlight w:val="none"/>
                <w:lang w:val="en-US" w:eastAsia="zh-CN"/>
              </w:rPr>
              <w:t>环评批复量</w:t>
            </w:r>
          </w:p>
        </w:tc>
        <w:tc>
          <w:tcPr>
            <w:tcW w:w="1110"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b/>
                <w:color w:val="auto"/>
                <w:kern w:val="0"/>
                <w:sz w:val="21"/>
                <w:szCs w:val="21"/>
                <w:highlight w:val="none"/>
              </w:rPr>
            </w:pPr>
            <w:r>
              <w:rPr>
                <w:rFonts w:hint="default" w:ascii="Times New Roman" w:hAnsi="Times New Roman" w:eastAsia="宋体" w:cs="Times New Roman"/>
                <w:b/>
                <w:color w:val="auto"/>
                <w:kern w:val="0"/>
                <w:sz w:val="21"/>
                <w:szCs w:val="21"/>
                <w:highlight w:val="none"/>
              </w:rPr>
              <w:t>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86" w:type="pct"/>
            <w:tcBorders>
              <w:tl2br w:val="nil"/>
              <w:tr2bl w:val="nil"/>
            </w:tcBorders>
            <w:noWrap/>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78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废弃劳保用品</w:t>
            </w:r>
          </w:p>
        </w:tc>
        <w:tc>
          <w:tcPr>
            <w:tcW w:w="371" w:type="pct"/>
            <w:vMerge w:val="restar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危险废物</w:t>
            </w:r>
          </w:p>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p>
        </w:tc>
        <w:tc>
          <w:tcPr>
            <w:tcW w:w="809"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其他废物</w:t>
            </w:r>
          </w:p>
        </w:tc>
        <w:tc>
          <w:tcPr>
            <w:tcW w:w="90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HW49</w:t>
            </w:r>
          </w:p>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900-041-49</w:t>
            </w:r>
          </w:p>
        </w:tc>
        <w:tc>
          <w:tcPr>
            <w:tcW w:w="733" w:type="pct"/>
            <w:tcBorders>
              <w:tl2br w:val="nil"/>
              <w:tr2bl w:val="nil"/>
            </w:tcBorders>
            <w:noWrap/>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10</w:t>
            </w:r>
          </w:p>
        </w:tc>
        <w:tc>
          <w:tcPr>
            <w:tcW w:w="1110" w:type="pct"/>
            <w:vMerge w:val="restart"/>
            <w:tcBorders>
              <w:tl2br w:val="nil"/>
              <w:tr2bl w:val="nil"/>
            </w:tcBorders>
            <w:noWrap/>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委托</w:t>
            </w:r>
            <w:r>
              <w:rPr>
                <w:rFonts w:hint="default" w:ascii="Times New Roman" w:hAnsi="Times New Roman" w:eastAsia="宋体" w:cs="Times New Roman"/>
                <w:color w:val="auto"/>
                <w:kern w:val="0"/>
                <w:sz w:val="21"/>
                <w:szCs w:val="21"/>
                <w:highlight w:val="none"/>
              </w:rPr>
              <w:t>无锡市工业废物安全处置有限公司</w:t>
            </w:r>
            <w:r>
              <w:rPr>
                <w:rFonts w:hint="default" w:ascii="Times New Roman" w:hAnsi="Times New Roman" w:eastAsia="宋体" w:cs="Times New Roman"/>
                <w:color w:val="auto"/>
                <w:kern w:val="0"/>
                <w:sz w:val="21"/>
                <w:szCs w:val="21"/>
                <w:highlight w:val="none"/>
                <w:lang w:val="en-US" w:eastAsia="zh-CN"/>
              </w:rPr>
              <w:t>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86" w:type="pct"/>
            <w:tcBorders>
              <w:tl2br w:val="nil"/>
              <w:tr2bl w:val="nil"/>
            </w:tcBorders>
            <w:noWrap/>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78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废包装袋</w:t>
            </w:r>
          </w:p>
        </w:tc>
        <w:tc>
          <w:tcPr>
            <w:tcW w:w="371"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p>
        </w:tc>
        <w:tc>
          <w:tcPr>
            <w:tcW w:w="809"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其他废物</w:t>
            </w:r>
          </w:p>
        </w:tc>
        <w:tc>
          <w:tcPr>
            <w:tcW w:w="90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HW49</w:t>
            </w:r>
          </w:p>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900-041-49</w:t>
            </w:r>
          </w:p>
        </w:tc>
        <w:tc>
          <w:tcPr>
            <w:tcW w:w="7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4</w:t>
            </w:r>
          </w:p>
        </w:tc>
        <w:tc>
          <w:tcPr>
            <w:tcW w:w="1110"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86" w:type="pct"/>
            <w:tcBorders>
              <w:tl2br w:val="nil"/>
              <w:tr2bl w:val="nil"/>
            </w:tcBorders>
            <w:noWrap/>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78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废机油</w:t>
            </w:r>
          </w:p>
        </w:tc>
        <w:tc>
          <w:tcPr>
            <w:tcW w:w="371"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p>
        </w:tc>
        <w:tc>
          <w:tcPr>
            <w:tcW w:w="809"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废矿物油与含矿物油废物</w:t>
            </w:r>
          </w:p>
        </w:tc>
        <w:tc>
          <w:tcPr>
            <w:tcW w:w="90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HW08</w:t>
            </w:r>
          </w:p>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900-218-08</w:t>
            </w:r>
          </w:p>
        </w:tc>
        <w:tc>
          <w:tcPr>
            <w:tcW w:w="7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0.2</w:t>
            </w:r>
          </w:p>
        </w:tc>
        <w:tc>
          <w:tcPr>
            <w:tcW w:w="1110"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86" w:type="pct"/>
            <w:tcBorders>
              <w:tl2br w:val="nil"/>
              <w:tr2bl w:val="nil"/>
            </w:tcBorders>
            <w:noWrap/>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p>
        </w:tc>
        <w:tc>
          <w:tcPr>
            <w:tcW w:w="78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废滤芯</w:t>
            </w:r>
          </w:p>
        </w:tc>
        <w:tc>
          <w:tcPr>
            <w:tcW w:w="371"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p>
        </w:tc>
        <w:tc>
          <w:tcPr>
            <w:tcW w:w="809"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其他废物</w:t>
            </w:r>
          </w:p>
        </w:tc>
        <w:tc>
          <w:tcPr>
            <w:tcW w:w="90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HW49</w:t>
            </w:r>
          </w:p>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900-041-49</w:t>
            </w:r>
          </w:p>
        </w:tc>
        <w:tc>
          <w:tcPr>
            <w:tcW w:w="7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2</w:t>
            </w:r>
          </w:p>
        </w:tc>
        <w:tc>
          <w:tcPr>
            <w:tcW w:w="1110"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86" w:type="pct"/>
            <w:tcBorders>
              <w:tl2br w:val="nil"/>
              <w:tr2bl w:val="nil"/>
            </w:tcBorders>
            <w:noWrap/>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w:t>
            </w:r>
          </w:p>
        </w:tc>
        <w:tc>
          <w:tcPr>
            <w:tcW w:w="78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废水处理RO膜</w:t>
            </w:r>
          </w:p>
        </w:tc>
        <w:tc>
          <w:tcPr>
            <w:tcW w:w="371"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p>
        </w:tc>
        <w:tc>
          <w:tcPr>
            <w:tcW w:w="809"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其他废物</w:t>
            </w:r>
          </w:p>
        </w:tc>
        <w:tc>
          <w:tcPr>
            <w:tcW w:w="90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HW49</w:t>
            </w:r>
          </w:p>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900-041-49</w:t>
            </w:r>
          </w:p>
        </w:tc>
        <w:tc>
          <w:tcPr>
            <w:tcW w:w="7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0.5</w:t>
            </w:r>
          </w:p>
        </w:tc>
        <w:tc>
          <w:tcPr>
            <w:tcW w:w="1110"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86" w:type="pct"/>
            <w:tcBorders>
              <w:tl2br w:val="nil"/>
              <w:tr2bl w:val="nil"/>
            </w:tcBorders>
            <w:noWrap/>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rPr>
              <w:t>6</w:t>
            </w:r>
          </w:p>
        </w:tc>
        <w:tc>
          <w:tcPr>
            <w:tcW w:w="78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含铬废液</w:t>
            </w:r>
          </w:p>
        </w:tc>
        <w:tc>
          <w:tcPr>
            <w:tcW w:w="371"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bidi="ar-SA"/>
              </w:rPr>
            </w:pPr>
          </w:p>
        </w:tc>
        <w:tc>
          <w:tcPr>
            <w:tcW w:w="809"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金属表面处理废物</w:t>
            </w:r>
          </w:p>
        </w:tc>
        <w:tc>
          <w:tcPr>
            <w:tcW w:w="90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HW17</w:t>
            </w:r>
          </w:p>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336-069-17</w:t>
            </w:r>
          </w:p>
        </w:tc>
        <w:tc>
          <w:tcPr>
            <w:tcW w:w="7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2"/>
                <w:sz w:val="21"/>
                <w:szCs w:val="21"/>
                <w:highlight w:val="none"/>
                <w:lang w:val="en-US" w:eastAsia="zh-CN" w:bidi="ar-SA"/>
              </w:rPr>
              <w:t>15</w:t>
            </w:r>
          </w:p>
        </w:tc>
        <w:tc>
          <w:tcPr>
            <w:tcW w:w="1110"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委托常州市和润环保科技有限公司处置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286" w:type="pct"/>
            <w:tcBorders>
              <w:tl2br w:val="nil"/>
              <w:tr2bl w:val="nil"/>
            </w:tcBorders>
            <w:noWrap/>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7</w:t>
            </w:r>
          </w:p>
        </w:tc>
        <w:tc>
          <w:tcPr>
            <w:tcW w:w="78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废水处理污泥及蒸发废盐</w:t>
            </w:r>
          </w:p>
        </w:tc>
        <w:tc>
          <w:tcPr>
            <w:tcW w:w="371" w:type="pct"/>
            <w:vMerge w:val="continue"/>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p>
        </w:tc>
        <w:tc>
          <w:tcPr>
            <w:tcW w:w="809"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金属表面处理废物</w:t>
            </w:r>
          </w:p>
        </w:tc>
        <w:tc>
          <w:tcPr>
            <w:tcW w:w="904"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HW17</w:t>
            </w:r>
          </w:p>
          <w:p>
            <w:pPr>
              <w:autoSpaceDE w:val="0"/>
              <w:autoSpaceDN w:val="0"/>
              <w:adjustRightInd w:val="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336-069-17</w:t>
            </w:r>
          </w:p>
        </w:tc>
        <w:tc>
          <w:tcPr>
            <w:tcW w:w="733"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7</w:t>
            </w:r>
          </w:p>
        </w:tc>
        <w:tc>
          <w:tcPr>
            <w:tcW w:w="1110" w:type="pct"/>
            <w:tcBorders>
              <w:tl2br w:val="nil"/>
              <w:tr2bl w:val="nil"/>
            </w:tcBorders>
            <w:noWrap w:val="0"/>
            <w:vAlign w:val="center"/>
          </w:tcPr>
          <w:p>
            <w:pPr>
              <w:autoSpaceDE w:val="0"/>
              <w:autoSpaceDN w:val="0"/>
              <w:adjustRightInd w:val="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委托无锡市固废环保处置有限公司处置</w:t>
            </w:r>
          </w:p>
        </w:tc>
      </w:tr>
    </w:tbl>
    <w:p>
      <w:pPr>
        <w:adjustRightInd w:val="0"/>
        <w:snapToGrid w:val="0"/>
        <w:spacing w:before="156" w:beforeLines="50" w:line="360" w:lineRule="auto"/>
        <w:ind w:firstLine="482" w:firstLineChars="200"/>
        <w:rPr>
          <w:b/>
          <w:bCs/>
          <w:color w:val="auto"/>
          <w:highlight w:val="none"/>
        </w:rPr>
      </w:pPr>
      <w:r>
        <w:rPr>
          <w:b/>
          <w:bCs/>
          <w:color w:val="auto"/>
          <w:highlight w:val="none"/>
        </w:rPr>
        <w:t>（2）危废仓库建设情况</w:t>
      </w:r>
    </w:p>
    <w:p>
      <w:pPr>
        <w:adjustRightInd w:val="0"/>
        <w:snapToGrid w:val="0"/>
        <w:spacing w:line="360" w:lineRule="auto"/>
        <w:ind w:firstLine="480" w:firstLineChars="200"/>
        <w:rPr>
          <w:color w:val="auto"/>
          <w:highlight w:val="none"/>
        </w:rPr>
      </w:pPr>
      <w:r>
        <w:rPr>
          <w:color w:val="auto"/>
          <w:highlight w:val="none"/>
        </w:rPr>
        <w:t>危废仓库</w:t>
      </w:r>
      <w:r>
        <w:rPr>
          <w:rFonts w:hint="eastAsia"/>
          <w:color w:val="auto"/>
          <w:highlight w:val="none"/>
        </w:rPr>
        <w:t>已</w:t>
      </w:r>
      <w:r>
        <w:rPr>
          <w:color w:val="auto"/>
          <w:highlight w:val="none"/>
        </w:rPr>
        <w:t>按照省厅苏环办〔2019〕327</w:t>
      </w:r>
      <w:r>
        <w:rPr>
          <w:rFonts w:hint="eastAsia" w:ascii="宋体" w:hAnsi="宋体" w:cs="宋体"/>
          <w:color w:val="auto"/>
          <w:highlight w:val="none"/>
        </w:rPr>
        <w:t>号等文件要求设置：</w:t>
      </w:r>
      <w:r>
        <w:rPr>
          <w:color w:val="auto"/>
          <w:highlight w:val="none"/>
        </w:rPr>
        <w:t>危废仓库内设有应急沟，危废仓库地面经过水泥硬化，做过防渗漏处理</w:t>
      </w:r>
      <w:r>
        <w:rPr>
          <w:rFonts w:hint="eastAsia"/>
          <w:color w:val="auto"/>
          <w:highlight w:val="none"/>
        </w:rPr>
        <w:t>；</w:t>
      </w:r>
      <w:r>
        <w:rPr>
          <w:color w:val="auto"/>
          <w:highlight w:val="none"/>
        </w:rPr>
        <w:t>配备通讯设备、防爆灯、禁火标志、灭火器（黄沙）等应急物资，并设有明显的危险废物存放区标识牌</w:t>
      </w:r>
      <w:r>
        <w:rPr>
          <w:rFonts w:hint="eastAsia"/>
          <w:color w:val="auto"/>
          <w:highlight w:val="none"/>
        </w:rPr>
        <w:t>；</w:t>
      </w:r>
      <w:r>
        <w:rPr>
          <w:color w:val="auto"/>
          <w:highlight w:val="none"/>
        </w:rPr>
        <w:t>同时，已经按照要求对危废仓库设置了监控系统，在仓库出入口、仓库内、厂门口等关键位置安装视频监控设施，进行实时监控，并与</w:t>
      </w:r>
      <w:r>
        <w:rPr>
          <w:rFonts w:hint="eastAsia"/>
          <w:color w:val="auto"/>
          <w:highlight w:val="none"/>
          <w:lang w:val="en-US" w:eastAsia="zh-CN"/>
        </w:rPr>
        <w:t>门卫传达室</w:t>
      </w:r>
      <w:r>
        <w:rPr>
          <w:color w:val="auto"/>
          <w:highlight w:val="none"/>
        </w:rPr>
        <w:t>联网。</w:t>
      </w:r>
    </w:p>
    <w:p>
      <w:pPr>
        <w:adjustRightInd w:val="0"/>
        <w:snapToGrid w:val="0"/>
        <w:jc w:val="center"/>
        <w:rPr>
          <w:color w:val="auto"/>
          <w:sz w:val="28"/>
          <w:szCs w:val="28"/>
          <w:highlight w:val="none"/>
        </w:rPr>
      </w:pPr>
      <w:r>
        <w:rPr>
          <w:b/>
          <w:color w:val="auto"/>
          <w:szCs w:val="32"/>
          <w:highlight w:val="none"/>
        </w:rPr>
        <w:t>表</w:t>
      </w:r>
      <w:r>
        <w:rPr>
          <w:rFonts w:hint="eastAsia"/>
          <w:b/>
          <w:color w:val="auto"/>
          <w:szCs w:val="32"/>
          <w:highlight w:val="none"/>
        </w:rPr>
        <w:t>3-2</w:t>
      </w:r>
      <w:r>
        <w:rPr>
          <w:b/>
          <w:color w:val="auto"/>
          <w:szCs w:val="32"/>
          <w:highlight w:val="none"/>
        </w:rPr>
        <w:t xml:space="preserve">  本公司危废贮存管理与苏环办〔2019〕327号文件相符性</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075"/>
        <w:gridCol w:w="34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5528" w:type="dxa"/>
            <w:shd w:val="clear" w:color="auto" w:fill="auto"/>
            <w:vAlign w:val="center"/>
          </w:tcPr>
          <w:p>
            <w:pPr>
              <w:adjustRightInd w:val="0"/>
              <w:snapToGrid w:val="0"/>
              <w:jc w:val="center"/>
              <w:rPr>
                <w:b/>
                <w:bCs/>
                <w:color w:val="auto"/>
                <w:sz w:val="21"/>
                <w:szCs w:val="21"/>
                <w:highlight w:val="none"/>
              </w:rPr>
            </w:pPr>
            <w:r>
              <w:rPr>
                <w:b/>
                <w:bCs/>
                <w:color w:val="auto"/>
                <w:sz w:val="21"/>
                <w:szCs w:val="21"/>
                <w:highlight w:val="none"/>
              </w:rPr>
              <w:t>苏环办〔2019〕327号</w:t>
            </w:r>
          </w:p>
        </w:tc>
        <w:tc>
          <w:tcPr>
            <w:tcW w:w="3759" w:type="dxa"/>
            <w:shd w:val="clear" w:color="auto" w:fill="auto"/>
            <w:vAlign w:val="center"/>
          </w:tcPr>
          <w:p>
            <w:pPr>
              <w:adjustRightInd w:val="0"/>
              <w:snapToGrid w:val="0"/>
              <w:jc w:val="center"/>
              <w:rPr>
                <w:b/>
                <w:bCs/>
                <w:color w:val="auto"/>
                <w:sz w:val="21"/>
                <w:szCs w:val="21"/>
                <w:highlight w:val="none"/>
              </w:rPr>
            </w:pPr>
            <w:r>
              <w:rPr>
                <w:b/>
                <w:bCs/>
                <w:color w:val="auto"/>
                <w:sz w:val="21"/>
                <w:szCs w:val="21"/>
                <w:highlight w:val="none"/>
              </w:rPr>
              <w:t>本公司情况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危险废物产生单位应按规定申报危险废物产生、贮存、转移、利用处置等信息，制定危险废物年度管理计划，并在“江苏省危险废物动态管理信息系统”中备案。</w:t>
            </w:r>
          </w:p>
        </w:tc>
        <w:tc>
          <w:tcPr>
            <w:tcW w:w="3759"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企业危险废物年度管理计划已在“江苏省危险废物动态管理信息系统”备案。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危险废物产生企业应结合自身实际，建立危险废物台账，如实记载危险废物的种类、数量、性质、产生环节、流向、贮存、利用处置等信息，并在“江苏省危险废物动态管理信息系统”中进行如实规范申报，申报数据应与台账、管理计划数据相一致。</w:t>
            </w:r>
          </w:p>
        </w:tc>
        <w:tc>
          <w:tcPr>
            <w:tcW w:w="3759"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已建立危废台账，并在“江苏省危险废物动态管理信息系统”中进行申报。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危险废物产生单位和经营单位按照附件1要求在厂区门口显著位置设置危险废物信息公开栏，主动公开危险废物产生、利用处置等情况。</w:t>
            </w:r>
          </w:p>
        </w:tc>
        <w:tc>
          <w:tcPr>
            <w:tcW w:w="3759"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厂门口显著位置已设置危险废物信息公开栏。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对衡算结果与实际产废情况相差明显的，属地生态环境部门要分析原因，对环评中错评、漏评的，督促企业通过环境影响后评价重新进行评估；对企业未如实申报、故意隐瞒废物种类、数量的，依法予以查处。</w:t>
            </w:r>
          </w:p>
        </w:tc>
        <w:tc>
          <w:tcPr>
            <w:tcW w:w="3759"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企业现实际产生的危废，均列入危险废物年度管理计划，并在“江苏省危险废物动态管理信息系统”备案。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企业严格执行《省生态环境厅关于印发江苏省危险废物贮存规范化管理专项整治行动方案的通知》（苏环办〔2019〕149号）要求，按照《环境保护图形标志固体废物贮存（处置）场》（GB 15562.2-1995）和危险废物识别标识设置规范设置标志。</w:t>
            </w:r>
          </w:p>
        </w:tc>
        <w:tc>
          <w:tcPr>
            <w:tcW w:w="3759" w:type="dxa"/>
            <w:shd w:val="clear" w:color="auto" w:fill="auto"/>
            <w:vAlign w:val="center"/>
          </w:tcPr>
          <w:p>
            <w:pPr>
              <w:adjustRightInd w:val="0"/>
              <w:snapToGrid w:val="0"/>
              <w:jc w:val="left"/>
              <w:rPr>
                <w:color w:val="auto"/>
                <w:sz w:val="21"/>
                <w:szCs w:val="21"/>
                <w:highlight w:val="none"/>
              </w:rPr>
            </w:pPr>
            <w:r>
              <w:rPr>
                <w:rFonts w:hint="eastAsia"/>
                <w:color w:val="auto"/>
                <w:sz w:val="21"/>
                <w:szCs w:val="21"/>
                <w:highlight w:val="none"/>
              </w:rPr>
              <w:t>已</w:t>
            </w:r>
            <w:r>
              <w:rPr>
                <w:color w:val="auto"/>
                <w:sz w:val="21"/>
                <w:szCs w:val="21"/>
                <w:highlight w:val="none"/>
              </w:rPr>
              <w:t>按照省厅苏环办【2019】327号等文件要求</w:t>
            </w:r>
            <w:r>
              <w:rPr>
                <w:rFonts w:hint="eastAsia"/>
                <w:color w:val="auto"/>
                <w:sz w:val="21"/>
                <w:szCs w:val="21"/>
                <w:highlight w:val="none"/>
              </w:rPr>
              <w:t>更新</w:t>
            </w:r>
            <w:r>
              <w:rPr>
                <w:color w:val="auto"/>
                <w:sz w:val="21"/>
                <w:szCs w:val="21"/>
                <w:highlight w:val="none"/>
              </w:rPr>
              <w:t>贮存设施警示标志牌及分区标识牌，厂门口显著位置设置危险废物信息公开栏。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配备通讯设备、照明设施和消防设施。</w:t>
            </w:r>
          </w:p>
        </w:tc>
        <w:tc>
          <w:tcPr>
            <w:tcW w:w="3759"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企业人员已随身配备通讯设备，危废仓库内部设置照明设施、消防设施。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设置气体导出口及气体净化装置，确保废气达标排放。</w:t>
            </w:r>
          </w:p>
        </w:tc>
        <w:tc>
          <w:tcPr>
            <w:tcW w:w="3759" w:type="dxa"/>
            <w:shd w:val="clear" w:color="auto" w:fill="auto"/>
            <w:vAlign w:val="center"/>
          </w:tcPr>
          <w:p>
            <w:pPr>
              <w:adjustRightInd w:val="0"/>
              <w:snapToGrid w:val="0"/>
              <w:rPr>
                <w:color w:val="auto"/>
                <w:sz w:val="21"/>
                <w:szCs w:val="21"/>
                <w:highlight w:val="none"/>
              </w:rPr>
            </w:pPr>
            <w:r>
              <w:rPr>
                <w:color w:val="auto"/>
                <w:sz w:val="21"/>
                <w:szCs w:val="21"/>
                <w:highlight w:val="none"/>
              </w:rPr>
              <w:t>企业产生的危废均密闭贮存。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在出入口、设施内部、危险废物运输车辆通道等关键位置按照危险废物贮存设施视频监控布设要求。2）设置视频监控，并与中控室联网。</w:t>
            </w:r>
          </w:p>
        </w:tc>
        <w:tc>
          <w:tcPr>
            <w:tcW w:w="3759" w:type="dxa"/>
            <w:shd w:val="clear" w:color="auto" w:fill="auto"/>
            <w:vAlign w:val="center"/>
          </w:tcPr>
          <w:p>
            <w:pPr>
              <w:adjustRightInd w:val="0"/>
              <w:snapToGrid w:val="0"/>
              <w:rPr>
                <w:color w:val="auto"/>
                <w:sz w:val="21"/>
                <w:szCs w:val="21"/>
                <w:highlight w:val="none"/>
              </w:rPr>
            </w:pPr>
            <w:r>
              <w:rPr>
                <w:color w:val="auto"/>
                <w:sz w:val="21"/>
                <w:szCs w:val="21"/>
                <w:highlight w:val="none"/>
              </w:rPr>
              <w:t>出入口、设施内部等关键位置已按照危险废物贮存设施视频监控布设要求设置视频监控。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企业应根据危险废物的种类和特性进行分区、分类贮存。</w:t>
            </w:r>
          </w:p>
        </w:tc>
        <w:tc>
          <w:tcPr>
            <w:tcW w:w="3759" w:type="dxa"/>
            <w:shd w:val="clear" w:color="auto" w:fill="auto"/>
            <w:vAlign w:val="center"/>
          </w:tcPr>
          <w:p>
            <w:pPr>
              <w:adjustRightInd w:val="0"/>
              <w:snapToGrid w:val="0"/>
              <w:rPr>
                <w:color w:val="auto"/>
                <w:sz w:val="21"/>
                <w:szCs w:val="21"/>
                <w:highlight w:val="none"/>
              </w:rPr>
            </w:pPr>
            <w:r>
              <w:rPr>
                <w:color w:val="auto"/>
                <w:sz w:val="21"/>
                <w:szCs w:val="21"/>
                <w:highlight w:val="none"/>
              </w:rPr>
              <w:t>危废库内设置明显分区。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设置防雨、防火、防雷、防扬散、防渗漏装置及泄漏液体收集装置。</w:t>
            </w:r>
          </w:p>
        </w:tc>
        <w:tc>
          <w:tcPr>
            <w:tcW w:w="3759" w:type="dxa"/>
            <w:shd w:val="clear" w:color="auto" w:fill="auto"/>
            <w:vAlign w:val="center"/>
          </w:tcPr>
          <w:p>
            <w:pPr>
              <w:adjustRightInd w:val="0"/>
              <w:snapToGrid w:val="0"/>
              <w:rPr>
                <w:color w:val="auto"/>
                <w:sz w:val="21"/>
                <w:szCs w:val="21"/>
                <w:highlight w:val="none"/>
              </w:rPr>
            </w:pPr>
            <w:r>
              <w:rPr>
                <w:color w:val="auto"/>
                <w:sz w:val="21"/>
                <w:szCs w:val="21"/>
                <w:highlight w:val="none"/>
              </w:rPr>
              <w:t>危废贮存场所已</w:t>
            </w:r>
            <w:r>
              <w:rPr>
                <w:rFonts w:hint="eastAsia"/>
                <w:color w:val="auto"/>
                <w:sz w:val="21"/>
                <w:szCs w:val="21"/>
                <w:highlight w:val="none"/>
              </w:rPr>
              <w:t>设置有托盘及收集沟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贮存废弃剧毒化学品的，应按照公安机关要求落实治安防范措施。</w:t>
            </w:r>
          </w:p>
        </w:tc>
        <w:tc>
          <w:tcPr>
            <w:tcW w:w="3759"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企业不涉及废弃剧毒化学品。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5528"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贮存设施周转的累积贮存量不得超过年许可经营能力的六分之一，贮存期限原则上不得超过一年。</w:t>
            </w:r>
          </w:p>
        </w:tc>
        <w:tc>
          <w:tcPr>
            <w:tcW w:w="3759" w:type="dxa"/>
            <w:shd w:val="clear" w:color="auto" w:fill="auto"/>
            <w:vAlign w:val="center"/>
          </w:tcPr>
          <w:p>
            <w:pPr>
              <w:adjustRightInd w:val="0"/>
              <w:snapToGrid w:val="0"/>
              <w:jc w:val="left"/>
              <w:rPr>
                <w:color w:val="auto"/>
                <w:sz w:val="21"/>
                <w:szCs w:val="21"/>
                <w:highlight w:val="none"/>
              </w:rPr>
            </w:pPr>
            <w:r>
              <w:rPr>
                <w:color w:val="auto"/>
                <w:sz w:val="21"/>
                <w:szCs w:val="21"/>
                <w:highlight w:val="none"/>
              </w:rPr>
              <w:t>企业目前未出现超期贮存现象。</w:t>
            </w:r>
          </w:p>
        </w:tc>
      </w:tr>
    </w:tbl>
    <w:p>
      <w:pPr>
        <w:adjustRightInd w:val="0"/>
        <w:snapToGrid w:val="0"/>
        <w:spacing w:line="360" w:lineRule="auto"/>
        <w:jc w:val="center"/>
        <w:rPr>
          <w:b/>
          <w:color w:val="auto"/>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pStyle w:val="2"/>
              <w:adjustRightInd w:val="0"/>
              <w:snapToGrid w:val="0"/>
              <w:spacing w:line="360" w:lineRule="auto"/>
              <w:jc w:val="center"/>
              <w:rPr>
                <w:rFonts w:hint="eastAsia" w:eastAsia="宋体"/>
                <w:bCs/>
                <w:color w:val="auto"/>
                <w:sz w:val="24"/>
                <w:highlight w:val="none"/>
                <w:lang w:eastAsia="zh-CN"/>
              </w:rPr>
            </w:pPr>
            <w:r>
              <w:rPr>
                <w:rFonts w:hint="eastAsia" w:eastAsia="宋体"/>
                <w:bCs/>
                <w:color w:val="auto"/>
                <w:sz w:val="24"/>
                <w:highlight w:val="none"/>
                <w:lang w:eastAsia="zh-CN"/>
              </w:rPr>
              <w:drawing>
                <wp:inline distT="0" distB="0" distL="114300" distR="114300">
                  <wp:extent cx="2536190" cy="3381375"/>
                  <wp:effectExtent l="0" t="0" r="16510" b="9525"/>
                  <wp:docPr id="60" name="图片 60" descr="IMG_20230214_14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IMG_20230214_141437"/>
                          <pic:cNvPicPr>
                            <a:picLocks noChangeAspect="1"/>
                          </pic:cNvPicPr>
                        </pic:nvPicPr>
                        <pic:blipFill>
                          <a:blip r:embed="rId12"/>
                          <a:stretch>
                            <a:fillRect/>
                          </a:stretch>
                        </pic:blipFill>
                        <pic:spPr>
                          <a:xfrm>
                            <a:off x="0" y="0"/>
                            <a:ext cx="2536190" cy="3381375"/>
                          </a:xfrm>
                          <a:prstGeom prst="rect">
                            <a:avLst/>
                          </a:prstGeom>
                        </pic:spPr>
                      </pic:pic>
                    </a:graphicData>
                  </a:graphic>
                </wp:inline>
              </w:drawing>
            </w:r>
          </w:p>
        </w:tc>
        <w:tc>
          <w:tcPr>
            <w:tcW w:w="4261" w:type="dxa"/>
          </w:tcPr>
          <w:p>
            <w:pPr>
              <w:pStyle w:val="2"/>
              <w:adjustRightInd w:val="0"/>
              <w:snapToGrid w:val="0"/>
              <w:spacing w:line="360" w:lineRule="auto"/>
              <w:jc w:val="center"/>
              <w:rPr>
                <w:rFonts w:hint="eastAsia" w:eastAsia="宋体"/>
                <w:bCs/>
                <w:color w:val="auto"/>
                <w:sz w:val="24"/>
                <w:highlight w:val="none"/>
                <w:lang w:eastAsia="zh-CN"/>
              </w:rPr>
            </w:pPr>
            <w:r>
              <w:rPr>
                <w:rFonts w:hint="eastAsia" w:eastAsia="宋体"/>
                <w:bCs/>
                <w:color w:val="auto"/>
                <w:sz w:val="24"/>
                <w:highlight w:val="none"/>
                <w:lang w:eastAsia="zh-CN"/>
              </w:rPr>
              <w:drawing>
                <wp:inline distT="0" distB="0" distL="114300" distR="114300">
                  <wp:extent cx="2536190" cy="3381375"/>
                  <wp:effectExtent l="0" t="0" r="16510" b="9525"/>
                  <wp:docPr id="61" name="图片 61" descr="IMG_20230214_14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IMG_20230214_141340"/>
                          <pic:cNvPicPr>
                            <a:picLocks noChangeAspect="1"/>
                          </pic:cNvPicPr>
                        </pic:nvPicPr>
                        <pic:blipFill>
                          <a:blip r:embed="rId13"/>
                          <a:stretch>
                            <a:fillRect/>
                          </a:stretch>
                        </pic:blipFill>
                        <pic:spPr>
                          <a:xfrm>
                            <a:off x="0" y="0"/>
                            <a:ext cx="2536190" cy="3381375"/>
                          </a:xfrm>
                          <a:prstGeom prst="rect">
                            <a:avLst/>
                          </a:prstGeom>
                        </pic:spPr>
                      </pic:pic>
                    </a:graphicData>
                  </a:graphic>
                </wp:inline>
              </w:drawing>
            </w:r>
          </w:p>
        </w:tc>
      </w:tr>
    </w:tbl>
    <w:p>
      <w:pPr>
        <w:adjustRightInd w:val="0"/>
        <w:snapToGrid w:val="0"/>
        <w:spacing w:line="360" w:lineRule="auto"/>
        <w:jc w:val="center"/>
        <w:rPr>
          <w:b/>
          <w:color w:val="auto"/>
          <w:highlight w:val="none"/>
        </w:rPr>
      </w:pPr>
      <w:r>
        <w:rPr>
          <w:b/>
          <w:color w:val="auto"/>
          <w:highlight w:val="none"/>
        </w:rPr>
        <w:t>图3-</w:t>
      </w:r>
      <w:r>
        <w:rPr>
          <w:rFonts w:hint="eastAsia"/>
          <w:b/>
          <w:color w:val="auto"/>
          <w:highlight w:val="none"/>
        </w:rPr>
        <w:t>1</w:t>
      </w:r>
      <w:r>
        <w:rPr>
          <w:b/>
          <w:color w:val="auto"/>
          <w:highlight w:val="none"/>
        </w:rPr>
        <w:t xml:space="preserve">  </w:t>
      </w:r>
      <w:r>
        <w:rPr>
          <w:rFonts w:hint="eastAsia"/>
          <w:b/>
          <w:color w:val="auto"/>
          <w:highlight w:val="none"/>
        </w:rPr>
        <w:t>厂区</w:t>
      </w:r>
      <w:r>
        <w:rPr>
          <w:b/>
          <w:color w:val="auto"/>
          <w:highlight w:val="none"/>
        </w:rPr>
        <w:t>危废仓库设置情况</w:t>
      </w:r>
    </w:p>
    <w:p>
      <w:pPr>
        <w:pStyle w:val="5"/>
        <w:rPr>
          <w:color w:val="auto"/>
          <w:highlight w:val="none"/>
        </w:rPr>
      </w:pPr>
      <w:bookmarkStart w:id="246" w:name="_Toc27896"/>
      <w:r>
        <w:rPr>
          <w:color w:val="auto"/>
          <w:highlight w:val="none"/>
        </w:rPr>
        <w:t xml:space="preserve">3.2 </w:t>
      </w:r>
      <w:bookmarkEnd w:id="245"/>
      <w:r>
        <w:rPr>
          <w:color w:val="auto"/>
          <w:highlight w:val="none"/>
        </w:rPr>
        <w:t>突发环境事件特征</w:t>
      </w:r>
      <w:bookmarkEnd w:id="246"/>
    </w:p>
    <w:p>
      <w:pPr>
        <w:adjustRightInd w:val="0"/>
        <w:snapToGrid w:val="0"/>
        <w:spacing w:line="360" w:lineRule="auto"/>
        <w:ind w:firstLine="480" w:firstLineChars="200"/>
        <w:rPr>
          <w:color w:val="auto"/>
          <w:sz w:val="32"/>
          <w:highlight w:val="none"/>
        </w:rPr>
      </w:pPr>
      <w:r>
        <w:rPr>
          <w:color w:val="auto"/>
          <w:highlight w:val="none"/>
        </w:rPr>
        <w:t>公司产生的危险废物包括</w:t>
      </w:r>
      <w:r>
        <w:rPr>
          <w:rFonts w:hint="eastAsia" w:eastAsia="宋体"/>
          <w:color w:val="auto"/>
          <w:highlight w:val="none"/>
          <w:lang w:eastAsia="zh-CN"/>
        </w:rPr>
        <w:t>废劳保手套、废包装袋、含铬废液、废机油、废滤芯、废水处理</w:t>
      </w:r>
      <w:r>
        <w:rPr>
          <w:rFonts w:hint="eastAsia" w:ascii="Times New Roman" w:eastAsia="宋体"/>
          <w:color w:val="auto"/>
          <w:highlight w:val="none"/>
          <w:lang w:val="en-US" w:eastAsia="zh-CN"/>
        </w:rPr>
        <w:t>RO膜、废水处理污泥及蒸发废盐</w:t>
      </w:r>
      <w:r>
        <w:rPr>
          <w:color w:val="auto"/>
          <w:kern w:val="0"/>
          <w:highlight w:val="none"/>
        </w:rPr>
        <w:t>等</w:t>
      </w:r>
      <w:r>
        <w:rPr>
          <w:color w:val="auto"/>
          <w:highlight w:val="none"/>
        </w:rPr>
        <w:t>，根据识别其风险特征识别如下：</w:t>
      </w:r>
    </w:p>
    <w:p>
      <w:pPr>
        <w:adjustRightInd w:val="0"/>
        <w:snapToGrid w:val="0"/>
        <w:jc w:val="center"/>
        <w:rPr>
          <w:b/>
          <w:bCs/>
          <w:color w:val="auto"/>
          <w:highlight w:val="none"/>
        </w:rPr>
      </w:pPr>
      <w:r>
        <w:rPr>
          <w:b/>
          <w:bCs/>
          <w:color w:val="auto"/>
          <w:highlight w:val="none"/>
        </w:rPr>
        <w:t>表</w:t>
      </w:r>
      <w:r>
        <w:rPr>
          <w:rFonts w:hint="eastAsia"/>
          <w:b/>
          <w:bCs/>
          <w:color w:val="auto"/>
          <w:highlight w:val="none"/>
          <w:lang w:val="en-US" w:eastAsia="zh-CN"/>
        </w:rPr>
        <w:t>3</w:t>
      </w:r>
      <w:r>
        <w:rPr>
          <w:rFonts w:hint="eastAsia"/>
          <w:b/>
          <w:bCs/>
          <w:color w:val="auto"/>
          <w:highlight w:val="none"/>
        </w:rPr>
        <w:t>.</w:t>
      </w:r>
      <w:r>
        <w:rPr>
          <w:b/>
          <w:bCs/>
          <w:color w:val="auto"/>
          <w:highlight w:val="none"/>
        </w:rPr>
        <w:t>2  公司危险固废可能引发的突发环境事件特征</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86"/>
        <w:gridCol w:w="991"/>
        <w:gridCol w:w="1442"/>
        <w:gridCol w:w="1189"/>
        <w:gridCol w:w="42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86" w:type="dxa"/>
            <w:tcMar>
              <w:top w:w="0" w:type="dxa"/>
              <w:left w:w="17" w:type="dxa"/>
              <w:bottom w:w="0" w:type="dxa"/>
              <w:right w:w="17" w:type="dxa"/>
            </w:tcMar>
            <w:vAlign w:val="center"/>
          </w:tcPr>
          <w:p>
            <w:pPr>
              <w:adjustRightInd w:val="0"/>
              <w:snapToGrid w:val="0"/>
              <w:jc w:val="center"/>
              <w:rPr>
                <w:b/>
                <w:color w:val="auto"/>
                <w:kern w:val="0"/>
                <w:sz w:val="21"/>
                <w:szCs w:val="21"/>
                <w:highlight w:val="none"/>
              </w:rPr>
            </w:pPr>
            <w:r>
              <w:rPr>
                <w:rFonts w:hint="eastAsia"/>
                <w:b/>
                <w:color w:val="auto"/>
                <w:kern w:val="0"/>
                <w:sz w:val="21"/>
                <w:szCs w:val="21"/>
                <w:highlight w:val="none"/>
              </w:rPr>
              <w:t>序号</w:t>
            </w:r>
          </w:p>
        </w:tc>
        <w:tc>
          <w:tcPr>
            <w:tcW w:w="991" w:type="dxa"/>
            <w:tcMar>
              <w:top w:w="0" w:type="dxa"/>
              <w:left w:w="17" w:type="dxa"/>
              <w:bottom w:w="0" w:type="dxa"/>
              <w:right w:w="17" w:type="dxa"/>
            </w:tcMar>
            <w:vAlign w:val="center"/>
          </w:tcPr>
          <w:p>
            <w:pPr>
              <w:adjustRightInd w:val="0"/>
              <w:snapToGrid w:val="0"/>
              <w:jc w:val="center"/>
              <w:rPr>
                <w:b/>
                <w:color w:val="auto"/>
                <w:kern w:val="0"/>
                <w:sz w:val="21"/>
                <w:szCs w:val="21"/>
                <w:highlight w:val="none"/>
              </w:rPr>
            </w:pPr>
            <w:r>
              <w:rPr>
                <w:rFonts w:hint="eastAsia"/>
                <w:b/>
                <w:color w:val="auto"/>
                <w:kern w:val="0"/>
                <w:sz w:val="21"/>
                <w:szCs w:val="21"/>
                <w:highlight w:val="none"/>
              </w:rPr>
              <w:t>危险固废</w:t>
            </w:r>
          </w:p>
        </w:tc>
        <w:tc>
          <w:tcPr>
            <w:tcW w:w="1442" w:type="dxa"/>
            <w:tcMar>
              <w:top w:w="0" w:type="dxa"/>
              <w:left w:w="17" w:type="dxa"/>
              <w:bottom w:w="0" w:type="dxa"/>
              <w:right w:w="17" w:type="dxa"/>
            </w:tcMar>
            <w:vAlign w:val="center"/>
          </w:tcPr>
          <w:p>
            <w:pPr>
              <w:adjustRightInd w:val="0"/>
              <w:snapToGrid w:val="0"/>
              <w:jc w:val="center"/>
              <w:rPr>
                <w:b/>
                <w:color w:val="auto"/>
                <w:kern w:val="0"/>
                <w:sz w:val="21"/>
                <w:szCs w:val="21"/>
                <w:highlight w:val="none"/>
              </w:rPr>
            </w:pPr>
            <w:r>
              <w:rPr>
                <w:rFonts w:hint="eastAsia"/>
                <w:b/>
                <w:color w:val="auto"/>
                <w:kern w:val="0"/>
                <w:sz w:val="21"/>
                <w:szCs w:val="21"/>
                <w:highlight w:val="none"/>
              </w:rPr>
              <w:t>可能引发原因</w:t>
            </w:r>
          </w:p>
        </w:tc>
        <w:tc>
          <w:tcPr>
            <w:tcW w:w="1189" w:type="dxa"/>
            <w:tcMar>
              <w:top w:w="0" w:type="dxa"/>
              <w:left w:w="17" w:type="dxa"/>
              <w:bottom w:w="0" w:type="dxa"/>
              <w:right w:w="17" w:type="dxa"/>
            </w:tcMar>
            <w:vAlign w:val="center"/>
          </w:tcPr>
          <w:p>
            <w:pPr>
              <w:adjustRightInd w:val="0"/>
              <w:snapToGrid w:val="0"/>
              <w:jc w:val="center"/>
              <w:rPr>
                <w:b/>
                <w:color w:val="auto"/>
                <w:kern w:val="0"/>
                <w:sz w:val="21"/>
                <w:szCs w:val="21"/>
                <w:highlight w:val="none"/>
              </w:rPr>
            </w:pPr>
            <w:r>
              <w:rPr>
                <w:rFonts w:hint="eastAsia"/>
                <w:b/>
                <w:color w:val="auto"/>
                <w:kern w:val="0"/>
                <w:sz w:val="21"/>
                <w:szCs w:val="21"/>
                <w:highlight w:val="none"/>
              </w:rPr>
              <w:t>涉及的风险物质</w:t>
            </w:r>
          </w:p>
        </w:tc>
        <w:tc>
          <w:tcPr>
            <w:tcW w:w="4232" w:type="dxa"/>
            <w:tcMar>
              <w:top w:w="0" w:type="dxa"/>
              <w:left w:w="17" w:type="dxa"/>
              <w:bottom w:w="0" w:type="dxa"/>
              <w:right w:w="17" w:type="dxa"/>
            </w:tcMar>
            <w:vAlign w:val="center"/>
          </w:tcPr>
          <w:p>
            <w:pPr>
              <w:adjustRightInd w:val="0"/>
              <w:snapToGrid w:val="0"/>
              <w:jc w:val="center"/>
              <w:rPr>
                <w:b/>
                <w:color w:val="auto"/>
                <w:kern w:val="0"/>
                <w:sz w:val="21"/>
                <w:szCs w:val="21"/>
                <w:highlight w:val="none"/>
              </w:rPr>
            </w:pPr>
            <w:r>
              <w:rPr>
                <w:rFonts w:hint="eastAsia"/>
                <w:b/>
                <w:color w:val="auto"/>
                <w:kern w:val="0"/>
                <w:sz w:val="21"/>
                <w:szCs w:val="21"/>
                <w:highlight w:val="none"/>
              </w:rPr>
              <w:t>事件的危险性和可能影响范围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86"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val="en-US" w:eastAsia="zh-CN"/>
              </w:rPr>
            </w:pPr>
            <w:r>
              <w:rPr>
                <w:rFonts w:hint="eastAsia" w:ascii="Times New Roman" w:eastAsia="宋体"/>
                <w:color w:val="auto"/>
                <w:kern w:val="0"/>
                <w:sz w:val="21"/>
                <w:szCs w:val="21"/>
                <w:highlight w:val="none"/>
                <w:lang w:val="en-US" w:eastAsia="zh-CN"/>
              </w:rPr>
              <w:t>1</w:t>
            </w:r>
          </w:p>
        </w:tc>
        <w:tc>
          <w:tcPr>
            <w:tcW w:w="991" w:type="dxa"/>
            <w:tcMar>
              <w:top w:w="0" w:type="dxa"/>
              <w:left w:w="17" w:type="dxa"/>
              <w:bottom w:w="0" w:type="dxa"/>
              <w:right w:w="17" w:type="dxa"/>
            </w:tcMar>
            <w:vAlign w:val="center"/>
          </w:tcPr>
          <w:p>
            <w:pPr>
              <w:pageBreakBefore w:val="0"/>
              <w:kinsoku/>
              <w:bidi w:val="0"/>
              <w:adjustRightInd w:val="0"/>
              <w:snapToGrid w:val="0"/>
              <w:spacing w:line="240" w:lineRule="auto"/>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废弃劳保用品</w:t>
            </w:r>
          </w:p>
        </w:tc>
        <w:tc>
          <w:tcPr>
            <w:tcW w:w="1442"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eastAsia="zh-CN"/>
              </w:rPr>
            </w:pPr>
            <w:r>
              <w:rPr>
                <w:rFonts w:hint="eastAsia" w:eastAsia="宋体"/>
                <w:color w:val="auto"/>
                <w:kern w:val="0"/>
                <w:sz w:val="21"/>
                <w:szCs w:val="21"/>
                <w:highlight w:val="none"/>
                <w:lang w:eastAsia="zh-CN"/>
              </w:rPr>
              <w:t>明火</w:t>
            </w:r>
          </w:p>
        </w:tc>
        <w:tc>
          <w:tcPr>
            <w:tcW w:w="1189" w:type="dxa"/>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劳保用品</w:t>
            </w:r>
          </w:p>
        </w:tc>
        <w:tc>
          <w:tcPr>
            <w:tcW w:w="4232" w:type="dxa"/>
            <w:tcMar>
              <w:top w:w="0" w:type="dxa"/>
              <w:left w:w="17" w:type="dxa"/>
              <w:bottom w:w="0" w:type="dxa"/>
              <w:right w:w="17" w:type="dxa"/>
            </w:tcMar>
            <w:vAlign w:val="center"/>
          </w:tcPr>
          <w:p>
            <w:pPr>
              <w:adjustRightInd w:val="0"/>
              <w:snapToGrid w:val="0"/>
              <w:jc w:val="center"/>
              <w:rPr>
                <w:rFonts w:hint="eastAsia"/>
                <w:color w:val="auto"/>
                <w:kern w:val="0"/>
                <w:sz w:val="21"/>
                <w:szCs w:val="21"/>
                <w:highlight w:val="none"/>
              </w:rPr>
            </w:pPr>
            <w:r>
              <w:rPr>
                <w:rFonts w:hint="eastAsia" w:eastAsia="宋体"/>
                <w:color w:val="auto"/>
                <w:kern w:val="0"/>
                <w:sz w:val="21"/>
                <w:szCs w:val="21"/>
                <w:highlight w:val="none"/>
                <w:lang w:eastAsia="zh-CN"/>
              </w:rPr>
              <w:t>遇</w:t>
            </w:r>
            <w:r>
              <w:rPr>
                <w:rFonts w:hint="eastAsia"/>
                <w:color w:val="auto"/>
                <w:kern w:val="0"/>
                <w:sz w:val="21"/>
                <w:szCs w:val="21"/>
                <w:highlight w:val="none"/>
              </w:rPr>
              <w:t>明火可能发生火灾爆炸，产生的泄漏废液、消防废水、燃烧废气等进入外环境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86"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val="en-US" w:eastAsia="zh-CN"/>
              </w:rPr>
            </w:pPr>
            <w:r>
              <w:rPr>
                <w:rFonts w:hint="eastAsia" w:ascii="Times New Roman" w:eastAsia="宋体"/>
                <w:color w:val="auto"/>
                <w:kern w:val="0"/>
                <w:sz w:val="21"/>
                <w:szCs w:val="21"/>
                <w:highlight w:val="none"/>
                <w:lang w:val="en-US" w:eastAsia="zh-CN"/>
              </w:rPr>
              <w:t>2</w:t>
            </w:r>
          </w:p>
        </w:tc>
        <w:tc>
          <w:tcPr>
            <w:tcW w:w="991" w:type="dxa"/>
            <w:tcMar>
              <w:top w:w="0" w:type="dxa"/>
              <w:left w:w="17" w:type="dxa"/>
              <w:bottom w:w="0" w:type="dxa"/>
              <w:right w:w="17" w:type="dxa"/>
            </w:tcMar>
            <w:vAlign w:val="center"/>
          </w:tcPr>
          <w:p>
            <w:pPr>
              <w:pageBreakBefore w:val="0"/>
              <w:kinsoku/>
              <w:bidi w:val="0"/>
              <w:adjustRightInd w:val="0"/>
              <w:snapToGrid w:val="0"/>
              <w:spacing w:line="240" w:lineRule="auto"/>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废包装袋</w:t>
            </w:r>
          </w:p>
        </w:tc>
        <w:tc>
          <w:tcPr>
            <w:tcW w:w="1442" w:type="dxa"/>
            <w:tcMar>
              <w:top w:w="0" w:type="dxa"/>
              <w:left w:w="17" w:type="dxa"/>
              <w:bottom w:w="0" w:type="dxa"/>
              <w:right w:w="17" w:type="dxa"/>
            </w:tcMar>
            <w:vAlign w:val="center"/>
          </w:tcPr>
          <w:p>
            <w:pPr>
              <w:adjustRightInd w:val="0"/>
              <w:snapToGrid w:val="0"/>
              <w:jc w:val="center"/>
              <w:rPr>
                <w:rFonts w:hint="eastAsia"/>
                <w:color w:val="auto"/>
                <w:kern w:val="0"/>
                <w:sz w:val="21"/>
                <w:szCs w:val="21"/>
                <w:highlight w:val="none"/>
              </w:rPr>
            </w:pPr>
            <w:r>
              <w:rPr>
                <w:rFonts w:hint="eastAsia" w:eastAsia="宋体"/>
                <w:color w:val="auto"/>
                <w:kern w:val="0"/>
                <w:sz w:val="21"/>
                <w:szCs w:val="21"/>
                <w:highlight w:val="none"/>
                <w:lang w:eastAsia="zh-CN"/>
              </w:rPr>
              <w:t>明火</w:t>
            </w:r>
          </w:p>
        </w:tc>
        <w:tc>
          <w:tcPr>
            <w:tcW w:w="1189" w:type="dxa"/>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包装袋</w:t>
            </w:r>
          </w:p>
        </w:tc>
        <w:tc>
          <w:tcPr>
            <w:tcW w:w="4232" w:type="dxa"/>
            <w:tcMar>
              <w:top w:w="0" w:type="dxa"/>
              <w:left w:w="17" w:type="dxa"/>
              <w:bottom w:w="0" w:type="dxa"/>
              <w:right w:w="17" w:type="dxa"/>
            </w:tcMar>
            <w:vAlign w:val="center"/>
          </w:tcPr>
          <w:p>
            <w:pPr>
              <w:adjustRightInd w:val="0"/>
              <w:snapToGrid w:val="0"/>
              <w:jc w:val="center"/>
              <w:rPr>
                <w:rFonts w:hint="eastAsia"/>
                <w:color w:val="auto"/>
                <w:kern w:val="0"/>
                <w:sz w:val="21"/>
                <w:szCs w:val="21"/>
                <w:highlight w:val="none"/>
              </w:rPr>
            </w:pPr>
            <w:r>
              <w:rPr>
                <w:rFonts w:hint="eastAsia" w:eastAsia="宋体"/>
                <w:color w:val="auto"/>
                <w:kern w:val="0"/>
                <w:sz w:val="21"/>
                <w:szCs w:val="21"/>
                <w:highlight w:val="none"/>
                <w:lang w:eastAsia="zh-CN"/>
              </w:rPr>
              <w:t>遇</w:t>
            </w:r>
            <w:r>
              <w:rPr>
                <w:rFonts w:hint="eastAsia"/>
                <w:color w:val="auto"/>
                <w:kern w:val="0"/>
                <w:sz w:val="21"/>
                <w:szCs w:val="21"/>
                <w:highlight w:val="none"/>
              </w:rPr>
              <w:t>明火可能发生火灾爆炸，产生的泄漏废液、消防废水、燃烧废气等进入外环境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86"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val="en-US" w:eastAsia="zh-CN"/>
              </w:rPr>
            </w:pPr>
            <w:r>
              <w:rPr>
                <w:rFonts w:hint="eastAsia" w:ascii="Times New Roman" w:eastAsia="宋体"/>
                <w:color w:val="auto"/>
                <w:kern w:val="0"/>
                <w:sz w:val="21"/>
                <w:szCs w:val="21"/>
                <w:highlight w:val="none"/>
                <w:lang w:val="en-US" w:eastAsia="zh-CN"/>
              </w:rPr>
              <w:t>3</w:t>
            </w:r>
          </w:p>
        </w:tc>
        <w:tc>
          <w:tcPr>
            <w:tcW w:w="991" w:type="dxa"/>
            <w:tcMar>
              <w:top w:w="0" w:type="dxa"/>
              <w:left w:w="17" w:type="dxa"/>
              <w:bottom w:w="0" w:type="dxa"/>
              <w:right w:w="17" w:type="dxa"/>
            </w:tcMar>
            <w:vAlign w:val="center"/>
          </w:tcPr>
          <w:p>
            <w:pPr>
              <w:pageBreakBefore w:val="0"/>
              <w:kinsoku/>
              <w:bidi w:val="0"/>
              <w:adjustRightInd w:val="0"/>
              <w:snapToGrid w:val="0"/>
              <w:spacing w:line="240" w:lineRule="auto"/>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含铬废液</w:t>
            </w:r>
          </w:p>
        </w:tc>
        <w:tc>
          <w:tcPr>
            <w:tcW w:w="1442"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eastAsia="zh-CN"/>
              </w:rPr>
            </w:pPr>
            <w:r>
              <w:rPr>
                <w:rFonts w:hint="eastAsia"/>
                <w:color w:val="auto"/>
                <w:kern w:val="0"/>
                <w:sz w:val="21"/>
                <w:szCs w:val="21"/>
                <w:highlight w:val="none"/>
              </w:rPr>
              <w:t>包装容器破损引发泄漏</w:t>
            </w:r>
          </w:p>
        </w:tc>
        <w:tc>
          <w:tcPr>
            <w:tcW w:w="1189" w:type="dxa"/>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废液</w:t>
            </w:r>
          </w:p>
        </w:tc>
        <w:tc>
          <w:tcPr>
            <w:tcW w:w="4232" w:type="dxa"/>
            <w:tcMar>
              <w:top w:w="0" w:type="dxa"/>
              <w:left w:w="17" w:type="dxa"/>
              <w:bottom w:w="0" w:type="dxa"/>
              <w:right w:w="17" w:type="dxa"/>
            </w:tcMar>
            <w:vAlign w:val="center"/>
          </w:tcPr>
          <w:p>
            <w:pPr>
              <w:adjustRightInd w:val="0"/>
              <w:snapToGrid w:val="0"/>
              <w:jc w:val="center"/>
              <w:rPr>
                <w:rFonts w:hint="eastAsia"/>
                <w:color w:val="auto"/>
                <w:kern w:val="0"/>
                <w:sz w:val="21"/>
                <w:szCs w:val="21"/>
                <w:highlight w:val="none"/>
              </w:rPr>
            </w:pPr>
            <w:r>
              <w:rPr>
                <w:rFonts w:hint="eastAsia"/>
                <w:color w:val="auto"/>
                <w:kern w:val="0"/>
                <w:sz w:val="21"/>
                <w:szCs w:val="21"/>
                <w:highlight w:val="none"/>
              </w:rPr>
              <w:t>泄漏废液拦截不当进入外环境，遇到明火可能发生火灾爆炸，产生的泄漏废液、消防废水、燃烧废气等进入外环境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86"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val="en-US" w:eastAsia="zh-CN"/>
              </w:rPr>
            </w:pPr>
            <w:r>
              <w:rPr>
                <w:rFonts w:hint="eastAsia" w:ascii="Times New Roman" w:eastAsia="宋体"/>
                <w:color w:val="auto"/>
                <w:kern w:val="0"/>
                <w:sz w:val="21"/>
                <w:szCs w:val="21"/>
                <w:highlight w:val="none"/>
                <w:lang w:val="en-US" w:eastAsia="zh-CN"/>
              </w:rPr>
              <w:t>4</w:t>
            </w:r>
          </w:p>
        </w:tc>
        <w:tc>
          <w:tcPr>
            <w:tcW w:w="991" w:type="dxa"/>
            <w:tcMar>
              <w:top w:w="0" w:type="dxa"/>
              <w:left w:w="17" w:type="dxa"/>
              <w:bottom w:w="0" w:type="dxa"/>
              <w:right w:w="17" w:type="dxa"/>
            </w:tcMar>
            <w:vAlign w:val="center"/>
          </w:tcPr>
          <w:p>
            <w:pPr>
              <w:pageBreakBefore w:val="0"/>
              <w:kinsoku/>
              <w:bidi w:val="0"/>
              <w:adjustRightInd w:val="0"/>
              <w:snapToGrid w:val="0"/>
              <w:spacing w:line="240" w:lineRule="auto"/>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废机油</w:t>
            </w:r>
          </w:p>
        </w:tc>
        <w:tc>
          <w:tcPr>
            <w:tcW w:w="1442" w:type="dxa"/>
            <w:tcMar>
              <w:top w:w="0" w:type="dxa"/>
              <w:left w:w="17" w:type="dxa"/>
              <w:bottom w:w="0" w:type="dxa"/>
              <w:right w:w="17" w:type="dxa"/>
            </w:tcMar>
            <w:vAlign w:val="center"/>
          </w:tcPr>
          <w:p>
            <w:pPr>
              <w:adjustRightInd w:val="0"/>
              <w:snapToGrid w:val="0"/>
              <w:jc w:val="center"/>
              <w:rPr>
                <w:rFonts w:hint="eastAsia"/>
                <w:color w:val="auto"/>
                <w:kern w:val="0"/>
                <w:sz w:val="21"/>
                <w:szCs w:val="21"/>
                <w:highlight w:val="none"/>
              </w:rPr>
            </w:pPr>
            <w:r>
              <w:rPr>
                <w:rFonts w:hint="eastAsia"/>
                <w:color w:val="auto"/>
                <w:kern w:val="0"/>
                <w:sz w:val="21"/>
                <w:szCs w:val="21"/>
                <w:highlight w:val="none"/>
              </w:rPr>
              <w:t>包装容器破损引发泄漏</w:t>
            </w:r>
          </w:p>
        </w:tc>
        <w:tc>
          <w:tcPr>
            <w:tcW w:w="1189" w:type="dxa"/>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废机油</w:t>
            </w:r>
          </w:p>
        </w:tc>
        <w:tc>
          <w:tcPr>
            <w:tcW w:w="4232" w:type="dxa"/>
            <w:tcMar>
              <w:top w:w="0" w:type="dxa"/>
              <w:left w:w="17" w:type="dxa"/>
              <w:bottom w:w="0" w:type="dxa"/>
              <w:right w:w="17" w:type="dxa"/>
            </w:tcMar>
            <w:vAlign w:val="center"/>
          </w:tcPr>
          <w:p>
            <w:pPr>
              <w:adjustRightInd w:val="0"/>
              <w:snapToGrid w:val="0"/>
              <w:jc w:val="center"/>
              <w:rPr>
                <w:rFonts w:hint="eastAsia"/>
                <w:color w:val="auto"/>
                <w:kern w:val="0"/>
                <w:sz w:val="21"/>
                <w:szCs w:val="21"/>
                <w:highlight w:val="none"/>
              </w:rPr>
            </w:pPr>
            <w:r>
              <w:rPr>
                <w:rFonts w:hint="eastAsia"/>
                <w:color w:val="auto"/>
                <w:kern w:val="0"/>
                <w:sz w:val="21"/>
                <w:szCs w:val="21"/>
                <w:highlight w:val="none"/>
              </w:rPr>
              <w:t>泄漏废液拦截不当进入外环境，遇到明火可能发生火灾爆炸，产生的泄漏废液、消防废水、燃烧废气等进入外环境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86"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val="en-US" w:eastAsia="zh-CN"/>
              </w:rPr>
            </w:pPr>
            <w:r>
              <w:rPr>
                <w:rFonts w:hint="eastAsia" w:ascii="Times New Roman" w:eastAsia="宋体"/>
                <w:color w:val="auto"/>
                <w:kern w:val="0"/>
                <w:sz w:val="21"/>
                <w:szCs w:val="21"/>
                <w:highlight w:val="none"/>
                <w:lang w:val="en-US" w:eastAsia="zh-CN"/>
              </w:rPr>
              <w:t>5</w:t>
            </w:r>
          </w:p>
        </w:tc>
        <w:tc>
          <w:tcPr>
            <w:tcW w:w="991" w:type="dxa"/>
            <w:tcMar>
              <w:top w:w="0" w:type="dxa"/>
              <w:left w:w="17" w:type="dxa"/>
              <w:bottom w:w="0" w:type="dxa"/>
              <w:right w:w="17" w:type="dxa"/>
            </w:tcMar>
            <w:vAlign w:val="center"/>
          </w:tcPr>
          <w:p>
            <w:pPr>
              <w:pageBreakBefore w:val="0"/>
              <w:kinsoku/>
              <w:bidi w:val="0"/>
              <w:adjustRightInd w:val="0"/>
              <w:snapToGrid w:val="0"/>
              <w:spacing w:line="240" w:lineRule="auto"/>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废滤芯</w:t>
            </w:r>
          </w:p>
        </w:tc>
        <w:tc>
          <w:tcPr>
            <w:tcW w:w="1442"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eastAsia="zh-CN"/>
              </w:rPr>
            </w:pPr>
            <w:r>
              <w:rPr>
                <w:rFonts w:hint="eastAsia" w:eastAsia="宋体"/>
                <w:color w:val="auto"/>
                <w:kern w:val="0"/>
                <w:sz w:val="21"/>
                <w:szCs w:val="21"/>
                <w:highlight w:val="none"/>
                <w:lang w:eastAsia="zh-CN"/>
              </w:rPr>
              <w:t>明火</w:t>
            </w:r>
          </w:p>
        </w:tc>
        <w:tc>
          <w:tcPr>
            <w:tcW w:w="1189" w:type="dxa"/>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滤芯</w:t>
            </w:r>
          </w:p>
        </w:tc>
        <w:tc>
          <w:tcPr>
            <w:tcW w:w="4232" w:type="dxa"/>
            <w:tcMar>
              <w:top w:w="0" w:type="dxa"/>
              <w:left w:w="17" w:type="dxa"/>
              <w:bottom w:w="0" w:type="dxa"/>
              <w:right w:w="17" w:type="dxa"/>
            </w:tcMar>
            <w:vAlign w:val="center"/>
          </w:tcPr>
          <w:p>
            <w:pPr>
              <w:adjustRightInd w:val="0"/>
              <w:snapToGrid w:val="0"/>
              <w:jc w:val="center"/>
              <w:rPr>
                <w:rFonts w:hint="eastAsia"/>
                <w:color w:val="auto"/>
                <w:kern w:val="0"/>
                <w:sz w:val="21"/>
                <w:szCs w:val="21"/>
                <w:highlight w:val="none"/>
              </w:rPr>
            </w:pPr>
            <w:r>
              <w:rPr>
                <w:rFonts w:hint="eastAsia" w:eastAsia="宋体"/>
                <w:color w:val="auto"/>
                <w:kern w:val="0"/>
                <w:sz w:val="21"/>
                <w:szCs w:val="21"/>
                <w:highlight w:val="none"/>
                <w:lang w:eastAsia="zh-CN"/>
              </w:rPr>
              <w:t>遇</w:t>
            </w:r>
            <w:r>
              <w:rPr>
                <w:rFonts w:hint="eastAsia"/>
                <w:color w:val="auto"/>
                <w:kern w:val="0"/>
                <w:sz w:val="21"/>
                <w:szCs w:val="21"/>
                <w:highlight w:val="none"/>
              </w:rPr>
              <w:t>明火可能发生火灾爆炸，产生的泄漏废液、消防废水、燃烧废气等进入外环境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86"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val="en-US" w:eastAsia="zh-CN"/>
              </w:rPr>
            </w:pPr>
            <w:r>
              <w:rPr>
                <w:rFonts w:hint="eastAsia" w:ascii="Times New Roman" w:eastAsia="宋体"/>
                <w:color w:val="auto"/>
                <w:kern w:val="0"/>
                <w:sz w:val="21"/>
                <w:szCs w:val="21"/>
                <w:highlight w:val="none"/>
                <w:lang w:val="en-US" w:eastAsia="zh-CN"/>
              </w:rPr>
              <w:t>6</w:t>
            </w:r>
          </w:p>
        </w:tc>
        <w:tc>
          <w:tcPr>
            <w:tcW w:w="991" w:type="dxa"/>
            <w:tcMar>
              <w:top w:w="0" w:type="dxa"/>
              <w:left w:w="17" w:type="dxa"/>
              <w:bottom w:w="0" w:type="dxa"/>
              <w:right w:w="17" w:type="dxa"/>
            </w:tcMar>
            <w:vAlign w:val="center"/>
          </w:tcPr>
          <w:p>
            <w:pPr>
              <w:pageBreakBefore w:val="0"/>
              <w:kinsoku/>
              <w:bidi w:val="0"/>
              <w:adjustRightInd w:val="0"/>
              <w:snapToGrid w:val="0"/>
              <w:spacing w:line="240" w:lineRule="auto"/>
              <w:jc w:val="center"/>
              <w:rPr>
                <w:rFonts w:hint="default" w:ascii="Times New Roman" w:hAnsi="Times New Roman" w:eastAsia="宋体" w:cs="Times New Roman"/>
                <w:color w:val="auto"/>
                <w:kern w:val="0"/>
                <w:sz w:val="21"/>
                <w:szCs w:val="21"/>
                <w:highlight w:val="none"/>
                <w:lang w:val="en-US" w:eastAsia="zh-CN"/>
              </w:rPr>
            </w:pPr>
            <w:r>
              <w:rPr>
                <w:rFonts w:hint="eastAsia" w:cs="Times New Roman"/>
                <w:color w:val="auto"/>
                <w:kern w:val="0"/>
                <w:sz w:val="21"/>
                <w:szCs w:val="21"/>
                <w:highlight w:val="none"/>
                <w:lang w:eastAsia="zh-CN"/>
              </w:rPr>
              <w:t>废水处理</w:t>
            </w:r>
            <w:r>
              <w:rPr>
                <w:rFonts w:hint="eastAsia" w:cs="Times New Roman"/>
                <w:color w:val="auto"/>
                <w:kern w:val="0"/>
                <w:sz w:val="21"/>
                <w:szCs w:val="21"/>
                <w:highlight w:val="none"/>
                <w:lang w:val="en-US" w:eastAsia="zh-CN"/>
              </w:rPr>
              <w:t>RO膜</w:t>
            </w:r>
          </w:p>
        </w:tc>
        <w:tc>
          <w:tcPr>
            <w:tcW w:w="1442"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eastAsia="zh-CN"/>
              </w:rPr>
            </w:pPr>
            <w:r>
              <w:rPr>
                <w:rFonts w:hint="eastAsia" w:eastAsia="宋体"/>
                <w:color w:val="auto"/>
                <w:kern w:val="0"/>
                <w:sz w:val="21"/>
                <w:szCs w:val="21"/>
                <w:highlight w:val="none"/>
                <w:lang w:eastAsia="zh-CN"/>
              </w:rPr>
              <w:t>明火</w:t>
            </w:r>
          </w:p>
        </w:tc>
        <w:tc>
          <w:tcPr>
            <w:tcW w:w="1189" w:type="dxa"/>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default" w:ascii="Times New Roman" w:hAnsi="Times New Roman" w:eastAsia="宋体" w:cs="Times New Roman"/>
                <w:color w:val="auto"/>
                <w:kern w:val="0"/>
                <w:sz w:val="21"/>
                <w:szCs w:val="21"/>
                <w:highlight w:val="none"/>
              </w:rPr>
            </w:pPr>
            <w:r>
              <w:rPr>
                <w:rFonts w:hint="eastAsia" w:cs="Times New Roman"/>
                <w:color w:val="auto"/>
                <w:kern w:val="0"/>
                <w:sz w:val="21"/>
                <w:szCs w:val="21"/>
                <w:highlight w:val="none"/>
                <w:lang w:eastAsia="zh-CN"/>
              </w:rPr>
              <w:t>处理</w:t>
            </w:r>
            <w:r>
              <w:rPr>
                <w:rFonts w:hint="eastAsia" w:cs="Times New Roman"/>
                <w:color w:val="auto"/>
                <w:kern w:val="0"/>
                <w:sz w:val="21"/>
                <w:szCs w:val="21"/>
                <w:highlight w:val="none"/>
                <w:lang w:val="en-US" w:eastAsia="zh-CN"/>
              </w:rPr>
              <w:t>RO膜</w:t>
            </w:r>
          </w:p>
        </w:tc>
        <w:tc>
          <w:tcPr>
            <w:tcW w:w="4232" w:type="dxa"/>
            <w:tcMar>
              <w:top w:w="0" w:type="dxa"/>
              <w:left w:w="17" w:type="dxa"/>
              <w:bottom w:w="0" w:type="dxa"/>
              <w:right w:w="17" w:type="dxa"/>
            </w:tcMar>
            <w:vAlign w:val="center"/>
          </w:tcPr>
          <w:p>
            <w:pPr>
              <w:adjustRightInd w:val="0"/>
              <w:snapToGrid w:val="0"/>
              <w:jc w:val="center"/>
              <w:rPr>
                <w:rFonts w:hint="eastAsia"/>
                <w:color w:val="auto"/>
                <w:kern w:val="0"/>
                <w:sz w:val="21"/>
                <w:szCs w:val="21"/>
                <w:highlight w:val="none"/>
              </w:rPr>
            </w:pPr>
            <w:r>
              <w:rPr>
                <w:rFonts w:hint="eastAsia" w:eastAsia="宋体"/>
                <w:color w:val="auto"/>
                <w:kern w:val="0"/>
                <w:sz w:val="21"/>
                <w:szCs w:val="21"/>
                <w:highlight w:val="none"/>
                <w:lang w:eastAsia="zh-CN"/>
              </w:rPr>
              <w:t>遇</w:t>
            </w:r>
            <w:r>
              <w:rPr>
                <w:rFonts w:hint="eastAsia"/>
                <w:color w:val="auto"/>
                <w:kern w:val="0"/>
                <w:sz w:val="21"/>
                <w:szCs w:val="21"/>
                <w:highlight w:val="none"/>
              </w:rPr>
              <w:t>明火可能发生火灾爆炸，产生的泄漏废液、消防废水、燃烧废气等进入外环境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486" w:type="dxa"/>
            <w:tcMar>
              <w:top w:w="0" w:type="dxa"/>
              <w:left w:w="17" w:type="dxa"/>
              <w:bottom w:w="0" w:type="dxa"/>
              <w:right w:w="17" w:type="dxa"/>
            </w:tcMar>
            <w:vAlign w:val="center"/>
          </w:tcPr>
          <w:p>
            <w:pPr>
              <w:adjustRightInd w:val="0"/>
              <w:snapToGrid w:val="0"/>
              <w:jc w:val="center"/>
              <w:rPr>
                <w:rFonts w:hint="eastAsia" w:eastAsia="宋体"/>
                <w:color w:val="auto"/>
                <w:kern w:val="0"/>
                <w:sz w:val="21"/>
                <w:szCs w:val="21"/>
                <w:highlight w:val="none"/>
                <w:lang w:val="en-US" w:eastAsia="zh-CN"/>
              </w:rPr>
            </w:pPr>
            <w:r>
              <w:rPr>
                <w:rFonts w:hint="eastAsia" w:ascii="Times New Roman" w:eastAsia="宋体"/>
                <w:color w:val="auto"/>
                <w:kern w:val="0"/>
                <w:sz w:val="21"/>
                <w:szCs w:val="21"/>
                <w:highlight w:val="none"/>
                <w:lang w:val="en-US" w:eastAsia="zh-CN"/>
              </w:rPr>
              <w:t>7</w:t>
            </w:r>
          </w:p>
        </w:tc>
        <w:tc>
          <w:tcPr>
            <w:tcW w:w="991" w:type="dxa"/>
            <w:tcMar>
              <w:top w:w="0" w:type="dxa"/>
              <w:left w:w="17" w:type="dxa"/>
              <w:bottom w:w="0" w:type="dxa"/>
              <w:right w:w="17" w:type="dxa"/>
            </w:tcMar>
            <w:vAlign w:val="center"/>
          </w:tcPr>
          <w:p>
            <w:pPr>
              <w:pageBreakBefore w:val="0"/>
              <w:kinsoku/>
              <w:bidi w:val="0"/>
              <w:adjustRightInd w:val="0"/>
              <w:snapToGrid w:val="0"/>
              <w:spacing w:line="240" w:lineRule="auto"/>
              <w:jc w:val="center"/>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废水处理污泥及蒸发废盐</w:t>
            </w:r>
          </w:p>
        </w:tc>
        <w:tc>
          <w:tcPr>
            <w:tcW w:w="1442" w:type="dxa"/>
            <w:tcMar>
              <w:top w:w="0" w:type="dxa"/>
              <w:left w:w="17" w:type="dxa"/>
              <w:bottom w:w="0" w:type="dxa"/>
              <w:right w:w="17" w:type="dxa"/>
            </w:tcMar>
            <w:vAlign w:val="center"/>
          </w:tcPr>
          <w:p>
            <w:pPr>
              <w:adjustRightInd w:val="0"/>
              <w:snapToGrid w:val="0"/>
              <w:jc w:val="center"/>
              <w:rPr>
                <w:rFonts w:hint="eastAsia"/>
                <w:color w:val="auto"/>
                <w:kern w:val="0"/>
                <w:sz w:val="21"/>
                <w:szCs w:val="21"/>
                <w:highlight w:val="none"/>
              </w:rPr>
            </w:pPr>
            <w:r>
              <w:rPr>
                <w:rFonts w:hint="eastAsia"/>
                <w:color w:val="auto"/>
                <w:kern w:val="0"/>
                <w:sz w:val="21"/>
                <w:szCs w:val="21"/>
                <w:highlight w:val="none"/>
              </w:rPr>
              <w:t>包装容器破损引发泄漏</w:t>
            </w:r>
          </w:p>
        </w:tc>
        <w:tc>
          <w:tcPr>
            <w:tcW w:w="1189" w:type="dxa"/>
            <w:tcMar>
              <w:top w:w="0" w:type="dxa"/>
              <w:left w:w="17" w:type="dxa"/>
              <w:bottom w:w="0" w:type="dxa"/>
              <w:right w:w="17" w:type="dxa"/>
            </w:tcMar>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center"/>
              <w:outlineLvl w:val="9"/>
              <w:rPr>
                <w:rFonts w:hint="eastAsia" w:ascii="Times New Roman" w:hAnsi="Times New Roman" w:eastAsia="宋体" w:cs="Times New Roman"/>
                <w:color w:val="auto"/>
                <w:kern w:val="0"/>
                <w:sz w:val="21"/>
                <w:szCs w:val="21"/>
                <w:highlight w:val="none"/>
                <w:lang w:eastAsia="zh-CN"/>
              </w:rPr>
            </w:pPr>
            <w:r>
              <w:rPr>
                <w:rFonts w:hint="eastAsia" w:cs="Times New Roman"/>
                <w:color w:val="auto"/>
                <w:kern w:val="0"/>
                <w:sz w:val="21"/>
                <w:szCs w:val="21"/>
                <w:highlight w:val="none"/>
                <w:lang w:eastAsia="zh-CN"/>
              </w:rPr>
              <w:t>污泥及废盐</w:t>
            </w:r>
          </w:p>
        </w:tc>
        <w:tc>
          <w:tcPr>
            <w:tcW w:w="4232" w:type="dxa"/>
            <w:tcMar>
              <w:top w:w="0" w:type="dxa"/>
              <w:left w:w="17" w:type="dxa"/>
              <w:bottom w:w="0" w:type="dxa"/>
              <w:right w:w="17" w:type="dxa"/>
            </w:tcMar>
            <w:vAlign w:val="center"/>
          </w:tcPr>
          <w:p>
            <w:pPr>
              <w:adjustRightInd w:val="0"/>
              <w:snapToGrid w:val="0"/>
              <w:jc w:val="center"/>
              <w:rPr>
                <w:rFonts w:hint="eastAsia"/>
                <w:color w:val="auto"/>
                <w:kern w:val="0"/>
                <w:sz w:val="21"/>
                <w:szCs w:val="21"/>
                <w:highlight w:val="none"/>
              </w:rPr>
            </w:pPr>
            <w:r>
              <w:rPr>
                <w:rFonts w:hint="eastAsia"/>
                <w:color w:val="auto"/>
                <w:kern w:val="0"/>
                <w:sz w:val="21"/>
                <w:szCs w:val="21"/>
                <w:highlight w:val="none"/>
              </w:rPr>
              <w:t>泄漏废液拦截不当进入外环境，遇到明火可能发生火灾爆炸，产生的泄漏废液、消防废水、燃烧废气等进入外环境</w:t>
            </w:r>
          </w:p>
        </w:tc>
      </w:tr>
    </w:tbl>
    <w:p>
      <w:pPr>
        <w:pStyle w:val="5"/>
        <w:rPr>
          <w:color w:val="auto"/>
          <w:highlight w:val="none"/>
        </w:rPr>
      </w:pPr>
      <w:bookmarkStart w:id="247" w:name="_Toc22727"/>
      <w:r>
        <w:rPr>
          <w:color w:val="auto"/>
          <w:highlight w:val="none"/>
        </w:rPr>
        <w:t>3.3 应急组织机构</w:t>
      </w:r>
      <w:bookmarkEnd w:id="247"/>
    </w:p>
    <w:p>
      <w:pPr>
        <w:adjustRightInd w:val="0"/>
        <w:snapToGrid w:val="0"/>
        <w:spacing w:line="360" w:lineRule="auto"/>
        <w:ind w:firstLine="480" w:firstLineChars="200"/>
        <w:rPr>
          <w:color w:val="auto"/>
          <w:highlight w:val="none"/>
        </w:rPr>
      </w:pPr>
      <w:r>
        <w:rPr>
          <w:color w:val="auto"/>
          <w:highlight w:val="none"/>
        </w:rPr>
        <w:t>公司危废仓库主要管理及应急处置负责人员见表3.3。</w:t>
      </w:r>
    </w:p>
    <w:p>
      <w:pPr>
        <w:adjustRightInd w:val="0"/>
        <w:snapToGrid w:val="0"/>
        <w:jc w:val="center"/>
        <w:rPr>
          <w:b/>
          <w:bCs/>
          <w:color w:val="auto"/>
          <w:highlight w:val="none"/>
        </w:rPr>
      </w:pPr>
      <w:r>
        <w:rPr>
          <w:b/>
          <w:bCs/>
          <w:color w:val="auto"/>
          <w:highlight w:val="none"/>
        </w:rPr>
        <w:t>表3.3  应急处置组应急救援队伍</w:t>
      </w:r>
    </w:p>
    <w:tbl>
      <w:tblPr>
        <w:tblStyle w:val="20"/>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017"/>
        <w:gridCol w:w="1300"/>
        <w:gridCol w:w="1738"/>
        <w:gridCol w:w="253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547" w:type="pct"/>
            <w:tcBorders>
              <w:tl2br w:val="nil"/>
              <w:tr2bl w:val="nil"/>
            </w:tcBorders>
            <w:noWrap/>
            <w:vAlign w:val="center"/>
          </w:tcPr>
          <w:p>
            <w:pPr>
              <w:adjustRightInd w:val="0"/>
              <w:snapToGrid w:val="0"/>
              <w:jc w:val="center"/>
              <w:rPr>
                <w:b/>
                <w:color w:val="auto"/>
                <w:szCs w:val="21"/>
                <w:highlight w:val="none"/>
              </w:rPr>
            </w:pPr>
            <w:r>
              <w:rPr>
                <w:b/>
                <w:color w:val="auto"/>
                <w:szCs w:val="21"/>
                <w:highlight w:val="none"/>
              </w:rPr>
              <w:t>序号</w:t>
            </w:r>
          </w:p>
        </w:tc>
        <w:tc>
          <w:tcPr>
            <w:tcW w:w="1183" w:type="pct"/>
            <w:tcBorders>
              <w:tl2br w:val="nil"/>
              <w:tr2bl w:val="nil"/>
            </w:tcBorders>
            <w:noWrap/>
            <w:vAlign w:val="center"/>
          </w:tcPr>
          <w:p>
            <w:pPr>
              <w:adjustRightInd w:val="0"/>
              <w:snapToGrid w:val="0"/>
              <w:jc w:val="center"/>
              <w:rPr>
                <w:b/>
                <w:color w:val="auto"/>
                <w:szCs w:val="21"/>
                <w:highlight w:val="none"/>
              </w:rPr>
            </w:pPr>
            <w:r>
              <w:rPr>
                <w:b/>
                <w:color w:val="auto"/>
                <w:szCs w:val="21"/>
                <w:highlight w:val="none"/>
              </w:rPr>
              <w:t>职务</w:t>
            </w:r>
          </w:p>
        </w:tc>
        <w:tc>
          <w:tcPr>
            <w:tcW w:w="762" w:type="pct"/>
            <w:tcBorders>
              <w:tl2br w:val="nil"/>
              <w:tr2bl w:val="nil"/>
            </w:tcBorders>
            <w:noWrap/>
            <w:vAlign w:val="center"/>
          </w:tcPr>
          <w:p>
            <w:pPr>
              <w:adjustRightInd w:val="0"/>
              <w:snapToGrid w:val="0"/>
              <w:jc w:val="center"/>
              <w:rPr>
                <w:b/>
                <w:color w:val="auto"/>
                <w:szCs w:val="21"/>
                <w:highlight w:val="none"/>
              </w:rPr>
            </w:pPr>
            <w:r>
              <w:rPr>
                <w:b/>
                <w:color w:val="auto"/>
                <w:szCs w:val="21"/>
                <w:highlight w:val="none"/>
              </w:rPr>
              <w:t>姓名</w:t>
            </w:r>
          </w:p>
        </w:tc>
        <w:tc>
          <w:tcPr>
            <w:tcW w:w="1019" w:type="pct"/>
            <w:tcBorders>
              <w:tl2br w:val="nil"/>
              <w:tr2bl w:val="nil"/>
            </w:tcBorders>
            <w:noWrap/>
            <w:vAlign w:val="center"/>
          </w:tcPr>
          <w:p>
            <w:pPr>
              <w:adjustRightInd w:val="0"/>
              <w:snapToGrid w:val="0"/>
              <w:jc w:val="center"/>
              <w:rPr>
                <w:b/>
                <w:color w:val="auto"/>
                <w:szCs w:val="21"/>
                <w:highlight w:val="none"/>
              </w:rPr>
            </w:pPr>
            <w:r>
              <w:rPr>
                <w:b/>
                <w:color w:val="auto"/>
                <w:szCs w:val="21"/>
                <w:highlight w:val="none"/>
              </w:rPr>
              <w:t>职位</w:t>
            </w:r>
          </w:p>
        </w:tc>
        <w:tc>
          <w:tcPr>
            <w:tcW w:w="1486" w:type="pct"/>
            <w:tcBorders>
              <w:tl2br w:val="nil"/>
              <w:tr2bl w:val="nil"/>
            </w:tcBorders>
            <w:noWrap/>
            <w:vAlign w:val="center"/>
          </w:tcPr>
          <w:p>
            <w:pPr>
              <w:adjustRightInd w:val="0"/>
              <w:snapToGrid w:val="0"/>
              <w:jc w:val="center"/>
              <w:rPr>
                <w:b/>
                <w:color w:val="auto"/>
                <w:szCs w:val="21"/>
                <w:highlight w:val="none"/>
              </w:rPr>
            </w:pPr>
            <w:r>
              <w:rPr>
                <w:b/>
                <w:color w:val="auto"/>
                <w:szCs w:val="21"/>
                <w:highlight w:val="none"/>
              </w:rPr>
              <w:t>联系方式(手机)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tcBorders>
              <w:tl2br w:val="nil"/>
              <w:tr2bl w:val="nil"/>
            </w:tcBorders>
            <w:noWrap/>
            <w:vAlign w:val="center"/>
          </w:tcPr>
          <w:p>
            <w:pPr>
              <w:adjustRightInd w:val="0"/>
              <w:snapToGrid w:val="0"/>
              <w:jc w:val="center"/>
              <w:rPr>
                <w:color w:val="auto"/>
                <w:szCs w:val="21"/>
                <w:highlight w:val="none"/>
              </w:rPr>
            </w:pPr>
            <w:r>
              <w:rPr>
                <w:color w:val="auto"/>
                <w:szCs w:val="21"/>
                <w:highlight w:val="none"/>
              </w:rPr>
              <w:t>1</w:t>
            </w:r>
          </w:p>
        </w:tc>
        <w:tc>
          <w:tcPr>
            <w:tcW w:w="1183" w:type="pct"/>
            <w:tcBorders>
              <w:tl2br w:val="nil"/>
              <w:tr2bl w:val="nil"/>
            </w:tcBorders>
            <w:noWrap/>
            <w:vAlign w:val="center"/>
          </w:tcPr>
          <w:p>
            <w:pPr>
              <w:adjustRightInd w:val="0"/>
              <w:snapToGrid w:val="0"/>
              <w:spacing w:before="100" w:beforeAutospacing="1" w:after="100" w:afterAutospacing="1"/>
              <w:jc w:val="center"/>
              <w:rPr>
                <w:color w:val="auto"/>
                <w:szCs w:val="21"/>
                <w:highlight w:val="none"/>
              </w:rPr>
            </w:pPr>
            <w:r>
              <w:rPr>
                <w:rFonts w:hint="default" w:ascii="Times New Roman" w:hAnsi="Times New Roman" w:cs="Times New Roman"/>
                <w:color w:val="auto"/>
                <w:sz w:val="21"/>
                <w:szCs w:val="21"/>
                <w:highlight w:val="none"/>
              </w:rPr>
              <w:t>事故处理组</w:t>
            </w:r>
          </w:p>
        </w:tc>
        <w:tc>
          <w:tcPr>
            <w:tcW w:w="762" w:type="pct"/>
            <w:tcBorders>
              <w:tl2br w:val="nil"/>
              <w:tr2bl w:val="nil"/>
            </w:tcBorders>
            <w:noWrap/>
            <w:vAlign w:val="center"/>
          </w:tcPr>
          <w:p>
            <w:pPr>
              <w:adjustRightInd w:val="0"/>
              <w:snapToGrid w:val="0"/>
              <w:spacing w:before="100" w:beforeAutospacing="1" w:after="100" w:afterAutospacing="1"/>
              <w:jc w:val="center"/>
              <w:rPr>
                <w:color w:val="auto"/>
                <w:sz w:val="21"/>
                <w:szCs w:val="21"/>
                <w:highlight w:val="none"/>
              </w:rPr>
            </w:pPr>
            <w:r>
              <w:rPr>
                <w:rFonts w:hint="default" w:ascii="Times New Roman" w:hAnsi="Times New Roman" w:cs="Times New Roman"/>
                <w:color w:val="auto"/>
                <w:sz w:val="21"/>
                <w:szCs w:val="21"/>
                <w:highlight w:val="none"/>
              </w:rPr>
              <w:t>付涛</w:t>
            </w:r>
          </w:p>
        </w:tc>
        <w:tc>
          <w:tcPr>
            <w:tcW w:w="1019" w:type="pct"/>
            <w:tcBorders>
              <w:tl2br w:val="nil"/>
              <w:tr2bl w:val="nil"/>
            </w:tcBorders>
            <w:noWrap/>
            <w:vAlign w:val="center"/>
          </w:tcPr>
          <w:p>
            <w:pPr>
              <w:adjustRightInd w:val="0"/>
              <w:snapToGrid w:val="0"/>
              <w:spacing w:before="100" w:beforeAutospacing="1" w:after="100" w:afterAutospacing="1"/>
              <w:jc w:val="center"/>
              <w:rPr>
                <w:color w:val="auto"/>
                <w:kern w:val="0"/>
                <w:sz w:val="21"/>
                <w:szCs w:val="21"/>
                <w:highlight w:val="none"/>
              </w:rPr>
            </w:pPr>
            <w:r>
              <w:rPr>
                <w:rFonts w:hint="default" w:ascii="Times New Roman" w:hAnsi="Times New Roman" w:cs="Times New Roman"/>
                <w:color w:val="auto"/>
                <w:sz w:val="21"/>
                <w:szCs w:val="21"/>
                <w:highlight w:val="none"/>
              </w:rPr>
              <w:t>生产科长</w:t>
            </w:r>
          </w:p>
        </w:tc>
        <w:tc>
          <w:tcPr>
            <w:tcW w:w="1486" w:type="pct"/>
            <w:tcBorders>
              <w:tl2br w:val="nil"/>
              <w:tr2bl w:val="nil"/>
            </w:tcBorders>
            <w:noWrap/>
            <w:vAlign w:val="center"/>
          </w:tcPr>
          <w:p>
            <w:pPr>
              <w:adjustRightInd w:val="0"/>
              <w:snapToGrid w:val="0"/>
              <w:spacing w:before="100" w:beforeAutospacing="1" w:after="100" w:afterAutospacing="1"/>
              <w:jc w:val="center"/>
              <w:rPr>
                <w:color w:val="auto"/>
                <w:kern w:val="0"/>
                <w:sz w:val="21"/>
                <w:szCs w:val="21"/>
                <w:highlight w:val="none"/>
              </w:rPr>
            </w:pPr>
            <w:r>
              <w:rPr>
                <w:rFonts w:hint="default" w:ascii="Times New Roman" w:hAnsi="Times New Roman" w:cs="Times New Roman"/>
                <w:color w:val="auto"/>
                <w:sz w:val="21"/>
                <w:szCs w:val="21"/>
                <w:highlight w:val="none"/>
              </w:rPr>
              <w:t>18861865906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7" w:type="pct"/>
            <w:tcBorders>
              <w:tl2br w:val="nil"/>
              <w:tr2bl w:val="nil"/>
            </w:tcBorders>
            <w:noWrap/>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1183" w:type="pct"/>
            <w:tcBorders>
              <w:tl2br w:val="nil"/>
              <w:tr2bl w:val="nil"/>
            </w:tcBorders>
            <w:noWrap/>
            <w:vAlign w:val="center"/>
          </w:tcPr>
          <w:p>
            <w:pPr>
              <w:adjustRightInd w:val="0"/>
              <w:snapToGrid w:val="0"/>
              <w:jc w:val="center"/>
              <w:rPr>
                <w:color w:val="auto"/>
                <w:sz w:val="21"/>
                <w:szCs w:val="21"/>
                <w:highlight w:val="none"/>
              </w:rPr>
            </w:pPr>
            <w:r>
              <w:rPr>
                <w:rFonts w:hint="default" w:ascii="Times New Roman" w:hAnsi="Times New Roman" w:cs="Times New Roman"/>
                <w:color w:val="auto"/>
                <w:sz w:val="21"/>
                <w:szCs w:val="21"/>
                <w:highlight w:val="none"/>
              </w:rPr>
              <w:t>成员</w:t>
            </w:r>
          </w:p>
        </w:tc>
        <w:tc>
          <w:tcPr>
            <w:tcW w:w="762" w:type="pct"/>
            <w:tcBorders>
              <w:tl2br w:val="nil"/>
              <w:tr2bl w:val="nil"/>
            </w:tcBorders>
            <w:noWrap/>
            <w:vAlign w:val="center"/>
          </w:tcPr>
          <w:p>
            <w:pPr>
              <w:adjustRightInd w:val="0"/>
              <w:snapToGrid w:val="0"/>
              <w:jc w:val="center"/>
              <w:rPr>
                <w:color w:val="auto"/>
                <w:kern w:val="0"/>
                <w:sz w:val="21"/>
                <w:szCs w:val="21"/>
                <w:highlight w:val="none"/>
              </w:rPr>
            </w:pPr>
            <w:r>
              <w:rPr>
                <w:rFonts w:hint="default" w:ascii="Times New Roman" w:hAnsi="Times New Roman" w:cs="Times New Roman"/>
                <w:color w:val="auto"/>
                <w:sz w:val="21"/>
                <w:szCs w:val="21"/>
                <w:highlight w:val="none"/>
              </w:rPr>
              <w:t>王佳银</w:t>
            </w:r>
          </w:p>
        </w:tc>
        <w:tc>
          <w:tcPr>
            <w:tcW w:w="1019" w:type="pct"/>
            <w:tcBorders>
              <w:tl2br w:val="nil"/>
              <w:tr2bl w:val="nil"/>
            </w:tcBorders>
            <w:noWrap/>
            <w:vAlign w:val="center"/>
          </w:tcPr>
          <w:p>
            <w:pPr>
              <w:adjustRightInd w:val="0"/>
              <w:snapToGrid w:val="0"/>
              <w:jc w:val="center"/>
              <w:rPr>
                <w:color w:val="auto"/>
                <w:kern w:val="0"/>
                <w:sz w:val="21"/>
                <w:szCs w:val="21"/>
                <w:highlight w:val="none"/>
              </w:rPr>
            </w:pPr>
            <w:r>
              <w:rPr>
                <w:rFonts w:hint="default" w:ascii="Times New Roman" w:hAnsi="Times New Roman" w:cs="Times New Roman"/>
                <w:color w:val="auto"/>
                <w:sz w:val="21"/>
                <w:szCs w:val="21"/>
                <w:highlight w:val="none"/>
              </w:rPr>
              <w:t>物流组长</w:t>
            </w:r>
          </w:p>
        </w:tc>
        <w:tc>
          <w:tcPr>
            <w:tcW w:w="1486" w:type="pct"/>
            <w:tcBorders>
              <w:tl2br w:val="nil"/>
              <w:tr2bl w:val="nil"/>
            </w:tcBorders>
            <w:noWrap/>
            <w:vAlign w:val="center"/>
          </w:tcPr>
          <w:p>
            <w:pPr>
              <w:adjustRightInd w:val="0"/>
              <w:snapToGrid w:val="0"/>
              <w:jc w:val="center"/>
              <w:rPr>
                <w:rFonts w:hint="eastAsia"/>
                <w:color w:val="auto"/>
                <w:kern w:val="0"/>
                <w:sz w:val="21"/>
                <w:szCs w:val="21"/>
                <w:highlight w:val="none"/>
              </w:rPr>
            </w:pPr>
            <w:r>
              <w:rPr>
                <w:rFonts w:hint="default" w:ascii="Times New Roman" w:hAnsi="Times New Roman" w:cs="Times New Roman"/>
                <w:color w:val="auto"/>
                <w:sz w:val="21"/>
                <w:szCs w:val="21"/>
                <w:highlight w:val="none"/>
              </w:rPr>
              <w:t>18852474726</w:t>
            </w:r>
          </w:p>
        </w:tc>
      </w:tr>
    </w:tbl>
    <w:p>
      <w:pPr>
        <w:adjustRightInd w:val="0"/>
        <w:snapToGrid w:val="0"/>
        <w:spacing w:before="156" w:beforeLines="50" w:line="360" w:lineRule="auto"/>
        <w:ind w:firstLine="480" w:firstLineChars="200"/>
        <w:rPr>
          <w:color w:val="auto"/>
          <w:highlight w:val="none"/>
        </w:rPr>
      </w:pPr>
      <w:r>
        <w:rPr>
          <w:color w:val="auto"/>
          <w:highlight w:val="none"/>
        </w:rPr>
        <w:t>主要职责如下：</w:t>
      </w:r>
    </w:p>
    <w:p>
      <w:pPr>
        <w:pStyle w:val="38"/>
        <w:adjustRightInd w:val="0"/>
        <w:ind w:firstLine="480"/>
        <w:rPr>
          <w:color w:val="auto"/>
          <w:highlight w:val="none"/>
        </w:rPr>
      </w:pPr>
      <w:r>
        <w:rPr>
          <w:color w:val="auto"/>
          <w:highlight w:val="none"/>
        </w:rPr>
        <w:t>（1）制订危险废物管理制度和安全操作规程，健全相关管理制度，落实安全管理责任；</w:t>
      </w:r>
    </w:p>
    <w:p>
      <w:pPr>
        <w:pStyle w:val="38"/>
        <w:adjustRightInd w:val="0"/>
        <w:ind w:firstLine="480"/>
        <w:rPr>
          <w:color w:val="auto"/>
          <w:highlight w:val="none"/>
        </w:rPr>
      </w:pPr>
      <w:r>
        <w:rPr>
          <w:color w:val="auto"/>
          <w:highlight w:val="none"/>
        </w:rPr>
        <w:t>（2）加强对使用、储存危险废物的安全教育，危险废物管理相关人员持证上岗；</w:t>
      </w:r>
    </w:p>
    <w:p>
      <w:pPr>
        <w:pStyle w:val="38"/>
        <w:adjustRightInd w:val="0"/>
        <w:ind w:firstLine="480"/>
        <w:rPr>
          <w:color w:val="auto"/>
          <w:highlight w:val="none"/>
        </w:rPr>
      </w:pPr>
      <w:r>
        <w:rPr>
          <w:color w:val="auto"/>
          <w:highlight w:val="none"/>
        </w:rPr>
        <w:t>（3）加强对危险废物储存的安全检查，发现问题及时整改；</w:t>
      </w:r>
    </w:p>
    <w:p>
      <w:pPr>
        <w:pStyle w:val="38"/>
        <w:adjustRightInd w:val="0"/>
        <w:ind w:firstLine="480"/>
        <w:rPr>
          <w:color w:val="auto"/>
          <w:highlight w:val="none"/>
        </w:rPr>
      </w:pPr>
      <w:r>
        <w:rPr>
          <w:color w:val="auto"/>
          <w:highlight w:val="none"/>
        </w:rPr>
        <w:t>（4）加强对包装桶的使用管理，按相关的安全技术规程的要求，定期检查；</w:t>
      </w:r>
    </w:p>
    <w:p>
      <w:pPr>
        <w:adjustRightInd w:val="0"/>
        <w:snapToGrid w:val="0"/>
        <w:spacing w:line="360" w:lineRule="auto"/>
        <w:ind w:firstLine="480" w:firstLineChars="200"/>
        <w:rPr>
          <w:color w:val="auto"/>
          <w:highlight w:val="none"/>
        </w:rPr>
      </w:pPr>
      <w:r>
        <w:rPr>
          <w:color w:val="auto"/>
          <w:highlight w:val="none"/>
        </w:rPr>
        <w:t>若事态超出小组控制范围，可请求厂内增援，公司应急救援指挥部组织</w:t>
      </w:r>
      <w:r>
        <w:rPr>
          <w:rFonts w:hint="eastAsia"/>
          <w:color w:val="auto"/>
          <w:highlight w:val="none"/>
        </w:rPr>
        <w:t>名单见</w:t>
      </w:r>
      <w:r>
        <w:rPr>
          <w:color w:val="auto"/>
          <w:highlight w:val="none"/>
        </w:rPr>
        <w:t>表3</w:t>
      </w:r>
      <w:r>
        <w:rPr>
          <w:rFonts w:hint="eastAsia"/>
          <w:color w:val="auto"/>
          <w:highlight w:val="none"/>
        </w:rPr>
        <w:t>.4</w:t>
      </w:r>
      <w:r>
        <w:rPr>
          <w:color w:val="auto"/>
          <w:highlight w:val="none"/>
        </w:rPr>
        <w:t>。</w:t>
      </w:r>
    </w:p>
    <w:p>
      <w:pPr>
        <w:adjustRightInd w:val="0"/>
        <w:snapToGrid w:val="0"/>
        <w:jc w:val="center"/>
        <w:rPr>
          <w:b/>
          <w:color w:val="auto"/>
          <w:highlight w:val="none"/>
        </w:rPr>
      </w:pPr>
      <w:r>
        <w:rPr>
          <w:b/>
          <w:bCs/>
          <w:color w:val="auto"/>
          <w:highlight w:val="none"/>
        </w:rPr>
        <w:t>表3.4  公司应急救援指挥部组织名单</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650"/>
        <w:gridCol w:w="1260"/>
        <w:gridCol w:w="2586"/>
        <w:gridCol w:w="2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90"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968"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职务</w:t>
            </w:r>
          </w:p>
        </w:tc>
        <w:tc>
          <w:tcPr>
            <w:tcW w:w="739"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姓名</w:t>
            </w:r>
          </w:p>
        </w:tc>
        <w:tc>
          <w:tcPr>
            <w:tcW w:w="1517"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职位</w:t>
            </w:r>
          </w:p>
        </w:tc>
        <w:tc>
          <w:tcPr>
            <w:tcW w:w="1383"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联系方式(手机)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总指挥</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陈海</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副总经理</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13771056107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90"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副总指挥</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吴科飞</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办公室主任</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通信警戒组</w:t>
            </w:r>
          </w:p>
        </w:tc>
        <w:tc>
          <w:tcPr>
            <w:tcW w:w="739"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吴科飞</w:t>
            </w:r>
          </w:p>
        </w:tc>
        <w:tc>
          <w:tcPr>
            <w:tcW w:w="1517"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办公室主任</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李红</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内审员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15251520326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抢险灭火组</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蒋政元</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安全员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13405788736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王艳伟</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夹具工</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18351573066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救护疏散组</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朱琴</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质检科副科长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18015349969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吴佩</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检验员</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1525166675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后勤保障组</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周卫平</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机修组组长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18973418746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周小红</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机修工</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17368785636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事故处理组</w:t>
            </w:r>
          </w:p>
        </w:tc>
        <w:tc>
          <w:tcPr>
            <w:tcW w:w="739"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付涛</w:t>
            </w:r>
          </w:p>
        </w:tc>
        <w:tc>
          <w:tcPr>
            <w:tcW w:w="1517"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生产科长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王佳银</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物流组长</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18852474726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w:t>
            </w:r>
            <w:r>
              <w:rPr>
                <w:rFonts w:hint="default" w:ascii="Times New Roman" w:hAnsi="Times New Roman" w:cs="Times New Roman"/>
                <w:color w:val="auto"/>
                <w:sz w:val="21"/>
                <w:szCs w:val="21"/>
                <w:highlight w:val="none"/>
                <w:lang w:val="en-US" w:eastAsia="zh-CN"/>
              </w:rPr>
              <w:t>监测</w:t>
            </w:r>
            <w:r>
              <w:rPr>
                <w:rFonts w:hint="default" w:ascii="Times New Roman" w:hAnsi="Times New Roman" w:cs="Times New Roman"/>
                <w:color w:val="auto"/>
                <w:sz w:val="21"/>
                <w:szCs w:val="21"/>
                <w:highlight w:val="none"/>
              </w:rPr>
              <w:t>组</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沈斌</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实验室组长</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18861804682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孙丹凤</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实验员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13915335530</w:t>
            </w:r>
          </w:p>
        </w:tc>
      </w:tr>
    </w:tbl>
    <w:p>
      <w:pPr>
        <w:pStyle w:val="5"/>
        <w:rPr>
          <w:color w:val="auto"/>
          <w:highlight w:val="none"/>
        </w:rPr>
      </w:pPr>
      <w:bookmarkStart w:id="248" w:name="_Toc25990"/>
      <w:r>
        <w:rPr>
          <w:color w:val="auto"/>
          <w:highlight w:val="none"/>
        </w:rPr>
        <w:t>3.4 应急处置程序</w:t>
      </w:r>
      <w:bookmarkEnd w:id="248"/>
    </w:p>
    <w:p>
      <w:pPr>
        <w:pStyle w:val="6"/>
        <w:rPr>
          <w:color w:val="auto"/>
          <w:highlight w:val="none"/>
        </w:rPr>
      </w:pPr>
      <w:r>
        <w:rPr>
          <w:color w:val="auto"/>
          <w:highlight w:val="none"/>
        </w:rPr>
        <w:t>3.4.1 泄漏事故</w:t>
      </w:r>
    </w:p>
    <w:p>
      <w:pPr>
        <w:adjustRightInd w:val="0"/>
        <w:snapToGrid w:val="0"/>
        <w:spacing w:line="360" w:lineRule="auto"/>
        <w:ind w:firstLine="480" w:firstLineChars="200"/>
        <w:rPr>
          <w:color w:val="auto"/>
          <w:highlight w:val="none"/>
        </w:rPr>
      </w:pPr>
      <w:r>
        <w:rPr>
          <w:color w:val="auto"/>
          <w:highlight w:val="none"/>
        </w:rPr>
        <w:t>危废仓库发生泄漏事故时，可启动泄漏事故应急处置流程，具体如下：</w:t>
      </w:r>
    </w:p>
    <w:p>
      <w:pPr>
        <w:pStyle w:val="2"/>
        <w:adjustRightInd w:val="0"/>
        <w:snapToGrid w:val="0"/>
        <w:jc w:val="center"/>
        <w:rPr>
          <w:rFonts w:ascii="Times New Roman" w:hAnsi="Times New Roman"/>
          <w:color w:val="auto"/>
          <w:highlight w:val="none"/>
        </w:rPr>
      </w:pPr>
      <w:r>
        <w:rPr>
          <w:rFonts w:ascii="Times New Roman" w:hAnsi="Times New Roman"/>
          <w:color w:val="auto"/>
          <w:sz w:val="24"/>
          <w:highlight w:val="none"/>
        </w:rPr>
        <mc:AlternateContent>
          <mc:Choice Requires="wpc">
            <w:drawing>
              <wp:inline distT="0" distB="0" distL="114300" distR="114300">
                <wp:extent cx="5110480" cy="2860040"/>
                <wp:effectExtent l="0" t="0" r="15240" b="36195"/>
                <wp:docPr id="413" name="画布 413"/>
                <wp:cNvGraphicFramePr/>
                <a:graphic xmlns:a="http://schemas.openxmlformats.org/drawingml/2006/main">
                  <a:graphicData uri="http://schemas.microsoft.com/office/word/2010/wordprocessingCanvas">
                    <wpc:wpc>
                      <wpc:bg>
                        <a:noFill/>
                      </wpc:bg>
                      <wpc:whole>
                        <a:ln>
                          <a:noFill/>
                        </a:ln>
                      </wpc:whole>
                      <wps:wsp>
                        <wps:cNvPr id="414" name="流程图: 准备 2"/>
                        <wps:cNvSpPr/>
                        <wps:spPr>
                          <a:xfrm>
                            <a:off x="1910080" y="219075"/>
                            <a:ext cx="1680845" cy="410210"/>
                          </a:xfrm>
                          <a:prstGeom prst="flowChartPreparation">
                            <a:avLst/>
                          </a:prstGeom>
                          <a:solidFill>
                            <a:srgbClr val="FFFFFF"/>
                          </a:solidFill>
                          <a:ln w="9525" cap="flat" cmpd="sng">
                            <a:solidFill>
                              <a:srgbClr val="000000"/>
                            </a:solidFill>
                            <a:prstDash val="solid"/>
                            <a:miter/>
                            <a:headEnd type="none" w="med" len="med"/>
                            <a:tailEnd type="none" w="med" len="med"/>
                          </a:ln>
                        </wps:spPr>
                        <wps:bodyPr upright="1"/>
                      </wps:wsp>
                      <wps:wsp>
                        <wps:cNvPr id="415" name="文本框 5"/>
                        <wps:cNvSpPr txBox="1"/>
                        <wps:spPr>
                          <a:xfrm>
                            <a:off x="2190750" y="265430"/>
                            <a:ext cx="1109980" cy="285750"/>
                          </a:xfrm>
                          <a:prstGeom prst="rect">
                            <a:avLst/>
                          </a:prstGeom>
                          <a:solidFill>
                            <a:srgbClr val="FFFFFF"/>
                          </a:solidFill>
                          <a:ln>
                            <a:noFill/>
                          </a:ln>
                        </wps:spPr>
                        <wps:txbx>
                          <w:txbxContent>
                            <w:p>
                              <w:pPr>
                                <w:ind w:left="-120" w:leftChars="-50" w:right="-120" w:rightChars="-50"/>
                                <w:jc w:val="center"/>
                              </w:pPr>
                              <w:r>
                                <w:rPr>
                                  <w:rFonts w:hint="eastAsia"/>
                                </w:rPr>
                                <w:t>发生泄漏</w:t>
                              </w:r>
                            </w:p>
                          </w:txbxContent>
                        </wps:txbx>
                        <wps:bodyPr upright="1"/>
                      </wps:wsp>
                      <wps:wsp>
                        <wps:cNvPr id="416" name="直接连接符 6"/>
                        <wps:cNvCnPr/>
                        <wps:spPr>
                          <a:xfrm>
                            <a:off x="2755901" y="621030"/>
                            <a:ext cx="635" cy="304800"/>
                          </a:xfrm>
                          <a:prstGeom prst="line">
                            <a:avLst/>
                          </a:prstGeom>
                          <a:ln w="9525" cap="flat" cmpd="sng">
                            <a:solidFill>
                              <a:srgbClr val="000000"/>
                            </a:solidFill>
                            <a:prstDash val="solid"/>
                            <a:headEnd type="none" w="med" len="med"/>
                            <a:tailEnd type="arrow" w="med" len="med"/>
                          </a:ln>
                        </wps:spPr>
                        <wps:bodyPr/>
                      </wps:wsp>
                      <wps:wsp>
                        <wps:cNvPr id="417" name="直接连接符 7"/>
                        <wps:cNvCnPr/>
                        <wps:spPr>
                          <a:xfrm>
                            <a:off x="2755901" y="1277620"/>
                            <a:ext cx="635" cy="621665"/>
                          </a:xfrm>
                          <a:prstGeom prst="line">
                            <a:avLst/>
                          </a:prstGeom>
                          <a:ln w="9525" cap="flat" cmpd="sng">
                            <a:solidFill>
                              <a:srgbClr val="000000"/>
                            </a:solidFill>
                            <a:prstDash val="solid"/>
                            <a:headEnd type="none" w="med" len="med"/>
                            <a:tailEnd type="arrow" w="med" len="med"/>
                          </a:ln>
                        </wps:spPr>
                        <wps:bodyPr/>
                      </wps:wsp>
                      <wps:wsp>
                        <wps:cNvPr id="418" name="直接连接符 8"/>
                        <wps:cNvCnPr/>
                        <wps:spPr>
                          <a:xfrm>
                            <a:off x="3271521" y="1102360"/>
                            <a:ext cx="804545" cy="635"/>
                          </a:xfrm>
                          <a:prstGeom prst="line">
                            <a:avLst/>
                          </a:prstGeom>
                          <a:ln w="9525" cap="flat" cmpd="sng">
                            <a:solidFill>
                              <a:srgbClr val="000000"/>
                            </a:solidFill>
                            <a:prstDash val="solid"/>
                            <a:headEnd type="none" w="med" len="med"/>
                            <a:tailEnd type="arrow" w="med" len="med"/>
                          </a:ln>
                        </wps:spPr>
                        <wps:bodyPr/>
                      </wps:wsp>
                      <wps:wsp>
                        <wps:cNvPr id="419" name="文本框 9"/>
                        <wps:cNvSpPr txBox="1"/>
                        <wps:spPr>
                          <a:xfrm>
                            <a:off x="3037841" y="683895"/>
                            <a:ext cx="1144270" cy="342900"/>
                          </a:xfrm>
                          <a:prstGeom prst="rect">
                            <a:avLst/>
                          </a:prstGeom>
                          <a:solidFill>
                            <a:srgbClr val="FFFFFF"/>
                          </a:solidFill>
                          <a:ln>
                            <a:noFill/>
                          </a:ln>
                        </wps:spPr>
                        <wps:txbx>
                          <w:txbxContent>
                            <w:p>
                              <w:pPr>
                                <w:jc w:val="center"/>
                              </w:pPr>
                              <w:r>
                                <w:rPr>
                                  <w:rFonts w:hint="eastAsia"/>
                                </w:rPr>
                                <w:t>小组可控制</w:t>
                              </w:r>
                            </w:p>
                          </w:txbxContent>
                        </wps:txbx>
                        <wps:bodyPr upright="1"/>
                      </wps:wsp>
                      <wps:wsp>
                        <wps:cNvPr id="420" name="文本框 10"/>
                        <wps:cNvSpPr txBox="1"/>
                        <wps:spPr>
                          <a:xfrm>
                            <a:off x="4064001" y="937260"/>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现场处置</w:t>
                              </w:r>
                            </w:p>
                          </w:txbxContent>
                        </wps:txbx>
                        <wps:bodyPr upright="1"/>
                      </wps:wsp>
                      <wps:wsp>
                        <wps:cNvPr id="421" name="文本框 11"/>
                        <wps:cNvSpPr txBox="1"/>
                        <wps:spPr>
                          <a:xfrm>
                            <a:off x="2826386" y="1297940"/>
                            <a:ext cx="1005205" cy="480695"/>
                          </a:xfrm>
                          <a:prstGeom prst="rect">
                            <a:avLst/>
                          </a:prstGeom>
                          <a:solidFill>
                            <a:srgbClr val="FFFFFF"/>
                          </a:solidFill>
                          <a:ln>
                            <a:noFill/>
                          </a:ln>
                        </wps:spPr>
                        <wps:txbx>
                          <w:txbxContent>
                            <w:p>
                              <w:pPr>
                                <w:jc w:val="center"/>
                              </w:pPr>
                              <w:r>
                                <w:rPr>
                                  <w:rFonts w:hint="eastAsia"/>
                                </w:rPr>
                                <w:t>事态超出小组控制范围</w:t>
                              </w:r>
                            </w:p>
                          </w:txbxContent>
                        </wps:txbx>
                        <wps:bodyPr upright="1"/>
                      </wps:wsp>
                      <wps:wsp>
                        <wps:cNvPr id="422" name="文本框 12"/>
                        <wps:cNvSpPr txBox="1"/>
                        <wps:spPr>
                          <a:xfrm>
                            <a:off x="2222500" y="916305"/>
                            <a:ext cx="103822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应急处置</w:t>
                              </w:r>
                            </w:p>
                          </w:txbxContent>
                        </wps:txbx>
                        <wps:bodyPr upright="1"/>
                      </wps:wsp>
                      <wps:wsp>
                        <wps:cNvPr id="423" name="文本框 13"/>
                        <wps:cNvSpPr txBox="1"/>
                        <wps:spPr>
                          <a:xfrm>
                            <a:off x="2232660" y="1889760"/>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向上级汇报</w:t>
                              </w:r>
                            </w:p>
                          </w:txbxContent>
                        </wps:txbx>
                        <wps:bodyPr upright="1"/>
                      </wps:wsp>
                      <wps:wsp>
                        <wps:cNvPr id="424" name="直接连接符 14"/>
                        <wps:cNvCnPr/>
                        <wps:spPr>
                          <a:xfrm>
                            <a:off x="2755901" y="2251075"/>
                            <a:ext cx="0" cy="304800"/>
                          </a:xfrm>
                          <a:prstGeom prst="line">
                            <a:avLst/>
                          </a:prstGeom>
                          <a:ln w="9525" cap="flat" cmpd="sng">
                            <a:solidFill>
                              <a:srgbClr val="000000"/>
                            </a:solidFill>
                            <a:prstDash val="solid"/>
                            <a:headEnd type="none" w="med" len="med"/>
                            <a:tailEnd type="arrow" w="med" len="med"/>
                          </a:ln>
                        </wps:spPr>
                        <wps:bodyPr/>
                      </wps:wsp>
                      <wps:wsp>
                        <wps:cNvPr id="425" name="文本框 15"/>
                        <wps:cNvSpPr txBox="1"/>
                        <wps:spPr>
                          <a:xfrm>
                            <a:off x="2253615" y="2567305"/>
                            <a:ext cx="1028700" cy="310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请求厂内增援</w:t>
                              </w:r>
                            </w:p>
                          </w:txbxContent>
                        </wps:txbx>
                        <wps:bodyPr upright="1"/>
                      </wps:wsp>
                      <wps:wsp>
                        <wps:cNvPr id="426" name="文本框 16"/>
                        <wps:cNvSpPr txBox="1"/>
                        <wps:spPr>
                          <a:xfrm>
                            <a:off x="1089660" y="1583055"/>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扩大应急</w:t>
                              </w:r>
                            </w:p>
                          </w:txbxContent>
                        </wps:txbx>
                        <wps:bodyPr upright="1"/>
                      </wps:wsp>
                      <wps:wsp>
                        <wps:cNvPr id="427" name="肘形连接符 17"/>
                        <wps:cNvCnPr/>
                        <wps:spPr>
                          <a:xfrm rot="10800000">
                            <a:off x="1603375" y="1925320"/>
                            <a:ext cx="649605" cy="796925"/>
                          </a:xfrm>
                          <a:prstGeom prst="bentConnector2">
                            <a:avLst/>
                          </a:prstGeom>
                          <a:ln w="9525" cap="flat" cmpd="sng">
                            <a:solidFill>
                              <a:srgbClr val="000000"/>
                            </a:solidFill>
                            <a:prstDash val="solid"/>
                            <a:miter/>
                            <a:headEnd type="none" w="med" len="med"/>
                            <a:tailEnd type="arrow" w="med" len="med"/>
                          </a:ln>
                        </wps:spPr>
                        <wps:bodyPr/>
                      </wps:wsp>
                      <wps:wsp>
                        <wps:cNvPr id="428" name="肘形连接符 18"/>
                        <wps:cNvCnPr/>
                        <wps:spPr>
                          <a:xfrm rot="-5400000">
                            <a:off x="1668145" y="1028700"/>
                            <a:ext cx="490220" cy="618490"/>
                          </a:xfrm>
                          <a:prstGeom prst="bentConnector2">
                            <a:avLst/>
                          </a:prstGeom>
                          <a:ln w="9525" cap="flat" cmpd="sng">
                            <a:solidFill>
                              <a:srgbClr val="000000"/>
                            </a:solidFill>
                            <a:prstDash val="solid"/>
                            <a:miter/>
                            <a:headEnd type="none" w="med" len="med"/>
                            <a:tailEnd type="arrow" w="med" len="med"/>
                          </a:ln>
                        </wps:spPr>
                        <wps:bodyPr/>
                      </wps:wsp>
                    </wpc:wpc>
                  </a:graphicData>
                </a:graphic>
              </wp:inline>
            </w:drawing>
          </mc:Choice>
          <mc:Fallback>
            <w:pict>
              <v:group id="_x0000_s1026" o:spid="_x0000_s1026" o:spt="203" style="height:225.2pt;width:402.4pt;" coordsize="5110480,2860040" editas="canvas" o:gfxdata="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">
                <o:lock v:ext="edit" aspectratio="f"/>
                <v:shape id="_x0000_s1026" o:spid="_x0000_s1026" style="position:absolute;left:0;top:0;height:2860040;width:5110480;" filled="f" stroked="f" coordsize="21600,21600" o:gfxdata="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">
                  <v:fill on="f" focussize="0,0"/>
                  <v:stroke on="f"/>
                  <v:imagedata o:title=""/>
                  <o:lock v:ext="edit" aspectratio="f"/>
                </v:shape>
                <v:shape id="流程图: 准备 2" o:spid="_x0000_s1026" o:spt="117" type="#_x0000_t117" style="position:absolute;left:1910080;top:219075;height:410210;width:1680845;" fillcolor="#FFFFFF" filled="t" stroked="t" coordsize="21600,21600" o:gfxdata="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vAjYNMA&#10;AAAFAQAADwAAAAAAAAABACAAAAAiAAAAZHJzL2Rvd25yZXYueG1sUEsBAhQAFAAAAAgAh07iQOnx&#10;cjokAgAARgQAAA4AAAAAAAAAAQAgAAAAIgEAAGRycy9lMm9Eb2MueG1sUEsFBgAAAAAGAAYAWQEA&#10;ALgFAAAAAA==&#10;">
                  <v:fill on="t" focussize="0,0"/>
                  <v:stroke color="#000000" joinstyle="miter"/>
                  <v:imagedata o:title=""/>
                  <o:lock v:ext="edit" aspectratio="f"/>
                </v:shape>
                <v:shape id="文本框 5" o:spid="_x0000_s1026" o:spt="202" type="#_x0000_t202" style="position:absolute;left:2190750;top:265430;height:285750;width:1109980;" fillcolor="#FFFFFF" filled="t" stroked="f" coordsize="21600,21600" o:gfxdata="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qopUTUAAAABQEAAA8AAAAAAAAAAQAgAAAAIgAAAGRycy9kb3du&#10;cmV2LnhtbFBLAQIUABQAAAAIAIdO4kBaWMsAygEAAIQDAAAOAAAAAAAAAAEAIAAAACMBAABkcnMv&#10;ZTJvRG9jLnhtbFBLBQYAAAAABgAGAFkBAABfBQAAAAA=&#10;">
                  <v:fill on="t" focussize="0,0"/>
                  <v:stroke on="f"/>
                  <v:imagedata o:title=""/>
                  <o:lock v:ext="edit" aspectratio="f"/>
                  <v:textbox>
                    <w:txbxContent>
                      <w:p>
                        <w:pPr>
                          <w:ind w:left="-120" w:leftChars="-50" w:right="-120" w:rightChars="-50"/>
                          <w:jc w:val="center"/>
                        </w:pPr>
                        <w:r>
                          <w:rPr>
                            <w:rFonts w:hint="eastAsia"/>
                          </w:rPr>
                          <w:t>发生泄漏</w:t>
                        </w:r>
                      </w:p>
                    </w:txbxContent>
                  </v:textbox>
                </v:shape>
                <v:line id="直接连接符 6" o:spid="_x0000_s1026" o:spt="20" style="position:absolute;left:2755901;top:621030;height:304800;width:635;" filled="f" stroked="t" coordsize="21600,21600" o:gfxdata="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ca1ttYAAAAFAQAADwAAAAAAAAABACAAAAAiAAAAZHJzL2Rv&#10;d25yZXYueG1sUEsBAhQAFAAAAAgAh07iQDRQ5BQDAgAA5wMAAA4AAAAAAAAAAQAgAAAAJQEAAGRy&#10;cy9lMm9Eb2MueG1sUEsFBgAAAAAGAAYAWQEAAJoFAAAAAA==&#10;">
                  <v:fill on="f" focussize="0,0"/>
                  <v:stroke color="#000000" joinstyle="round" endarrow="open"/>
                  <v:imagedata o:title=""/>
                  <o:lock v:ext="edit" aspectratio="f"/>
                </v:line>
                <v:line id="直接连接符 7" o:spid="_x0000_s1026" o:spt="20" style="position:absolute;left:2755901;top:1277620;height:621665;width:635;" filled="f" stroked="t" coordsize="21600,21600" o:gfxdata="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3GtbbWAAAABQEAAA8AAAAAAAAAAQAgAAAAIgAAAGRycy9kb3du&#10;cmV2LnhtbFBLAQIUABQAAAAIAIdO4kCzs7ojAQIAAOgDAAAOAAAAAAAAAAEAIAAAACUBAABkcnMv&#10;ZTJvRG9jLnhtbFBLBQYAAAAABgAGAFkBAACYBQAAAAA=&#10;">
                  <v:fill on="f" focussize="0,0"/>
                  <v:stroke color="#000000" joinstyle="round" endarrow="open"/>
                  <v:imagedata o:title=""/>
                  <o:lock v:ext="edit" aspectratio="f"/>
                </v:line>
                <v:line id="直接连接符 8" o:spid="_x0000_s1026" o:spt="20" style="position:absolute;left:3271521;top:1102360;height:635;width:804545;" filled="f" stroked="t" coordsize="21600,21600" o:gfxdata="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ca1ttYAAAAFAQAADwAAAAAAAAABACAAAAAiAAAAZHJzL2Rvd25y&#10;ZXYueG1sUEsBAhQAFAAAAAgAh07iQImfdHAAAgAA6AMAAA4AAAAAAAAAAQAgAAAAJQEAAGRycy9l&#10;Mm9Eb2MueG1sUEsFBgAAAAAGAAYAWQEAAJcFAAAAAA==&#10;">
                  <v:fill on="f" focussize="0,0"/>
                  <v:stroke color="#000000" joinstyle="round" endarrow="open"/>
                  <v:imagedata o:title=""/>
                  <o:lock v:ext="edit" aspectratio="f"/>
                </v:line>
                <v:shape id="文本框 9" o:spid="_x0000_s1026" o:spt="202" type="#_x0000_t202" style="position:absolute;left:3037841;top:683895;height:342900;width:1144270;" fillcolor="#FFFFFF" filled="t" stroked="f" coordsize="21600,21600" o:gfxdata="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qilRNQAAAAFAQAADwAAAAAAAAABACAAAAAiAAAA&#10;ZHJzL2Rvd25yZXYueG1sUEsBAhQAFAAAAAgAh07iQLKbjqLSAQAAhAMAAA4AAAAAAAAAAQAgAAAA&#10;IwEAAGRycy9lMm9Eb2MueG1sUEsFBgAAAAAGAAYAWQEAAGcFAAAAAA==&#10;">
                  <v:fill on="t" focussize="0,0"/>
                  <v:stroke on="f"/>
                  <v:imagedata o:title=""/>
                  <o:lock v:ext="edit" aspectratio="f"/>
                  <v:textbox>
                    <w:txbxContent>
                      <w:p>
                        <w:pPr>
                          <w:jc w:val="center"/>
                        </w:pPr>
                        <w:r>
                          <w:rPr>
                            <w:rFonts w:hint="eastAsia"/>
                          </w:rPr>
                          <w:t>小组可控制</w:t>
                        </w:r>
                      </w:p>
                    </w:txbxContent>
                  </v:textbox>
                </v:shape>
                <v:shape id="文本框 10" o:spid="_x0000_s1026" o:spt="202" type="#_x0000_t202" style="position:absolute;left:4064001;top:937260;height:342900;width:1028700;" fillcolor="#FFFFFF" filled="t" stroked="t" coordsize="21600,21600" o:gfxdata="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OPic9UAAAAFAQAADwAAAAAA&#10;AAABACAAAAAiAAAAZHJzL2Rvd25yZXYueG1sUEsBAhQAFAAAAAgAh07iQAF5cuwWAgAARAQAAA4A&#10;AAAAAAAAAQAgAAAAJAEAAGRycy9lMm9Eb2MueG1sUEsFBgAAAAAGAAYAWQEAAKwFAAAAAA==&#10;">
                  <v:fill on="t" focussize="0,0"/>
                  <v:stroke color="#000000" joinstyle="miter"/>
                  <v:imagedata o:title=""/>
                  <o:lock v:ext="edit" aspectratio="f"/>
                  <v:textbox>
                    <w:txbxContent>
                      <w:p>
                        <w:pPr>
                          <w:jc w:val="center"/>
                        </w:pPr>
                        <w:r>
                          <w:rPr>
                            <w:rFonts w:hint="eastAsia"/>
                          </w:rPr>
                          <w:t>现场处置</w:t>
                        </w:r>
                      </w:p>
                    </w:txbxContent>
                  </v:textbox>
                </v:shape>
                <v:shape id="文本框 11" o:spid="_x0000_s1026" o:spt="202" type="#_x0000_t202" style="position:absolute;left:2826386;top:1297940;height:480695;width:1005205;" fillcolor="#FFFFFF" filled="t" stroked="f" coordsize="21600,21600" o:gfxdata="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6qKVE1AAAAAUBAAAPAAAAAAAAAAEAIAAAACIAAABkcnMv&#10;ZG93bnJldi54bWxQSwECFAAUAAAACACHTuJACD+egs4BAACGAwAADgAAAAAAAAABACAAAAAjAQAA&#10;ZHJzL2Uyb0RvYy54bWxQSwUGAAAAAAYABgBZAQAAYwUAAAAA&#10;">
                  <v:fill on="t" focussize="0,0"/>
                  <v:stroke on="f"/>
                  <v:imagedata o:title=""/>
                  <o:lock v:ext="edit" aspectratio="f"/>
                  <v:textbox>
                    <w:txbxContent>
                      <w:p>
                        <w:pPr>
                          <w:jc w:val="center"/>
                        </w:pPr>
                        <w:r>
                          <w:rPr>
                            <w:rFonts w:hint="eastAsia"/>
                          </w:rPr>
                          <w:t>事态超出小组控制范围</w:t>
                        </w:r>
                      </w:p>
                    </w:txbxContent>
                  </v:textbox>
                </v:shape>
                <v:shape id="文本框 12" o:spid="_x0000_s1026" o:spt="202" type="#_x0000_t202" style="position:absolute;left:2222500;top:916305;height:352425;width:1038225;" fillcolor="#FFFFFF" filled="t" stroked="t" coordsize="21600,21600" o:gfxdata="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OPic9UAAAAFAQAADwAAAAAAAAAB&#10;ACAAAAAiAAAAZHJzL2Rvd25yZXYueG1sUEsBAhQAFAAAAAgAh07iQNFrIogTAgAARAQAAA4AAAAA&#10;AAAAAQAgAAAAJAEAAGRycy9lMm9Eb2MueG1sUEsFBgAAAAAGAAYAWQEAAKkFAAAAAA==&#10;">
                  <v:fill on="t" focussize="0,0"/>
                  <v:stroke color="#000000" joinstyle="miter"/>
                  <v:imagedata o:title=""/>
                  <o:lock v:ext="edit" aspectratio="f"/>
                  <v:textbox>
                    <w:txbxContent>
                      <w:p>
                        <w:pPr>
                          <w:jc w:val="center"/>
                        </w:pPr>
                        <w:r>
                          <w:rPr>
                            <w:rFonts w:hint="eastAsia"/>
                          </w:rPr>
                          <w:t>应急处置</w:t>
                        </w:r>
                      </w:p>
                    </w:txbxContent>
                  </v:textbox>
                </v:shape>
                <v:shape id="文本框 13" o:spid="_x0000_s1026" o:spt="202" type="#_x0000_t202" style="position:absolute;left:2232660;top:1889760;height:342900;width:1028700;" fillcolor="#FFFFFF" filled="t" stroked="t" coordsize="21600,21600" o:gfxdata="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Tj4nPVAAAABQEAAA8AAAAA&#10;AAAAAQAgAAAAIgAAAGRycy9kb3ducmV2LnhtbFBLAQIUABQAAAAIAIdO4kBB5aSBFwIAAEUEAAAO&#10;AAAAAAAAAAEAIAAAACQBAABkcnMvZTJvRG9jLnhtbFBLBQYAAAAABgAGAFkBAACtBQAAAAA=&#10;">
                  <v:fill on="t" focussize="0,0"/>
                  <v:stroke color="#000000" joinstyle="miter"/>
                  <v:imagedata o:title=""/>
                  <o:lock v:ext="edit" aspectratio="f"/>
                  <v:textbox>
                    <w:txbxContent>
                      <w:p>
                        <w:pPr>
                          <w:jc w:val="center"/>
                        </w:pPr>
                        <w:r>
                          <w:rPr>
                            <w:rFonts w:hint="eastAsia"/>
                          </w:rPr>
                          <w:t>向上级汇报</w:t>
                        </w:r>
                      </w:p>
                    </w:txbxContent>
                  </v:textbox>
                </v:shape>
                <v:line id="直接连接符 14" o:spid="_x0000_s1026" o:spt="20" style="position:absolute;left:2755901;top:2251075;height:304800;width:0;" filled="f" stroked="t" coordsize="21600,21600" o:gfxdata="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xrW21gAAAAUBAAAPAAAAAAAAAAEAIAAAACIAAABkcnMvZG93&#10;bnJldi54bWxQSwECFAAUAAAACACHTuJAhIi3jQICAADnAwAADgAAAAAAAAABACAAAAAlAQAAZHJz&#10;L2Uyb0RvYy54bWxQSwUGAAAAAAYABgBZAQAAmQUAAAAA&#10;">
                  <v:fill on="f" focussize="0,0"/>
                  <v:stroke color="#000000" joinstyle="round" endarrow="open"/>
                  <v:imagedata o:title=""/>
                  <o:lock v:ext="edit" aspectratio="f"/>
                </v:line>
                <v:shape id="文本框 15" o:spid="_x0000_s1026" o:spt="202" type="#_x0000_t202" style="position:absolute;left:2253615;top:2567305;height:310515;width:1028700;" fillcolor="#FFFFFF" filled="t" stroked="t" coordsize="21600,21600" o:gfxdata="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04+Jz1QAAAAUBAAAPAAAA&#10;AAAAAAEAIAAAACIAAABkcnMvZG93bnJldi54bWxQSwECFAAUAAAACACHTuJAFv/b6hgCAABFBAAA&#10;DgAAAAAAAAABACAAAAAkAQAAZHJzL2Uyb0RvYy54bWxQSwUGAAAAAAYABgBZAQAArgUAAAAA&#10;">
                  <v:fill on="t" focussize="0,0"/>
                  <v:stroke color="#000000" joinstyle="miter"/>
                  <v:imagedata o:title=""/>
                  <o:lock v:ext="edit" aspectratio="f"/>
                  <v:textbox>
                    <w:txbxContent>
                      <w:p>
                        <w:pPr>
                          <w:jc w:val="center"/>
                        </w:pPr>
                        <w:r>
                          <w:rPr>
                            <w:rFonts w:hint="eastAsia"/>
                          </w:rPr>
                          <w:t>请求厂内增援</w:t>
                        </w:r>
                      </w:p>
                    </w:txbxContent>
                  </v:textbox>
                </v:shape>
                <v:shape id="文本框 16" o:spid="_x0000_s1026" o:spt="202" type="#_x0000_t202" style="position:absolute;left:1089660;top:1583055;height:342900;width:1028700;" fillcolor="#FFFFFF" filled="t" stroked="t" coordsize="21600,21600" o:gfxdata="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04+Jz1QAAAAUBAAAPAAAAAAAA&#10;AAEAIAAAACIAAABkcnMvZG93bnJldi54bWxQSwECFAAUAAAACACHTuJAfR91PhUCAABFBAAADgAA&#10;AAAAAAABACAAAAAkAQAAZHJzL2Uyb0RvYy54bWxQSwUGAAAAAAYABgBZAQAAqwUAAAAA&#10;">
                  <v:fill on="t" focussize="0,0"/>
                  <v:stroke color="#000000" joinstyle="miter"/>
                  <v:imagedata o:title=""/>
                  <o:lock v:ext="edit" aspectratio="f"/>
                  <v:textbox>
                    <w:txbxContent>
                      <w:p>
                        <w:pPr>
                          <w:jc w:val="center"/>
                        </w:pPr>
                        <w:r>
                          <w:rPr>
                            <w:rFonts w:hint="eastAsia"/>
                          </w:rPr>
                          <w:t>扩大应急</w:t>
                        </w:r>
                      </w:p>
                    </w:txbxContent>
                  </v:textbox>
                </v:shape>
                <v:shape id="肘形连接符 17" o:spid="_x0000_s1026" o:spt="33" type="#_x0000_t33" style="position:absolute;left:1603375;top:1925320;height:796925;width:649605;rotation:11796480f;" filled="f" stroked="t" coordsize="21600,21600" o:gfxdata="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Trl+vVAAAABQEA&#10;AA8AAAAAAAAAAQAgAAAAIgAAAGRycy9kb3ducmV2LnhtbFBLAQIUABQAAAAIAIdO4kCRN/xIHQIA&#10;AA8EAAAOAAAAAAAAAAEAIAAAACQBAABkcnMvZTJvRG9jLnhtbFBLBQYAAAAABgAGAFkBAACzBQAA&#10;AAA=&#10;">
                  <v:fill on="f" focussize="0,0"/>
                  <v:stroke color="#000000" joinstyle="miter" endarrow="open"/>
                  <v:imagedata o:title=""/>
                  <o:lock v:ext="edit" aspectratio="f"/>
                </v:shape>
                <v:shape id="肘形连接符 18" o:spid="_x0000_s1026" o:spt="33" type="#_x0000_t33" style="position:absolute;left:1668145;top:1028700;height:618490;width:490220;rotation:-5898240f;" filled="f" stroked="t" coordsize="21600,21600" o:gfxdata="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vl6DVAAAABQEA&#10;AA8AAAAAAAAAAQAgAAAAIgAAAGRycy9kb3ducmV2LnhtbFBLAQIUABQAAAAIAIdO4kCt5Mx3HQIA&#10;AA8EAAAOAAAAAAAAAAEAIAAAACQBAABkcnMvZTJvRG9jLnhtbFBLBQYAAAAABgAGAFkBAACzBQAA&#10;AAA=&#10;">
                  <v:fill on="f" focussize="0,0"/>
                  <v:stroke color="#000000" joinstyle="miter" endarrow="open"/>
                  <v:imagedata o:title=""/>
                  <o:lock v:ext="edit" aspectratio="f"/>
                </v:shape>
                <w10:wrap type="none"/>
                <w10:anchorlock/>
              </v:group>
            </w:pict>
          </mc:Fallback>
        </mc:AlternateContent>
      </w:r>
    </w:p>
    <w:p>
      <w:pPr>
        <w:adjustRightInd w:val="0"/>
        <w:snapToGrid w:val="0"/>
        <w:jc w:val="center"/>
        <w:rPr>
          <w:b/>
          <w:bCs/>
          <w:color w:val="auto"/>
          <w:szCs w:val="22"/>
          <w:highlight w:val="none"/>
        </w:rPr>
      </w:pPr>
      <w:r>
        <w:rPr>
          <w:b/>
          <w:bCs/>
          <w:color w:val="auto"/>
          <w:szCs w:val="22"/>
          <w:highlight w:val="none"/>
        </w:rPr>
        <w:t>图3.1  泄漏事故应急处置流程图</w:t>
      </w:r>
    </w:p>
    <w:p>
      <w:pPr>
        <w:adjustRightInd w:val="0"/>
        <w:snapToGrid w:val="0"/>
        <w:spacing w:before="156" w:beforeLines="50" w:line="360" w:lineRule="auto"/>
        <w:ind w:firstLine="480" w:firstLineChars="200"/>
        <w:rPr>
          <w:bCs/>
          <w:color w:val="auto"/>
          <w:highlight w:val="none"/>
        </w:rPr>
      </w:pPr>
      <w:r>
        <w:rPr>
          <w:color w:val="auto"/>
          <w:highlight w:val="none"/>
        </w:rPr>
        <w:t>发生泄漏事故后，启动应急预案，应急处置小组负责人立即进行应急处置，若事态可控制，现场处置完后，应急结束；若事态超出小组控制范围，立即向上级汇报，请求厂内增援进行应急处置。</w:t>
      </w:r>
    </w:p>
    <w:p>
      <w:pPr>
        <w:pStyle w:val="6"/>
        <w:rPr>
          <w:color w:val="auto"/>
          <w:highlight w:val="none"/>
        </w:rPr>
      </w:pPr>
      <w:r>
        <w:rPr>
          <w:color w:val="auto"/>
          <w:highlight w:val="none"/>
        </w:rPr>
        <w:t>3.4.2 火灾事故</w:t>
      </w:r>
    </w:p>
    <w:p>
      <w:pPr>
        <w:adjustRightInd w:val="0"/>
        <w:snapToGrid w:val="0"/>
        <w:spacing w:line="360" w:lineRule="auto"/>
        <w:ind w:firstLine="480" w:firstLineChars="200"/>
        <w:rPr>
          <w:color w:val="auto"/>
          <w:highlight w:val="none"/>
        </w:rPr>
      </w:pPr>
      <w:r>
        <w:rPr>
          <w:color w:val="auto"/>
          <w:highlight w:val="none"/>
        </w:rPr>
        <w:t>危废仓库发生火灾事故时，可启动火灾事故应急处置流程，具体如下：</w:t>
      </w:r>
    </w:p>
    <w:p>
      <w:pPr>
        <w:pStyle w:val="2"/>
        <w:adjustRightInd w:val="0"/>
        <w:snapToGrid w:val="0"/>
        <w:jc w:val="center"/>
        <w:rPr>
          <w:rFonts w:ascii="Times New Roman" w:hAnsi="Times New Roman"/>
          <w:color w:val="auto"/>
          <w:highlight w:val="none"/>
        </w:rPr>
      </w:pPr>
      <w:r>
        <w:rPr>
          <w:rFonts w:ascii="Times New Roman" w:hAnsi="Times New Roman"/>
          <w:color w:val="auto"/>
          <w:sz w:val="24"/>
          <w:highlight w:val="none"/>
        </w:rPr>
        <mc:AlternateContent>
          <mc:Choice Requires="wpc">
            <w:drawing>
              <wp:inline distT="0" distB="0" distL="114300" distR="114300">
                <wp:extent cx="5092065" cy="2840355"/>
                <wp:effectExtent l="0" t="0" r="11430" b="55880"/>
                <wp:docPr id="429" name="画布 429"/>
                <wp:cNvGraphicFramePr/>
                <a:graphic xmlns:a="http://schemas.openxmlformats.org/drawingml/2006/main">
                  <a:graphicData uri="http://schemas.microsoft.com/office/word/2010/wordprocessingCanvas">
                    <wpc:wpc>
                      <wpc:bg>
                        <a:noFill/>
                      </wpc:bg>
                      <wpc:whole>
                        <a:ln>
                          <a:noFill/>
                        </a:ln>
                      </wpc:whole>
                      <wps:wsp>
                        <wps:cNvPr id="430" name="流程图: 准备 2"/>
                        <wps:cNvSpPr/>
                        <wps:spPr>
                          <a:xfrm>
                            <a:off x="1910080" y="219075"/>
                            <a:ext cx="1680845" cy="410210"/>
                          </a:xfrm>
                          <a:prstGeom prst="flowChartPreparation">
                            <a:avLst/>
                          </a:prstGeom>
                          <a:solidFill>
                            <a:srgbClr val="FFFFFF"/>
                          </a:solidFill>
                          <a:ln w="9525" cap="flat" cmpd="sng">
                            <a:solidFill>
                              <a:srgbClr val="000000"/>
                            </a:solidFill>
                            <a:prstDash val="solid"/>
                            <a:miter/>
                            <a:headEnd type="none" w="med" len="med"/>
                            <a:tailEnd type="none" w="med" len="med"/>
                          </a:ln>
                        </wps:spPr>
                        <wps:bodyPr upright="1"/>
                      </wps:wsp>
                      <wps:wsp>
                        <wps:cNvPr id="431" name="文本框 5"/>
                        <wps:cNvSpPr txBox="1"/>
                        <wps:spPr>
                          <a:xfrm>
                            <a:off x="2190750" y="265430"/>
                            <a:ext cx="1109980" cy="285750"/>
                          </a:xfrm>
                          <a:prstGeom prst="rect">
                            <a:avLst/>
                          </a:prstGeom>
                          <a:solidFill>
                            <a:srgbClr val="FFFFFF"/>
                          </a:solidFill>
                          <a:ln>
                            <a:noFill/>
                          </a:ln>
                        </wps:spPr>
                        <wps:txbx>
                          <w:txbxContent>
                            <w:p>
                              <w:pPr>
                                <w:ind w:left="-120" w:leftChars="-50" w:right="-120" w:rightChars="-50"/>
                                <w:jc w:val="center"/>
                              </w:pPr>
                              <w:r>
                                <w:rPr>
                                  <w:rFonts w:hint="eastAsia"/>
                                </w:rPr>
                                <w:t>发生火灾</w:t>
                              </w:r>
                            </w:p>
                          </w:txbxContent>
                        </wps:txbx>
                        <wps:bodyPr upright="1"/>
                      </wps:wsp>
                      <wps:wsp>
                        <wps:cNvPr id="432" name="直接连接符 6"/>
                        <wps:cNvCnPr/>
                        <wps:spPr>
                          <a:xfrm>
                            <a:off x="2755901" y="621030"/>
                            <a:ext cx="635" cy="304800"/>
                          </a:xfrm>
                          <a:prstGeom prst="line">
                            <a:avLst/>
                          </a:prstGeom>
                          <a:ln w="9525" cap="flat" cmpd="sng">
                            <a:solidFill>
                              <a:srgbClr val="000000"/>
                            </a:solidFill>
                            <a:prstDash val="solid"/>
                            <a:headEnd type="none" w="med" len="med"/>
                            <a:tailEnd type="arrow" w="med" len="med"/>
                          </a:ln>
                        </wps:spPr>
                        <wps:bodyPr/>
                      </wps:wsp>
                      <wps:wsp>
                        <wps:cNvPr id="433" name="直接连接符 7"/>
                        <wps:cNvCnPr/>
                        <wps:spPr>
                          <a:xfrm>
                            <a:off x="2755901" y="1277620"/>
                            <a:ext cx="635" cy="621665"/>
                          </a:xfrm>
                          <a:prstGeom prst="line">
                            <a:avLst/>
                          </a:prstGeom>
                          <a:ln w="9525" cap="flat" cmpd="sng">
                            <a:solidFill>
                              <a:srgbClr val="000000"/>
                            </a:solidFill>
                            <a:prstDash val="solid"/>
                            <a:headEnd type="none" w="med" len="med"/>
                            <a:tailEnd type="arrow" w="med" len="med"/>
                          </a:ln>
                        </wps:spPr>
                        <wps:bodyPr/>
                      </wps:wsp>
                      <wps:wsp>
                        <wps:cNvPr id="434" name="直接连接符 8"/>
                        <wps:cNvCnPr/>
                        <wps:spPr>
                          <a:xfrm>
                            <a:off x="3271521" y="1102360"/>
                            <a:ext cx="804545" cy="635"/>
                          </a:xfrm>
                          <a:prstGeom prst="line">
                            <a:avLst/>
                          </a:prstGeom>
                          <a:ln w="9525" cap="flat" cmpd="sng">
                            <a:solidFill>
                              <a:srgbClr val="000000"/>
                            </a:solidFill>
                            <a:prstDash val="solid"/>
                            <a:headEnd type="none" w="med" len="med"/>
                            <a:tailEnd type="arrow" w="med" len="med"/>
                          </a:ln>
                        </wps:spPr>
                        <wps:bodyPr/>
                      </wps:wsp>
                      <wps:wsp>
                        <wps:cNvPr id="435" name="文本框 9"/>
                        <wps:cNvSpPr txBox="1"/>
                        <wps:spPr>
                          <a:xfrm>
                            <a:off x="3037841" y="683895"/>
                            <a:ext cx="1144270" cy="342900"/>
                          </a:xfrm>
                          <a:prstGeom prst="rect">
                            <a:avLst/>
                          </a:prstGeom>
                          <a:solidFill>
                            <a:srgbClr val="FFFFFF"/>
                          </a:solidFill>
                          <a:ln>
                            <a:noFill/>
                          </a:ln>
                        </wps:spPr>
                        <wps:txbx>
                          <w:txbxContent>
                            <w:p>
                              <w:pPr>
                                <w:jc w:val="center"/>
                              </w:pPr>
                              <w:r>
                                <w:rPr>
                                  <w:rFonts w:hint="eastAsia"/>
                                </w:rPr>
                                <w:t>小组可控制</w:t>
                              </w:r>
                            </w:p>
                          </w:txbxContent>
                        </wps:txbx>
                        <wps:bodyPr upright="1"/>
                      </wps:wsp>
                      <wps:wsp>
                        <wps:cNvPr id="436" name="文本框 10"/>
                        <wps:cNvSpPr txBox="1"/>
                        <wps:spPr>
                          <a:xfrm>
                            <a:off x="4064001" y="937260"/>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现场处置</w:t>
                              </w:r>
                            </w:p>
                          </w:txbxContent>
                        </wps:txbx>
                        <wps:bodyPr upright="1"/>
                      </wps:wsp>
                      <wps:wsp>
                        <wps:cNvPr id="437" name="文本框 11"/>
                        <wps:cNvSpPr txBox="1"/>
                        <wps:spPr>
                          <a:xfrm>
                            <a:off x="2826386" y="1297940"/>
                            <a:ext cx="1005205" cy="480695"/>
                          </a:xfrm>
                          <a:prstGeom prst="rect">
                            <a:avLst/>
                          </a:prstGeom>
                          <a:solidFill>
                            <a:srgbClr val="FFFFFF"/>
                          </a:solidFill>
                          <a:ln>
                            <a:noFill/>
                          </a:ln>
                        </wps:spPr>
                        <wps:txbx>
                          <w:txbxContent>
                            <w:p>
                              <w:pPr>
                                <w:jc w:val="center"/>
                              </w:pPr>
                              <w:r>
                                <w:rPr>
                                  <w:rFonts w:hint="eastAsia"/>
                                </w:rPr>
                                <w:t>事态超出小组控制范围</w:t>
                              </w:r>
                            </w:p>
                          </w:txbxContent>
                        </wps:txbx>
                        <wps:bodyPr upright="1"/>
                      </wps:wsp>
                      <wps:wsp>
                        <wps:cNvPr id="438" name="文本框 12"/>
                        <wps:cNvSpPr txBox="1"/>
                        <wps:spPr>
                          <a:xfrm>
                            <a:off x="2222500" y="916305"/>
                            <a:ext cx="1038225"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应急处置</w:t>
                              </w:r>
                            </w:p>
                          </w:txbxContent>
                        </wps:txbx>
                        <wps:bodyPr upright="1"/>
                      </wps:wsp>
                      <wps:wsp>
                        <wps:cNvPr id="439" name="文本框 13"/>
                        <wps:cNvSpPr txBox="1"/>
                        <wps:spPr>
                          <a:xfrm>
                            <a:off x="2232660" y="1889760"/>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向上级汇报</w:t>
                              </w:r>
                            </w:p>
                          </w:txbxContent>
                        </wps:txbx>
                        <wps:bodyPr upright="1"/>
                      </wps:wsp>
                      <wps:wsp>
                        <wps:cNvPr id="440" name="直接连接符 14"/>
                        <wps:cNvCnPr/>
                        <wps:spPr>
                          <a:xfrm>
                            <a:off x="2755901" y="2251075"/>
                            <a:ext cx="0" cy="304800"/>
                          </a:xfrm>
                          <a:prstGeom prst="line">
                            <a:avLst/>
                          </a:prstGeom>
                          <a:ln w="9525" cap="flat" cmpd="sng">
                            <a:solidFill>
                              <a:srgbClr val="000000"/>
                            </a:solidFill>
                            <a:prstDash val="solid"/>
                            <a:headEnd type="none" w="med" len="med"/>
                            <a:tailEnd type="arrow" w="med" len="med"/>
                          </a:ln>
                        </wps:spPr>
                        <wps:bodyPr/>
                      </wps:wsp>
                      <wps:wsp>
                        <wps:cNvPr id="441" name="文本框 15"/>
                        <wps:cNvSpPr txBox="1"/>
                        <wps:spPr>
                          <a:xfrm>
                            <a:off x="2253615" y="2567305"/>
                            <a:ext cx="1028700" cy="3105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请求厂内增援</w:t>
                              </w:r>
                            </w:p>
                          </w:txbxContent>
                        </wps:txbx>
                        <wps:bodyPr upright="1"/>
                      </wps:wsp>
                      <wps:wsp>
                        <wps:cNvPr id="442" name="文本框 16"/>
                        <wps:cNvSpPr txBox="1"/>
                        <wps:spPr>
                          <a:xfrm>
                            <a:off x="1089660" y="1583055"/>
                            <a:ext cx="10287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扩大应急</w:t>
                              </w:r>
                            </w:p>
                          </w:txbxContent>
                        </wps:txbx>
                        <wps:bodyPr upright="1"/>
                      </wps:wsp>
                      <wps:wsp>
                        <wps:cNvPr id="443" name="肘形连接符 17"/>
                        <wps:cNvCnPr/>
                        <wps:spPr>
                          <a:xfrm rot="10800000">
                            <a:off x="1603375" y="1925320"/>
                            <a:ext cx="649605" cy="796925"/>
                          </a:xfrm>
                          <a:prstGeom prst="bentConnector2">
                            <a:avLst/>
                          </a:prstGeom>
                          <a:ln w="9525" cap="flat" cmpd="sng">
                            <a:solidFill>
                              <a:srgbClr val="000000"/>
                            </a:solidFill>
                            <a:prstDash val="solid"/>
                            <a:miter/>
                            <a:headEnd type="none" w="med" len="med"/>
                            <a:tailEnd type="arrow" w="med" len="med"/>
                          </a:ln>
                        </wps:spPr>
                        <wps:bodyPr/>
                      </wps:wsp>
                      <wps:wsp>
                        <wps:cNvPr id="444" name="肘形连接符 18"/>
                        <wps:cNvCnPr/>
                        <wps:spPr>
                          <a:xfrm rot="-5400000">
                            <a:off x="1668145" y="1028700"/>
                            <a:ext cx="490220" cy="618490"/>
                          </a:xfrm>
                          <a:prstGeom prst="bentConnector2">
                            <a:avLst/>
                          </a:prstGeom>
                          <a:ln w="9525" cap="flat" cmpd="sng">
                            <a:solidFill>
                              <a:srgbClr val="000000"/>
                            </a:solidFill>
                            <a:prstDash val="solid"/>
                            <a:miter/>
                            <a:headEnd type="none" w="med" len="med"/>
                            <a:tailEnd type="arrow" w="med" len="med"/>
                          </a:ln>
                        </wps:spPr>
                        <wps:bodyPr/>
                      </wps:wsp>
                    </wpc:wpc>
                  </a:graphicData>
                </a:graphic>
              </wp:inline>
            </w:drawing>
          </mc:Choice>
          <mc:Fallback>
            <w:pict>
              <v:group id="_x0000_s1026" o:spid="_x0000_s1026" o:spt="203" style="height:223.65pt;width:400.95pt;" coordsize="5092065,2840355" editas="canvas" o:gfxdata="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">
                <o:lock v:ext="edit" aspectratio="f"/>
                <v:shape id="_x0000_s1026" o:spid="_x0000_s1026" style="position:absolute;left:0;top:0;height:2840355;width:5092065;" filled="f" stroked="f" coordsize="21600,21600" o:gfxdata="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">
                  <v:fill on="f" focussize="0,0"/>
                  <v:stroke on="f"/>
                  <v:imagedata o:title=""/>
                  <o:lock v:ext="edit" aspectratio="f"/>
                </v:shape>
                <v:shape id="流程图: 准备 2" o:spid="_x0000_s1026" o:spt="117" type="#_x0000_t117" style="position:absolute;left:1910080;top:219075;height:410210;width:1680845;" fillcolor="#FFFFFF" filled="t" stroked="t" coordsize="21600,21600" o:gfxdata="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wYX2HU&#10;AAAABQEAAA8AAAAAAAAAAQAgAAAAIgAAAGRycy9kb3ducmV2LnhtbFBLAQIUABQAAAAIAIdO4kDB&#10;FZUWJAIAAEYEAAAOAAAAAAAAAAEAIAAAACMBAABkcnMvZTJvRG9jLnhtbFBLBQYAAAAABgAGAFkB&#10;AAC5BQAAAAA=&#10;">
                  <v:fill on="t" focussize="0,0"/>
                  <v:stroke color="#000000" joinstyle="miter"/>
                  <v:imagedata o:title=""/>
                  <o:lock v:ext="edit" aspectratio="f"/>
                </v:shape>
                <v:shape id="文本框 5" o:spid="_x0000_s1026" o:spt="202" type="#_x0000_t202" style="position:absolute;left:2190750;top:265430;height:285750;width:1109980;" fillcolor="#FFFFFF" filled="t" stroked="f" coordsize="21600,21600" o:gfxdata="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FEDZRdUAAAAFAQAADwAAAAAAAAABACAAAAAiAAAAZHJzL2Rv&#10;d25yZXYueG1sUEsBAhQAFAAAAAgAh07iQFTbeo/LAQAAhAMAAA4AAAAAAAAAAQAgAAAAJAEAAGRy&#10;cy9lMm9Eb2MueG1sUEsFBgAAAAAGAAYAWQEAAGEFAAAAAA==&#10;">
                  <v:fill on="t" focussize="0,0"/>
                  <v:stroke on="f"/>
                  <v:imagedata o:title=""/>
                  <o:lock v:ext="edit" aspectratio="f"/>
                  <v:textbox>
                    <w:txbxContent>
                      <w:p>
                        <w:pPr>
                          <w:ind w:left="-120" w:leftChars="-50" w:right="-120" w:rightChars="-50"/>
                          <w:jc w:val="center"/>
                        </w:pPr>
                        <w:r>
                          <w:rPr>
                            <w:rFonts w:hint="eastAsia"/>
                          </w:rPr>
                          <w:t>发生火灾</w:t>
                        </w:r>
                      </w:p>
                    </w:txbxContent>
                  </v:textbox>
                </v:shape>
                <v:line id="直接连接符 6" o:spid="_x0000_s1026" o:spt="20" style="position:absolute;left:2755901;top:621030;height:304800;width:635;" filled="f" stroked="t" coordsize="21600,21600" o:gfxdata="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MuybfXAAAABQEAAA8AAAAAAAAAAQAgAAAAIgAAAGRycy9k&#10;b3ducmV2LnhtbFBLAQIUABQAAAAIAIdO4kD8Rk+kAwIAAOcDAAAOAAAAAAAAAAEAIAAAACYBAABk&#10;cnMvZTJvRG9jLnhtbFBLBQYAAAAABgAGAFkBAACbBQAAAAA=&#10;">
                  <v:fill on="f" focussize="0,0"/>
                  <v:stroke color="#000000" joinstyle="round" endarrow="open"/>
                  <v:imagedata o:title=""/>
                  <o:lock v:ext="edit" aspectratio="f"/>
                </v:line>
                <v:line id="直接连接符 7" o:spid="_x0000_s1026" o:spt="20" style="position:absolute;left:2755901;top:1277620;height:621665;width:635;" filled="f" stroked="t" coordsize="21600,21600" o:gfxdata="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MuybfXAAAABQEAAA8AAAAAAAAAAQAgAAAAIgAAAGRycy9kb3du&#10;cmV2LnhtbFBLAQIUABQAAAAIAIdO4kAnUrW2AAIAAOgDAAAOAAAAAAAAAAEAIAAAACYBAABkcnMv&#10;ZTJvRG9jLnhtbFBLBQYAAAAABgAGAFkBAACYBQAAAAA=&#10;">
                  <v:fill on="f" focussize="0,0"/>
                  <v:stroke color="#000000" joinstyle="round" endarrow="open"/>
                  <v:imagedata o:title=""/>
                  <o:lock v:ext="edit" aspectratio="f"/>
                </v:line>
                <v:line id="直接连接符 8" o:spid="_x0000_s1026" o:spt="20" style="position:absolute;left:3271521;top:1102360;height:635;width:804545;" filled="f" stroked="t" coordsize="21600,21600" o:gfxdata="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MuybfXAAAABQEAAA8AAAAAAAAAAQAgAAAAIgAAAGRycy9kb3du&#10;cmV2LnhtbFBLAQIUABQAAAAIAIdO4kBED/zwAAIAAOgDAAAOAAAAAAAAAAEAIAAAACYBAABkcnMv&#10;ZTJvRG9jLnhtbFBLBQYAAAAABgAGAFkBAACYBQAAAAA=&#10;">
                  <v:fill on="f" focussize="0,0"/>
                  <v:stroke color="#000000" joinstyle="round" endarrow="open"/>
                  <v:imagedata o:title=""/>
                  <o:lock v:ext="edit" aspectratio="f"/>
                </v:line>
                <v:shape id="文本框 9" o:spid="_x0000_s1026" o:spt="202" type="#_x0000_t202" style="position:absolute;left:3037841;top:683895;height:342900;width:1144270;" fillcolor="#FFFFFF" filled="t" stroked="f" coordsize="21600,21600" o:gfxdata="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RA2UXVAAAABQEAAA8AAAAAAAAAAQAgAAAAIgAA&#10;AGRycy9kb3ducmV2LnhtbFBLAQIUABQAAAAIAIdO4kBCRVvE0gEAAIQDAAAOAAAAAAAAAAEAIAAA&#10;ACQBAABkcnMvZTJvRG9jLnhtbFBLBQYAAAAABgAGAFkBAABoBQAAAAA=&#10;">
                  <v:fill on="t" focussize="0,0"/>
                  <v:stroke on="f"/>
                  <v:imagedata o:title=""/>
                  <o:lock v:ext="edit" aspectratio="f"/>
                  <v:textbox>
                    <w:txbxContent>
                      <w:p>
                        <w:pPr>
                          <w:jc w:val="center"/>
                        </w:pPr>
                        <w:r>
                          <w:rPr>
                            <w:rFonts w:hint="eastAsia"/>
                          </w:rPr>
                          <w:t>小组可控制</w:t>
                        </w:r>
                      </w:p>
                    </w:txbxContent>
                  </v:textbox>
                </v:shape>
                <v:shape id="文本框 10" o:spid="_x0000_s1026" o:spt="202" type="#_x0000_t202" style="position:absolute;left:4064001;top:937260;height:342900;width:1028700;" fillcolor="#FFFFFF" filled="t" stroked="t" coordsize="21600,21600" o:gfxdata="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C55y1gAAAAUBAAAPAAAA&#10;AAAAAAEAIAAAACIAAABkcnMvZG93bnJldi54bWxQSwECFAAUAAAACACHTuJASgHljRcCAABEBAAA&#10;DgAAAAAAAAABACAAAAAlAQAAZHJzL2Uyb0RvYy54bWxQSwUGAAAAAAYABgBZAQAArgUAAAAA&#10;">
                  <v:fill on="t" focussize="0,0"/>
                  <v:stroke color="#000000" joinstyle="miter"/>
                  <v:imagedata o:title=""/>
                  <o:lock v:ext="edit" aspectratio="f"/>
                  <v:textbox>
                    <w:txbxContent>
                      <w:p>
                        <w:pPr>
                          <w:jc w:val="center"/>
                        </w:pPr>
                        <w:r>
                          <w:rPr>
                            <w:rFonts w:hint="eastAsia"/>
                          </w:rPr>
                          <w:t>现场处置</w:t>
                        </w:r>
                      </w:p>
                    </w:txbxContent>
                  </v:textbox>
                </v:shape>
                <v:shape id="文本框 11" o:spid="_x0000_s1026" o:spt="202" type="#_x0000_t202" style="position:absolute;left:2826386;top:1297940;height:480695;width:1005205;" fillcolor="#FFFFFF" filled="t" stroked="f" coordsize="21600,21600" o:gfxdata="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QNlF1QAAAAUBAAAPAAAAAAAAAAEAIAAAACIAAABk&#10;cnMvZG93bnJldi54bWxQSwECFAAUAAAACACHTuJAdQDNVdABAACGAwAADgAAAAAAAAABACAAAAAk&#10;AQAAZHJzL2Uyb0RvYy54bWxQSwUGAAAAAAYABgBZAQAAZgUAAAAA&#10;">
                  <v:fill on="t" focussize="0,0"/>
                  <v:stroke on="f"/>
                  <v:imagedata o:title=""/>
                  <o:lock v:ext="edit" aspectratio="f"/>
                  <v:textbox>
                    <w:txbxContent>
                      <w:p>
                        <w:pPr>
                          <w:jc w:val="center"/>
                        </w:pPr>
                        <w:r>
                          <w:rPr>
                            <w:rFonts w:hint="eastAsia"/>
                          </w:rPr>
                          <w:t>事态超出小组控制范围</w:t>
                        </w:r>
                      </w:p>
                    </w:txbxContent>
                  </v:textbox>
                </v:shape>
                <v:shape id="文本框 12" o:spid="_x0000_s1026" o:spt="202" type="#_x0000_t202" style="position:absolute;left:2222500;top:916305;height:352425;width:1038225;" fillcolor="#FFFFFF" filled="t" stroked="t" coordsize="21600,21600" o:gfxdata="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oLnnLWAAAABQEAAA8AAAAAAAAA&#10;AQAgAAAAIgAAAGRycy9kb3ducmV2LnhtbFBLAQIUABQAAAAIAIdO4kBzTwq4EwIAAEQEAAAOAAAA&#10;AAAAAAEAIAAAACUBAABkcnMvZTJvRG9jLnhtbFBLBQYAAAAABgAGAFkBAACqBQAAAAA=&#10;">
                  <v:fill on="t" focussize="0,0"/>
                  <v:stroke color="#000000" joinstyle="miter"/>
                  <v:imagedata o:title=""/>
                  <o:lock v:ext="edit" aspectratio="f"/>
                  <v:textbox>
                    <w:txbxContent>
                      <w:p>
                        <w:pPr>
                          <w:jc w:val="center"/>
                        </w:pPr>
                        <w:r>
                          <w:rPr>
                            <w:rFonts w:hint="eastAsia"/>
                          </w:rPr>
                          <w:t>应急处置</w:t>
                        </w:r>
                      </w:p>
                    </w:txbxContent>
                  </v:textbox>
                </v:shape>
                <v:shape id="文本框 13" o:spid="_x0000_s1026" o:spt="202" type="#_x0000_t202" style="position:absolute;left:2232660;top:1889760;height:342900;width:1028700;" fillcolor="#FFFFFF" filled="t" stroked="t" coordsize="21600,21600" o:gfxdata="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C55y1gAAAAUBAAAPAAAA&#10;AAAAAAEAIAAAACIAAABkcnMvZG93bnJldi54bWxQSwECFAAUAAAACACHTuJAoQ9MuRcCAABFBAAA&#10;DgAAAAAAAAABACAAAAAlAQAAZHJzL2Uyb0RvYy54bWxQSwUGAAAAAAYABgBZAQAArgUAAAAA&#10;">
                  <v:fill on="t" focussize="0,0"/>
                  <v:stroke color="#000000" joinstyle="miter"/>
                  <v:imagedata o:title=""/>
                  <o:lock v:ext="edit" aspectratio="f"/>
                  <v:textbox>
                    <w:txbxContent>
                      <w:p>
                        <w:pPr>
                          <w:jc w:val="center"/>
                        </w:pPr>
                        <w:r>
                          <w:rPr>
                            <w:rFonts w:hint="eastAsia"/>
                          </w:rPr>
                          <w:t>向上级汇报</w:t>
                        </w:r>
                      </w:p>
                    </w:txbxContent>
                  </v:textbox>
                </v:shape>
                <v:line id="直接连接符 14" o:spid="_x0000_s1026" o:spt="20" style="position:absolute;left:2755901;top:2251075;height:304800;width:0;" filled="f" stroked="t" coordsize="21600,21600" o:gfxdata="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y7Jt9cAAAAFAQAADwAAAAAAAAABACAAAAAiAAAAZHJzL2Rv&#10;d25yZXYueG1sUEsBAhQAFAAAAAgAh07iQMClZ9oCAgAA5wMAAA4AAAAAAAAAAQAgAAAAJgEAAGRy&#10;cy9lMm9Eb2MueG1sUEsFBgAAAAAGAAYAWQEAAJoFAAAAAA==&#10;">
                  <v:fill on="f" focussize="0,0"/>
                  <v:stroke color="#000000" joinstyle="round" endarrow="open"/>
                  <v:imagedata o:title=""/>
                  <o:lock v:ext="edit" aspectratio="f"/>
                </v:line>
                <v:shape id="文本框 15" o:spid="_x0000_s1026" o:spt="202" type="#_x0000_t202" style="position:absolute;left:2253615;top:2567305;height:310515;width:1028700;" fillcolor="#FFFFFF" filled="t" stroked="t" coordsize="21600,21600" o:gfxdata="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oLnnLWAAAABQEAAA8A&#10;AAAAAAAAAQAgAAAAIgAAAGRycy9kb3ducmV2LnhtbFBLAQIUABQAAAAIAIdO4kDroIGPGQIAAEUE&#10;AAAOAAAAAAAAAAEAIAAAACUBAABkcnMvZTJvRG9jLnhtbFBLBQYAAAAABgAGAFkBAACwBQAAAAA=&#10;">
                  <v:fill on="t" focussize="0,0"/>
                  <v:stroke color="#000000" joinstyle="miter"/>
                  <v:imagedata o:title=""/>
                  <o:lock v:ext="edit" aspectratio="f"/>
                  <v:textbox>
                    <w:txbxContent>
                      <w:p>
                        <w:pPr>
                          <w:jc w:val="center"/>
                        </w:pPr>
                        <w:r>
                          <w:rPr>
                            <w:rFonts w:hint="eastAsia"/>
                          </w:rPr>
                          <w:t>请求厂内增援</w:t>
                        </w:r>
                      </w:p>
                    </w:txbxContent>
                  </v:textbox>
                </v:shape>
                <v:shape id="文本框 16" o:spid="_x0000_s1026" o:spt="202" type="#_x0000_t202" style="position:absolute;left:1089660;top:1583055;height:342900;width:1028700;" fillcolor="#FFFFFF" filled="t" stroked="t" coordsize="21600,21600" o:gfxdata="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guectYAAAAFAQAADwAAAAAA&#10;AAABACAAAAAiAAAAZHJzL2Rvd25yZXYueG1sUEsBAhQAFAAAAAgAh07iQIBAL1sVAgAARQQAAA4A&#10;AAAAAAAAAQAgAAAAJQEAAGRycy9lMm9Eb2MueG1sUEsFBgAAAAAGAAYAWQEAAKwFAAAAAA==&#10;">
                  <v:fill on="t" focussize="0,0"/>
                  <v:stroke color="#000000" joinstyle="miter"/>
                  <v:imagedata o:title=""/>
                  <o:lock v:ext="edit" aspectratio="f"/>
                  <v:textbox>
                    <w:txbxContent>
                      <w:p>
                        <w:pPr>
                          <w:jc w:val="center"/>
                        </w:pPr>
                        <w:r>
                          <w:rPr>
                            <w:rFonts w:hint="eastAsia"/>
                          </w:rPr>
                          <w:t>扩大应急</w:t>
                        </w:r>
                      </w:p>
                    </w:txbxContent>
                  </v:textbox>
                </v:shape>
                <v:shape id="肘形连接符 17" o:spid="_x0000_s1026" o:spt="33" type="#_x0000_t33" style="position:absolute;left:1603375;top:1925320;height:796925;width:649605;rotation:11796480f;" filled="f" stroked="t" coordsize="21600,21600" o:gfxdata="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gPr6tUAAAAFAQAA&#10;DwAAAAAAAAABACAAAAAiAAAAZHJzL2Rvd25yZXYueG1sUEsBAhQAFAAAAAgAh07iQL2gzYocAgAA&#10;DwQAAA4AAAAAAAAAAQAgAAAAJAEAAGRycy9lMm9Eb2MueG1sUEsFBgAAAAAGAAYAWQEAALIFAAAA&#10;AA==&#10;">
                  <v:fill on="f" focussize="0,0"/>
                  <v:stroke color="#000000" joinstyle="miter" endarrow="open"/>
                  <v:imagedata o:title=""/>
                  <o:lock v:ext="edit" aspectratio="f"/>
                </v:shape>
                <v:shape id="肘形连接符 18" o:spid="_x0000_s1026" o:spt="33" type="#_x0000_t33" style="position:absolute;left:1668145;top:1028700;height:618490;width:490220;rotation:-5898240f;" filled="f" stroked="t" coordsize="21600,21600" o:gfxdata="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RB+uh1gAAAAUB&#10;AAAPAAAAAAAAAAEAIAAAACIAAABkcnMvZG93bnJldi54bWxQSwECFAAUAAAACACHTuJAZXvm8x0C&#10;AAAPBAAADgAAAAAAAAABACAAAAAlAQAAZHJzL2Uyb0RvYy54bWxQSwUGAAAAAAYABgBZAQAAtAUA&#10;AAAA&#10;">
                  <v:fill on="f" focussize="0,0"/>
                  <v:stroke color="#000000" joinstyle="miter" endarrow="open"/>
                  <v:imagedata o:title=""/>
                  <o:lock v:ext="edit" aspectratio="f"/>
                </v:shape>
                <w10:wrap type="none"/>
                <w10:anchorlock/>
              </v:group>
            </w:pict>
          </mc:Fallback>
        </mc:AlternateContent>
      </w:r>
    </w:p>
    <w:p>
      <w:pPr>
        <w:adjustRightInd w:val="0"/>
        <w:snapToGrid w:val="0"/>
        <w:jc w:val="center"/>
        <w:rPr>
          <w:b/>
          <w:bCs/>
          <w:color w:val="auto"/>
          <w:szCs w:val="22"/>
          <w:highlight w:val="none"/>
        </w:rPr>
      </w:pPr>
      <w:r>
        <w:rPr>
          <w:b/>
          <w:bCs/>
          <w:color w:val="auto"/>
          <w:szCs w:val="22"/>
          <w:highlight w:val="none"/>
        </w:rPr>
        <w:t>图3.2  火灾事故应急处置流程图</w:t>
      </w:r>
    </w:p>
    <w:p>
      <w:pPr>
        <w:adjustRightInd w:val="0"/>
        <w:snapToGrid w:val="0"/>
        <w:spacing w:before="156" w:beforeLines="50" w:line="360" w:lineRule="auto"/>
        <w:ind w:firstLine="480" w:firstLineChars="200"/>
        <w:rPr>
          <w:color w:val="auto"/>
          <w:highlight w:val="none"/>
        </w:rPr>
      </w:pPr>
      <w:r>
        <w:rPr>
          <w:color w:val="auto"/>
          <w:highlight w:val="none"/>
        </w:rPr>
        <w:t>发生火灾事故后，启动应急预案，应急处置小组负责人立即进行应急处置，若事态可控制，现场处置完后，应急结束；若事态超出小组控制范围，立即向上级汇报，请求厂内增援进行应急处置。</w:t>
      </w:r>
    </w:p>
    <w:p>
      <w:pPr>
        <w:pStyle w:val="5"/>
        <w:rPr>
          <w:color w:val="auto"/>
          <w:highlight w:val="none"/>
        </w:rPr>
      </w:pPr>
      <w:bookmarkStart w:id="249" w:name="_Toc31094"/>
      <w:r>
        <w:rPr>
          <w:color w:val="auto"/>
          <w:highlight w:val="none"/>
        </w:rPr>
        <w:t>3.5 应急处置措施</w:t>
      </w:r>
      <w:bookmarkEnd w:id="249"/>
    </w:p>
    <w:p>
      <w:pPr>
        <w:adjustRightInd w:val="0"/>
        <w:snapToGrid w:val="0"/>
        <w:spacing w:line="360" w:lineRule="auto"/>
        <w:ind w:firstLine="480" w:firstLineChars="200"/>
        <w:rPr>
          <w:color w:val="auto"/>
          <w:highlight w:val="none"/>
        </w:rPr>
      </w:pPr>
      <w:r>
        <w:rPr>
          <w:color w:val="auto"/>
          <w:highlight w:val="none"/>
        </w:rPr>
        <w:t>（1）根据泄漏事故现场侦察和了解的情况，及时确定警戒范围，设立警戒标志，布置警戒人员，控制无关人员和机动车辆出入泄漏事故现场。迅速撤离警戒区内非救援人员，并做好疏散人员的清点、登记工作，指挥应急物资进入指定地点。对于相关救援人员必须配备必要的防护工具。紧急事态抢救或逃生时，建议佩带自给式呼吸器。</w:t>
      </w:r>
    </w:p>
    <w:p>
      <w:pPr>
        <w:adjustRightInd w:val="0"/>
        <w:snapToGrid w:val="0"/>
        <w:spacing w:line="360" w:lineRule="auto"/>
        <w:ind w:firstLine="480" w:firstLineChars="200"/>
        <w:rPr>
          <w:color w:val="auto"/>
          <w:highlight w:val="none"/>
        </w:rPr>
      </w:pPr>
      <w:r>
        <w:rPr>
          <w:color w:val="auto"/>
          <w:highlight w:val="none"/>
        </w:rPr>
        <w:t>（2）物料泄漏，应严禁火种、切断电源、禁止车辆进入，设置隔离区，封闭事故现场。</w:t>
      </w:r>
    </w:p>
    <w:p>
      <w:pPr>
        <w:adjustRightInd w:val="0"/>
        <w:snapToGrid w:val="0"/>
        <w:spacing w:line="360" w:lineRule="auto"/>
        <w:ind w:firstLine="480" w:firstLineChars="200"/>
        <w:rPr>
          <w:color w:val="auto"/>
          <w:highlight w:val="none"/>
        </w:rPr>
      </w:pPr>
      <w:r>
        <w:rPr>
          <w:color w:val="auto"/>
          <w:highlight w:val="none"/>
        </w:rPr>
        <w:t>（3）若泄漏危险化学品等是有毒的，应使用专用防护服装、空气呼吸器。根据有毒监测情况设定隔离区，封闭事故现场。大量泄漏，人员应紧急疏散，根据风向，撤离至指定的安全地点后清点人数。</w:t>
      </w:r>
    </w:p>
    <w:p>
      <w:pPr>
        <w:adjustRightInd w:val="0"/>
        <w:snapToGrid w:val="0"/>
        <w:spacing w:line="360" w:lineRule="auto"/>
        <w:ind w:firstLine="480" w:firstLineChars="200"/>
        <w:rPr>
          <w:color w:val="auto"/>
          <w:highlight w:val="none"/>
        </w:rPr>
      </w:pPr>
      <w:r>
        <w:rPr>
          <w:color w:val="auto"/>
          <w:highlight w:val="none"/>
        </w:rPr>
        <w:t>（4）控制泄漏源，防止次生灾害发生。采用合适的材料和技术手段堵住泄漏处。</w:t>
      </w:r>
    </w:p>
    <w:p>
      <w:pPr>
        <w:adjustRightInd w:val="0"/>
        <w:snapToGrid w:val="0"/>
        <w:spacing w:line="360" w:lineRule="auto"/>
        <w:ind w:firstLine="480" w:firstLineChars="200"/>
        <w:rPr>
          <w:color w:val="auto"/>
          <w:highlight w:val="none"/>
        </w:rPr>
      </w:pPr>
      <w:r>
        <w:rPr>
          <w:color w:val="auto"/>
          <w:highlight w:val="none"/>
        </w:rPr>
        <w:t>（5）堵漏</w:t>
      </w:r>
    </w:p>
    <w:p>
      <w:pPr>
        <w:adjustRightInd w:val="0"/>
        <w:snapToGrid w:val="0"/>
        <w:spacing w:line="360" w:lineRule="auto"/>
        <w:ind w:firstLine="480" w:firstLineChars="200"/>
        <w:rPr>
          <w:color w:val="auto"/>
          <w:highlight w:val="none"/>
        </w:rPr>
      </w:pPr>
      <w:r>
        <w:rPr>
          <w:color w:val="auto"/>
          <w:highlight w:val="none"/>
        </w:rPr>
        <w:t>①根据现场泄漏情况，研究制定堵漏方案，并严格按照堵漏方案实施；</w:t>
      </w:r>
    </w:p>
    <w:p>
      <w:pPr>
        <w:adjustRightInd w:val="0"/>
        <w:snapToGrid w:val="0"/>
        <w:spacing w:line="360" w:lineRule="auto"/>
        <w:ind w:firstLine="480" w:firstLineChars="200"/>
        <w:rPr>
          <w:color w:val="auto"/>
          <w:highlight w:val="none"/>
        </w:rPr>
      </w:pPr>
      <w:r>
        <w:rPr>
          <w:color w:val="auto"/>
          <w:highlight w:val="none"/>
        </w:rPr>
        <w:t>②所有堵漏行动必须采取防爆措施，确保安全；</w:t>
      </w:r>
    </w:p>
    <w:p>
      <w:pPr>
        <w:adjustRightInd w:val="0"/>
        <w:snapToGrid w:val="0"/>
        <w:spacing w:line="360" w:lineRule="auto"/>
        <w:ind w:firstLine="480" w:firstLineChars="200"/>
        <w:rPr>
          <w:color w:val="auto"/>
          <w:highlight w:val="none"/>
        </w:rPr>
      </w:pPr>
      <w:r>
        <w:rPr>
          <w:color w:val="auto"/>
          <w:highlight w:val="none"/>
        </w:rPr>
        <w:t>③企业主要使用金属桶储存液体原辅料，使用外封式堵漏袋、粘贴式堵漏密封胶等进行堵漏。</w:t>
      </w:r>
    </w:p>
    <w:p>
      <w:pPr>
        <w:pStyle w:val="3"/>
        <w:numPr>
          <w:ilvl w:val="0"/>
          <w:numId w:val="0"/>
        </w:numPr>
        <w:ind w:left="480" w:leftChars="200"/>
        <w:rPr>
          <w:color w:val="auto"/>
          <w:highlight w:val="none"/>
        </w:rPr>
      </w:pPr>
      <w:r>
        <w:rPr>
          <w:color w:val="auto"/>
          <w:highlight w:val="none"/>
        </w:rPr>
        <w:t>（6）火灾处理</w:t>
      </w:r>
    </w:p>
    <w:p>
      <w:pPr>
        <w:spacing w:line="360" w:lineRule="auto"/>
        <w:ind w:firstLine="480" w:firstLineChars="200"/>
        <w:rPr>
          <w:color w:val="auto"/>
          <w:highlight w:val="none"/>
        </w:rPr>
      </w:pPr>
      <w:r>
        <w:rPr>
          <w:color w:val="auto"/>
          <w:highlight w:val="none"/>
        </w:rPr>
        <w:t>①落实火灾危险区域隔离措施，仓库内物品迅速转移，切断火势蔓延的途径，控制燃烧范围。</w:t>
      </w:r>
    </w:p>
    <w:p>
      <w:pPr>
        <w:spacing w:line="360" w:lineRule="auto"/>
        <w:ind w:firstLine="480" w:firstLineChars="200"/>
        <w:rPr>
          <w:color w:val="auto"/>
          <w:highlight w:val="none"/>
        </w:rPr>
      </w:pPr>
      <w:r>
        <w:rPr>
          <w:color w:val="auto"/>
          <w:highlight w:val="none"/>
        </w:rPr>
        <w:t>②现场人员可以用湿口罩、湿毛巾等捂住口鼻，将身体尽量贴近地面行走或爬行穿过危险区向安全地带疏散，如果门窗、通道等出口已被烟火封住，被困人员可向头部、身上浇水或用湿毛巾湿被单将头部包好再进行疏散。</w:t>
      </w:r>
    </w:p>
    <w:p>
      <w:pPr>
        <w:spacing w:line="360" w:lineRule="auto"/>
        <w:ind w:firstLine="480" w:firstLineChars="200"/>
        <w:rPr>
          <w:color w:val="auto"/>
          <w:highlight w:val="none"/>
        </w:rPr>
      </w:pPr>
      <w:r>
        <w:rPr>
          <w:color w:val="auto"/>
          <w:highlight w:val="none"/>
        </w:rPr>
        <w:t>③据储存物品的特性和储存情况，采取针对性灭火措施，扑救人员必须佩戴个人防护面具，防止因吸入烟气导致中毒窒息。</w:t>
      </w:r>
    </w:p>
    <w:p>
      <w:pPr>
        <w:spacing w:line="360" w:lineRule="auto"/>
        <w:ind w:firstLine="480" w:firstLineChars="200"/>
        <w:rPr>
          <w:color w:val="auto"/>
          <w:highlight w:val="none"/>
        </w:rPr>
      </w:pPr>
      <w:r>
        <w:rPr>
          <w:color w:val="auto"/>
          <w:highlight w:val="none"/>
        </w:rPr>
        <w:t>④灭火时，应手提灭火器快速奔赴火场，在离燃烧区5米左右时放下灭火器；使用前，先将灭火器上下颠倒几次，使干粉预先松动，喷射时，要将喷射嘴对准火焰根部左右摆动，由近及远，快速推进，不流残火，以防复燃。在扑救油类等液体火灾时，不要直接冲击液面，防止液体溅出，若在室外应从上风处向下风方向喷射。</w:t>
      </w:r>
    </w:p>
    <w:p>
      <w:pPr>
        <w:spacing w:line="360" w:lineRule="auto"/>
        <w:ind w:firstLine="480" w:firstLineChars="200"/>
        <w:rPr>
          <w:color w:val="auto"/>
          <w:highlight w:val="none"/>
        </w:rPr>
      </w:pPr>
      <w:r>
        <w:rPr>
          <w:color w:val="auto"/>
          <w:highlight w:val="none"/>
        </w:rPr>
        <w:t>⑤当人员衣物着火时应迅速脱去或用水等各种物体扑盖灭火。切忌盲目站立或奔跑呼救，以防头面部及呼吸道灼伤。如有人员烧伤时，快速将伤员撤离火灾现场，面积较小的烫伤可用大量冷水冲洗至少30分钟，保护好烧伤创面，尽量避免污染，有利于以后的院内治疗；面积较大或程度较深的烫伤应以干净的纱布敷盖患部简单包扎，尽快转送医院或拨打120。</w:t>
      </w:r>
    </w:p>
    <w:p>
      <w:pPr>
        <w:spacing w:line="360" w:lineRule="auto"/>
        <w:ind w:firstLine="480" w:firstLineChars="200"/>
        <w:rPr>
          <w:color w:val="auto"/>
          <w:highlight w:val="none"/>
        </w:rPr>
      </w:pPr>
      <w:r>
        <w:rPr>
          <w:color w:val="auto"/>
          <w:highlight w:val="none"/>
        </w:rPr>
        <w:t>⑥如有在救援过程中发生中毒、窒息的人员，立即将伤者撤离到到通风良好的安全地带，给予氧气吸入；如呼吸心跳骤停者立即给予胸外心脏按压或人工呼吸，直到病人清醒或医院、医疗组接手为止。</w:t>
      </w:r>
    </w:p>
    <w:p>
      <w:pPr>
        <w:rPr>
          <w:color w:val="auto"/>
          <w:highlight w:val="none"/>
        </w:rPr>
      </w:pPr>
      <w:r>
        <w:rPr>
          <w:color w:val="auto"/>
          <w:highlight w:val="none"/>
        </w:rPr>
        <w:br w:type="page"/>
      </w:r>
    </w:p>
    <w:p>
      <w:pPr>
        <w:pStyle w:val="4"/>
        <w:numPr>
          <w:ilvl w:val="0"/>
          <w:numId w:val="8"/>
        </w:numPr>
        <w:jc w:val="center"/>
        <w:rPr>
          <w:color w:val="auto"/>
          <w:sz w:val="36"/>
          <w:szCs w:val="48"/>
          <w:highlight w:val="none"/>
        </w:rPr>
      </w:pPr>
      <w:r>
        <w:rPr>
          <w:color w:val="auto"/>
          <w:sz w:val="36"/>
          <w:szCs w:val="48"/>
          <w:highlight w:val="none"/>
        </w:rPr>
        <w:t xml:space="preserve"> </w:t>
      </w:r>
      <w:bookmarkStart w:id="250" w:name="_Toc20234"/>
      <w:r>
        <w:rPr>
          <w:color w:val="auto"/>
          <w:sz w:val="36"/>
          <w:szCs w:val="48"/>
          <w:highlight w:val="none"/>
        </w:rPr>
        <w:t>现场处置方案</w:t>
      </w:r>
      <w:bookmarkEnd w:id="250"/>
    </w:p>
    <w:p>
      <w:pPr>
        <w:pStyle w:val="4"/>
        <w:rPr>
          <w:color w:val="auto"/>
          <w:highlight w:val="none"/>
        </w:rPr>
      </w:pPr>
      <w:bookmarkStart w:id="251" w:name="_Toc6743"/>
      <w:r>
        <w:rPr>
          <w:color w:val="auto"/>
          <w:highlight w:val="none"/>
        </w:rPr>
        <w:t>1 总体要求</w:t>
      </w:r>
      <w:bookmarkEnd w:id="251"/>
    </w:p>
    <w:p>
      <w:pPr>
        <w:spacing w:line="360" w:lineRule="auto"/>
        <w:ind w:firstLine="480" w:firstLineChars="200"/>
        <w:rPr>
          <w:color w:val="auto"/>
          <w:highlight w:val="none"/>
        </w:rPr>
      </w:pPr>
      <w:r>
        <w:rPr>
          <w:color w:val="auto"/>
          <w:highlight w:val="none"/>
        </w:rPr>
        <w:t>公司针对原辅材料、危险固废中可燃化学物质发生</w:t>
      </w:r>
      <w:r>
        <w:rPr>
          <w:rFonts w:hint="eastAsia"/>
          <w:color w:val="auto"/>
          <w:highlight w:val="none"/>
          <w:lang w:val="en-US" w:eastAsia="zh-CN"/>
        </w:rPr>
        <w:t>泄漏、</w:t>
      </w:r>
      <w:r>
        <w:rPr>
          <w:color w:val="auto"/>
          <w:highlight w:val="none"/>
        </w:rPr>
        <w:t>火灾突发环境事件制定的现场处置方案，包括突发环境事件特征、应急组织机构、应急处置程序、应急处置措施等。</w:t>
      </w:r>
    </w:p>
    <w:p>
      <w:pPr>
        <w:pStyle w:val="4"/>
        <w:rPr>
          <w:color w:val="auto"/>
          <w:highlight w:val="none"/>
        </w:rPr>
      </w:pPr>
      <w:bookmarkStart w:id="252" w:name="_Toc5059"/>
      <w:r>
        <w:rPr>
          <w:color w:val="auto"/>
          <w:highlight w:val="none"/>
        </w:rPr>
        <w:t>2 环境风险单元特征</w:t>
      </w:r>
      <w:bookmarkEnd w:id="252"/>
    </w:p>
    <w:p>
      <w:pPr>
        <w:adjustRightInd w:val="0"/>
        <w:snapToGrid w:val="0"/>
        <w:spacing w:line="360" w:lineRule="auto"/>
        <w:ind w:firstLine="480" w:firstLineChars="200"/>
        <w:rPr>
          <w:color w:val="auto"/>
          <w:highlight w:val="none"/>
        </w:rPr>
      </w:pPr>
      <w:r>
        <w:rPr>
          <w:color w:val="auto"/>
          <w:highlight w:val="none"/>
        </w:rPr>
        <w:t>公司主要风险单元为</w:t>
      </w:r>
      <w:r>
        <w:rPr>
          <w:rFonts w:hint="eastAsia"/>
          <w:color w:val="auto"/>
          <w:highlight w:val="none"/>
          <w:lang w:val="en-US" w:eastAsia="zh-CN"/>
        </w:rPr>
        <w:t>生产车间、酸性库、危废仓库等</w:t>
      </w:r>
      <w:r>
        <w:rPr>
          <w:color w:val="auto"/>
          <w:highlight w:val="none"/>
        </w:rPr>
        <w:t>，可能发生的事故情景如下：</w:t>
      </w:r>
    </w:p>
    <w:p>
      <w:pPr>
        <w:adjustRightInd w:val="0"/>
        <w:snapToGrid w:val="0"/>
        <w:jc w:val="center"/>
        <w:rPr>
          <w:b/>
          <w:color w:val="auto"/>
          <w:highlight w:val="none"/>
        </w:rPr>
      </w:pPr>
      <w:r>
        <w:rPr>
          <w:b/>
          <w:color w:val="auto"/>
          <w:highlight w:val="none"/>
        </w:rPr>
        <w:t>表</w:t>
      </w:r>
      <w:r>
        <w:rPr>
          <w:rFonts w:hint="eastAsia"/>
          <w:b/>
          <w:color w:val="auto"/>
          <w:highlight w:val="none"/>
        </w:rPr>
        <w:t>1</w:t>
      </w:r>
      <w:r>
        <w:rPr>
          <w:b/>
          <w:color w:val="auto"/>
          <w:highlight w:val="none"/>
        </w:rPr>
        <w:t xml:space="preserve"> </w:t>
      </w:r>
      <w:r>
        <w:rPr>
          <w:b/>
          <w:bCs/>
          <w:color w:val="auto"/>
          <w:highlight w:val="none"/>
        </w:rPr>
        <w:t>公司风险单元可能发生的事故情景</w:t>
      </w:r>
    </w:p>
    <w:tbl>
      <w:tblPr>
        <w:tblStyle w:val="20"/>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1"/>
        <w:gridCol w:w="1050"/>
        <w:gridCol w:w="1219"/>
        <w:gridCol w:w="1120"/>
        <w:gridCol w:w="469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9" w:type="pct"/>
            <w:noWrap w:val="0"/>
            <w:vAlign w:val="center"/>
          </w:tcPr>
          <w:p>
            <w:pPr>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序号</w:t>
            </w:r>
          </w:p>
        </w:tc>
        <w:tc>
          <w:tcPr>
            <w:tcW w:w="616" w:type="pct"/>
            <w:noWrap w:val="0"/>
            <w:vAlign w:val="center"/>
          </w:tcPr>
          <w:p>
            <w:pPr>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事故类型</w:t>
            </w:r>
          </w:p>
        </w:tc>
        <w:tc>
          <w:tcPr>
            <w:tcW w:w="715" w:type="pct"/>
            <w:noWrap w:val="0"/>
            <w:vAlign w:val="center"/>
          </w:tcPr>
          <w:p>
            <w:pPr>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环境风险危险源</w:t>
            </w:r>
          </w:p>
        </w:tc>
        <w:tc>
          <w:tcPr>
            <w:tcW w:w="657" w:type="pct"/>
            <w:noWrap w:val="0"/>
            <w:vAlign w:val="center"/>
          </w:tcPr>
          <w:p>
            <w:pPr>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主要危险物质</w:t>
            </w:r>
          </w:p>
        </w:tc>
        <w:tc>
          <w:tcPr>
            <w:tcW w:w="2752" w:type="pct"/>
            <w:noWrap w:val="0"/>
            <w:vAlign w:val="center"/>
          </w:tcPr>
          <w:p>
            <w:pPr>
              <w:jc w:val="center"/>
              <w:rPr>
                <w:rFonts w:hint="default" w:ascii="Times New Roman" w:hAnsi="Times New Roman" w:cs="Times New Roman"/>
                <w:b/>
                <w:color w:val="auto"/>
                <w:kern w:val="0"/>
                <w:sz w:val="21"/>
                <w:szCs w:val="21"/>
                <w:highlight w:val="none"/>
              </w:rPr>
            </w:pPr>
            <w:r>
              <w:rPr>
                <w:rFonts w:hint="default" w:ascii="Times New Roman" w:hAnsi="Times New Roman" w:cs="Times New Roman"/>
                <w:b/>
                <w:color w:val="auto"/>
                <w:kern w:val="0"/>
                <w:sz w:val="21"/>
                <w:szCs w:val="21"/>
                <w:highlight w:val="none"/>
              </w:rPr>
              <w:t>可能引发或次生突发环境事件情景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59" w:type="pct"/>
            <w:vMerge w:val="restart"/>
            <w:noWrap w:val="0"/>
            <w:vAlign w:val="center"/>
          </w:tcPr>
          <w:p>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sz w:val="21"/>
                <w:szCs w:val="21"/>
                <w:highlight w:val="none"/>
              </w:rPr>
              <w:t>事件1</w:t>
            </w:r>
          </w:p>
        </w:tc>
        <w:tc>
          <w:tcPr>
            <w:tcW w:w="616" w:type="pct"/>
            <w:vMerge w:val="restart"/>
            <w:noWrap w:val="0"/>
            <w:vAlign w:val="center"/>
          </w:tcPr>
          <w:p>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泄漏、火灾</w:t>
            </w:r>
          </w:p>
        </w:tc>
        <w:tc>
          <w:tcPr>
            <w:tcW w:w="715" w:type="pct"/>
            <w:noWrap w:val="0"/>
            <w:vAlign w:val="center"/>
          </w:tcPr>
          <w:p>
            <w:pPr>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生产车间</w:t>
            </w:r>
          </w:p>
        </w:tc>
        <w:tc>
          <w:tcPr>
            <w:tcW w:w="657" w:type="pct"/>
            <w:noWrap w:val="0"/>
            <w:vAlign w:val="center"/>
          </w:tcPr>
          <w:p>
            <w:pPr>
              <w:keepNext w:val="0"/>
              <w:keepLines w:val="0"/>
              <w:pageBreakBefore w:val="0"/>
              <w:kinsoku/>
              <w:wordWrap/>
              <w:overflowPunct/>
              <w:topLinePunct w:val="0"/>
              <w:autoSpaceDE/>
              <w:autoSpaceDN/>
              <w:bidi w:val="0"/>
              <w:adjustRightInd w:val="0"/>
              <w:snapToGrid w:val="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镀铬起镀液、</w:t>
            </w:r>
            <w:r>
              <w:rPr>
                <w:rFonts w:hint="default" w:ascii="Times New Roman" w:hAnsi="Times New Roman" w:eastAsia="宋体" w:cs="Times New Roman"/>
                <w:color w:val="auto"/>
                <w:sz w:val="21"/>
                <w:szCs w:val="21"/>
                <w:highlight w:val="none"/>
                <w:lang w:val="en-US" w:eastAsia="zh-CN"/>
              </w:rPr>
              <w:t>脱脂剂</w:t>
            </w:r>
          </w:p>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（喷淋清洁剂）</w:t>
            </w:r>
          </w:p>
        </w:tc>
        <w:tc>
          <w:tcPr>
            <w:tcW w:w="2752" w:type="pct"/>
            <w:noWrap w:val="0"/>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fldChar w:fldCharType="begin"/>
            </w:r>
            <w:r>
              <w:rPr>
                <w:rFonts w:hint="default" w:ascii="Times New Roman" w:hAnsi="Times New Roman" w:eastAsia="宋体" w:cs="Times New Roman"/>
                <w:color w:val="auto"/>
                <w:kern w:val="0"/>
                <w:sz w:val="21"/>
                <w:szCs w:val="21"/>
                <w:highlight w:val="none"/>
                <w:lang w:val="en-US" w:eastAsia="zh-CN" w:bidi="ar-SA"/>
              </w:rPr>
              <w:instrText xml:space="preserve"> = 1 \* GB3 </w:instrText>
            </w:r>
            <w:r>
              <w:rPr>
                <w:rFonts w:hint="default" w:ascii="Times New Roman" w:hAnsi="Times New Roman" w:eastAsia="宋体" w:cs="Times New Roman"/>
                <w:color w:val="auto"/>
                <w:kern w:val="0"/>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①</w:t>
            </w:r>
            <w:r>
              <w:rPr>
                <w:rFonts w:hint="default" w:ascii="Times New Roman" w:hAnsi="Times New Roman" w:eastAsia="宋体" w:cs="Times New Roman"/>
                <w:color w:val="auto"/>
                <w:kern w:val="0"/>
                <w:sz w:val="21"/>
                <w:szCs w:val="21"/>
                <w:highlight w:val="none"/>
                <w:lang w:val="en-US" w:eastAsia="zh-CN" w:bidi="ar-SA"/>
              </w:rPr>
              <w:fldChar w:fldCharType="end"/>
            </w:r>
            <w:r>
              <w:rPr>
                <w:rFonts w:hint="eastAsia" w:ascii="Times New Roman" w:hAnsi="Times New Roman" w:eastAsia="宋体" w:cs="Times New Roman"/>
                <w:color w:val="auto"/>
                <w:kern w:val="0"/>
                <w:sz w:val="21"/>
                <w:szCs w:val="21"/>
                <w:highlight w:val="none"/>
                <w:lang w:val="en-US" w:eastAsia="zh-CN" w:bidi="ar-SA"/>
              </w:rPr>
              <w:t>镀铬起镀液、</w:t>
            </w:r>
            <w:r>
              <w:rPr>
                <w:rFonts w:hint="default" w:ascii="Times New Roman" w:hAnsi="Times New Roman" w:eastAsia="宋体" w:cs="Times New Roman"/>
                <w:color w:val="auto"/>
                <w:kern w:val="0"/>
                <w:sz w:val="21"/>
                <w:szCs w:val="21"/>
                <w:highlight w:val="none"/>
                <w:lang w:val="en-US" w:eastAsia="zh-CN" w:bidi="ar-SA"/>
              </w:rPr>
              <w:t>脱脂剂（喷淋清洁剂）、含重金属废水泄漏，从雨水市政管网排入附近河流，影响周围水环境</w:t>
            </w:r>
            <w:r>
              <w:rPr>
                <w:rFonts w:hint="eastAsia" w:ascii="Times New Roman" w:hAnsi="Times New Roman" w:eastAsia="宋体" w:cs="Times New Roman"/>
                <w:color w:val="auto"/>
                <w:kern w:val="0"/>
                <w:sz w:val="21"/>
                <w:szCs w:val="21"/>
                <w:highlight w:val="none"/>
                <w:lang w:val="en-US" w:eastAsia="zh-CN" w:bidi="ar-SA"/>
              </w:rPr>
              <w:t>；</w:t>
            </w:r>
          </w:p>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②渗漏至地面土壤环境中，富集沉淀，影响土壤pH值、重金属超标，影响土壤环境；</w:t>
            </w:r>
          </w:p>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③</w:t>
            </w:r>
            <w:r>
              <w:rPr>
                <w:rFonts w:hint="eastAsia" w:ascii="Times New Roman" w:hAnsi="Times New Roman" w:eastAsia="宋体" w:cs="Times New Roman"/>
                <w:color w:val="auto"/>
                <w:kern w:val="0"/>
                <w:sz w:val="21"/>
                <w:szCs w:val="21"/>
                <w:highlight w:val="none"/>
                <w:lang w:val="en-US" w:eastAsia="zh-CN" w:bidi="ar-SA"/>
              </w:rPr>
              <w:t>镀铬起镀液</w:t>
            </w:r>
            <w:r>
              <w:rPr>
                <w:rFonts w:hint="default" w:ascii="Times New Roman" w:hAnsi="Times New Roman" w:eastAsia="宋体" w:cs="Times New Roman"/>
                <w:color w:val="auto"/>
                <w:kern w:val="0"/>
                <w:sz w:val="21"/>
                <w:szCs w:val="21"/>
                <w:highlight w:val="none"/>
                <w:lang w:val="en-US" w:eastAsia="zh-CN" w:bidi="ar-SA"/>
              </w:rPr>
              <w:t>泄漏，挥发</w:t>
            </w:r>
            <w:r>
              <w:rPr>
                <w:rFonts w:hint="eastAsia" w:ascii="Times New Roman" w:hAnsi="Times New Roman" w:eastAsia="宋体" w:cs="Times New Roman"/>
                <w:color w:val="auto"/>
                <w:kern w:val="0"/>
                <w:sz w:val="21"/>
                <w:szCs w:val="21"/>
                <w:highlight w:val="none"/>
                <w:lang w:val="en-US" w:eastAsia="zh-CN" w:bidi="ar-SA"/>
              </w:rPr>
              <w:t>产生铬酸雾</w:t>
            </w:r>
            <w:r>
              <w:rPr>
                <w:rFonts w:hint="default" w:ascii="Times New Roman" w:hAnsi="Times New Roman" w:eastAsia="宋体" w:cs="Times New Roman"/>
                <w:color w:val="auto"/>
                <w:kern w:val="0"/>
                <w:sz w:val="21"/>
                <w:szCs w:val="21"/>
                <w:highlight w:val="none"/>
                <w:lang w:val="en-US" w:eastAsia="zh-CN" w:bidi="ar-SA"/>
              </w:rPr>
              <w:t>气体，污染空气。</w:t>
            </w:r>
          </w:p>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④</w:t>
            </w:r>
            <w:r>
              <w:rPr>
                <w:rFonts w:hint="default" w:ascii="Times New Roman" w:hAnsi="Times New Roman" w:eastAsia="宋体" w:cs="Times New Roman"/>
                <w:color w:val="auto"/>
                <w:kern w:val="0"/>
                <w:sz w:val="21"/>
                <w:szCs w:val="21"/>
                <w:highlight w:val="none"/>
                <w:lang w:val="en-US" w:eastAsia="zh-CN" w:bidi="ar-SA"/>
              </w:rPr>
              <w:t>因其他区域原因，导致火灾事故；</w:t>
            </w:r>
          </w:p>
          <w:p>
            <w:pPr>
              <w:keepNext w:val="0"/>
              <w:keepLines w:val="0"/>
              <w:pageBreakBefore w:val="0"/>
              <w:kinsoku/>
              <w:wordWrap/>
              <w:overflowPunct/>
              <w:topLinePunct w:val="0"/>
              <w:autoSpaceDE/>
              <w:autoSpaceDN/>
              <w:bidi w:val="0"/>
              <w:adjustRightInd w:val="0"/>
              <w:snapToGrid w:val="0"/>
              <w:jc w:val="left"/>
              <w:rPr>
                <w:rFonts w:hint="default"/>
                <w:color w:val="auto"/>
                <w:sz w:val="21"/>
                <w:szCs w:val="21"/>
                <w:highlight w:val="none"/>
              </w:rPr>
            </w:pPr>
            <w:r>
              <w:rPr>
                <w:rFonts w:hint="eastAsia" w:ascii="Times New Roman" w:hAnsi="Times New Roman" w:eastAsia="宋体" w:cs="Times New Roman"/>
                <w:color w:val="auto"/>
                <w:kern w:val="0"/>
                <w:sz w:val="21"/>
                <w:szCs w:val="21"/>
                <w:highlight w:val="none"/>
                <w:lang w:val="en-US" w:eastAsia="zh-CN" w:bidi="ar-SA"/>
              </w:rPr>
              <w:t>⑤</w:t>
            </w:r>
            <w:r>
              <w:rPr>
                <w:rFonts w:hint="default" w:ascii="Times New Roman" w:hAnsi="Times New Roman" w:eastAsia="宋体" w:cs="Times New Roman"/>
                <w:color w:val="auto"/>
                <w:kern w:val="0"/>
                <w:sz w:val="21"/>
                <w:szCs w:val="21"/>
                <w:highlight w:val="none"/>
                <w:lang w:val="en-US" w:eastAsia="zh-CN" w:bidi="ar-SA"/>
              </w:rPr>
              <w:t>次生、衍生影响：引燃周围可燃物质；泄漏废液、消防废水、消防土收集不当对外环境的影响；燃烧产物一氧化碳、二氧化碳、氮氧化物、烟尘等对大气环境的影响；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09" w:hRule="atLeast"/>
        </w:trPr>
        <w:tc>
          <w:tcPr>
            <w:tcW w:w="259" w:type="pct"/>
            <w:vMerge w:val="continue"/>
            <w:noWrap w:val="0"/>
            <w:vAlign w:val="center"/>
          </w:tcPr>
          <w:p>
            <w:pPr>
              <w:jc w:val="center"/>
              <w:rPr>
                <w:rFonts w:hint="default" w:ascii="Times New Roman" w:hAnsi="Times New Roman" w:cs="Times New Roman"/>
                <w:color w:val="auto"/>
                <w:sz w:val="21"/>
                <w:szCs w:val="21"/>
                <w:highlight w:val="none"/>
              </w:rPr>
            </w:pPr>
          </w:p>
        </w:tc>
        <w:tc>
          <w:tcPr>
            <w:tcW w:w="616" w:type="pct"/>
            <w:vMerge w:val="continue"/>
            <w:noWrap w:val="0"/>
            <w:vAlign w:val="center"/>
          </w:tcPr>
          <w:p>
            <w:pPr>
              <w:jc w:val="center"/>
              <w:rPr>
                <w:rFonts w:hint="default" w:ascii="Times New Roman" w:hAnsi="Times New Roman" w:cs="Times New Roman"/>
                <w:color w:val="auto"/>
                <w:kern w:val="0"/>
                <w:sz w:val="21"/>
                <w:szCs w:val="21"/>
                <w:highlight w:val="none"/>
              </w:rPr>
            </w:pPr>
          </w:p>
        </w:tc>
        <w:tc>
          <w:tcPr>
            <w:tcW w:w="715" w:type="pct"/>
            <w:noWrap w:val="0"/>
            <w:vAlign w:val="center"/>
          </w:tcPr>
          <w:p>
            <w:pPr>
              <w:jc w:val="center"/>
              <w:rPr>
                <w:rFonts w:hint="eastAsia"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酸性库</w:t>
            </w:r>
          </w:p>
        </w:tc>
        <w:tc>
          <w:tcPr>
            <w:tcW w:w="657" w:type="pct"/>
            <w:noWrap w:val="0"/>
            <w:vAlign w:val="center"/>
          </w:tcPr>
          <w:p>
            <w:pPr>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硫酸、盐酸、镀铬起镀液</w:t>
            </w:r>
          </w:p>
        </w:tc>
        <w:tc>
          <w:tcPr>
            <w:tcW w:w="2752" w:type="pct"/>
            <w:noWrap w:val="0"/>
            <w:vAlign w:val="center"/>
          </w:tcPr>
          <w:p>
            <w:pPr>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fldChar w:fldCharType="begin"/>
            </w:r>
            <w:r>
              <w:rPr>
                <w:rFonts w:hint="default" w:ascii="Times New Roman" w:hAnsi="Times New Roman" w:eastAsia="宋体" w:cs="Times New Roman"/>
                <w:color w:val="auto"/>
                <w:kern w:val="0"/>
                <w:sz w:val="21"/>
                <w:szCs w:val="21"/>
                <w:highlight w:val="none"/>
                <w:lang w:val="en-US" w:eastAsia="zh-CN" w:bidi="ar-SA"/>
              </w:rPr>
              <w:instrText xml:space="preserve"> = 1 \* GB3 </w:instrText>
            </w:r>
            <w:r>
              <w:rPr>
                <w:rFonts w:hint="default" w:ascii="Times New Roman" w:hAnsi="Times New Roman" w:eastAsia="宋体" w:cs="Times New Roman"/>
                <w:color w:val="auto"/>
                <w:kern w:val="0"/>
                <w:sz w:val="21"/>
                <w:szCs w:val="21"/>
                <w:highlight w:val="none"/>
                <w:lang w:val="en-US" w:eastAsia="zh-CN" w:bidi="ar-SA"/>
              </w:rPr>
              <w:fldChar w:fldCharType="separate"/>
            </w:r>
            <w:r>
              <w:rPr>
                <w:rFonts w:hint="default" w:ascii="Times New Roman" w:hAnsi="Times New Roman" w:eastAsia="宋体" w:cs="Times New Roman"/>
                <w:color w:val="auto"/>
                <w:kern w:val="0"/>
                <w:sz w:val="21"/>
                <w:szCs w:val="21"/>
                <w:highlight w:val="none"/>
                <w:lang w:val="en-US" w:eastAsia="zh-CN" w:bidi="ar-SA"/>
              </w:rPr>
              <w:t>①</w:t>
            </w:r>
            <w:r>
              <w:rPr>
                <w:rFonts w:hint="default" w:ascii="Times New Roman" w:hAnsi="Times New Roman" w:eastAsia="宋体" w:cs="Times New Roman"/>
                <w:color w:val="auto"/>
                <w:kern w:val="0"/>
                <w:sz w:val="21"/>
                <w:szCs w:val="21"/>
                <w:highlight w:val="none"/>
                <w:lang w:val="en-US" w:eastAsia="zh-CN" w:bidi="ar-SA"/>
              </w:rPr>
              <w:fldChar w:fldCharType="end"/>
            </w:r>
            <w:r>
              <w:rPr>
                <w:rFonts w:hint="default" w:ascii="Times New Roman" w:hAnsi="Times New Roman" w:eastAsia="宋体" w:cs="Times New Roman"/>
                <w:color w:val="auto"/>
                <w:kern w:val="0"/>
                <w:sz w:val="21"/>
                <w:szCs w:val="21"/>
                <w:highlight w:val="none"/>
                <w:lang w:val="en-US" w:eastAsia="zh-CN" w:bidi="ar-SA"/>
              </w:rPr>
              <w:t>硫酸、盐酸</w:t>
            </w:r>
            <w:r>
              <w:rPr>
                <w:rFonts w:hint="eastAsia" w:ascii="Times New Roman" w:hAnsi="Times New Roman" w:eastAsia="宋体" w:cs="Times New Roman"/>
                <w:color w:val="auto"/>
                <w:kern w:val="0"/>
                <w:sz w:val="21"/>
                <w:szCs w:val="21"/>
                <w:highlight w:val="none"/>
                <w:lang w:val="en-US" w:eastAsia="zh-CN" w:bidi="ar-SA"/>
              </w:rPr>
              <w:t>、镀铬起镀液</w:t>
            </w:r>
            <w:r>
              <w:rPr>
                <w:rFonts w:hint="default" w:ascii="Times New Roman" w:hAnsi="Times New Roman" w:eastAsia="宋体" w:cs="Times New Roman"/>
                <w:color w:val="auto"/>
                <w:kern w:val="0"/>
                <w:sz w:val="21"/>
                <w:szCs w:val="21"/>
                <w:highlight w:val="none"/>
                <w:lang w:val="en-US" w:eastAsia="zh-CN" w:bidi="ar-SA"/>
              </w:rPr>
              <w:t>泄漏，从雨水市政管网排入附近河流，影响周围水环境、接触土壤表面或通过地表水渗透污染土壤环境。</w:t>
            </w:r>
          </w:p>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②硫酸、盐酸</w:t>
            </w:r>
            <w:r>
              <w:rPr>
                <w:rFonts w:hint="eastAsia" w:ascii="Times New Roman" w:hAnsi="Times New Roman" w:eastAsia="宋体" w:cs="Times New Roman"/>
                <w:color w:val="auto"/>
                <w:kern w:val="0"/>
                <w:sz w:val="21"/>
                <w:szCs w:val="21"/>
                <w:highlight w:val="none"/>
                <w:lang w:val="en-US" w:eastAsia="zh-CN" w:bidi="ar-SA"/>
              </w:rPr>
              <w:t>泄漏</w:t>
            </w:r>
            <w:r>
              <w:rPr>
                <w:rFonts w:hint="default" w:ascii="Times New Roman" w:hAnsi="Times New Roman" w:eastAsia="宋体" w:cs="Times New Roman"/>
                <w:color w:val="auto"/>
                <w:kern w:val="0"/>
                <w:sz w:val="21"/>
                <w:szCs w:val="21"/>
                <w:highlight w:val="none"/>
                <w:lang w:val="en-US" w:eastAsia="zh-CN" w:bidi="ar-SA"/>
              </w:rPr>
              <w:t>与氧化其他物料或遇水释放大量的热引发火灾</w:t>
            </w:r>
            <w:r>
              <w:rPr>
                <w:rFonts w:hint="eastAsia" w:ascii="Times New Roman" w:hAnsi="Times New Roman" w:eastAsia="宋体" w:cs="Times New Roman"/>
                <w:color w:val="auto"/>
                <w:kern w:val="0"/>
                <w:sz w:val="21"/>
                <w:szCs w:val="21"/>
                <w:highlight w:val="none"/>
                <w:lang w:val="en-US" w:eastAsia="zh-CN" w:bidi="ar-SA"/>
              </w:rPr>
              <w:t>。</w:t>
            </w:r>
          </w:p>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③镀铬起镀液泄漏，挥发产生铬酸雾气体，污染空气。</w:t>
            </w:r>
          </w:p>
          <w:p>
            <w:pPr>
              <w:keepNext w:val="0"/>
              <w:keepLines w:val="0"/>
              <w:pageBreakBefore w:val="0"/>
              <w:kinsoku/>
              <w:wordWrap/>
              <w:overflowPunct/>
              <w:topLinePunct w:val="0"/>
              <w:autoSpaceDE/>
              <w:autoSpaceDN/>
              <w:bidi w:val="0"/>
              <w:adjustRightInd w:val="0"/>
              <w:snapToGrid w:val="0"/>
              <w:jc w:val="left"/>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④因其他区域原因，导致火灾事故；</w:t>
            </w:r>
          </w:p>
          <w:p>
            <w:pPr>
              <w:keepNext w:val="0"/>
              <w:keepLines w:val="0"/>
              <w:pageBreakBefore w:val="0"/>
              <w:kinsoku/>
              <w:wordWrap/>
              <w:overflowPunct/>
              <w:topLinePunct w:val="0"/>
              <w:autoSpaceDE/>
              <w:autoSpaceDN/>
              <w:bidi w:val="0"/>
              <w:adjustRightInd w:val="0"/>
              <w:snapToGrid w:val="0"/>
              <w:jc w:val="left"/>
              <w:rPr>
                <w:rFonts w:hint="eastAsia"/>
                <w:color w:val="auto"/>
                <w:sz w:val="21"/>
                <w:szCs w:val="21"/>
                <w:highlight w:val="none"/>
                <w:lang w:eastAsia="zh-CN"/>
              </w:rPr>
            </w:pPr>
            <w:r>
              <w:rPr>
                <w:rFonts w:hint="eastAsia" w:ascii="Times New Roman" w:hAnsi="Times New Roman" w:eastAsia="宋体" w:cs="Times New Roman"/>
                <w:color w:val="auto"/>
                <w:kern w:val="0"/>
                <w:sz w:val="21"/>
                <w:szCs w:val="21"/>
                <w:highlight w:val="none"/>
                <w:lang w:val="en-US" w:eastAsia="zh-CN" w:bidi="ar-SA"/>
              </w:rPr>
              <w:t>⑤次生、衍生影响：引燃周围易燃易爆物质；火灾消防液、消防土，消防废水收集不当对外环境的影响；燃烧产物有一氧化碳、二氧化碳、二氧化硫、氮氧化物、颗粒物、氯化氢等，对大气环境的影响。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59" w:type="pct"/>
            <w:vMerge w:val="continue"/>
            <w:noWrap w:val="0"/>
            <w:vAlign w:val="center"/>
          </w:tcPr>
          <w:p>
            <w:pPr>
              <w:jc w:val="center"/>
              <w:rPr>
                <w:rFonts w:hint="default" w:ascii="Times New Roman" w:hAnsi="Times New Roman" w:cs="Times New Roman"/>
                <w:color w:val="auto"/>
                <w:sz w:val="21"/>
                <w:szCs w:val="21"/>
                <w:highlight w:val="none"/>
              </w:rPr>
            </w:pPr>
          </w:p>
        </w:tc>
        <w:tc>
          <w:tcPr>
            <w:tcW w:w="616" w:type="pct"/>
            <w:vMerge w:val="continue"/>
            <w:noWrap w:val="0"/>
            <w:vAlign w:val="center"/>
          </w:tcPr>
          <w:p>
            <w:pPr>
              <w:jc w:val="center"/>
              <w:rPr>
                <w:rFonts w:hint="default" w:ascii="Times New Roman" w:hAnsi="Times New Roman" w:cs="Times New Roman"/>
                <w:color w:val="auto"/>
                <w:kern w:val="0"/>
                <w:sz w:val="21"/>
                <w:szCs w:val="21"/>
                <w:highlight w:val="none"/>
              </w:rPr>
            </w:pPr>
          </w:p>
        </w:tc>
        <w:tc>
          <w:tcPr>
            <w:tcW w:w="715" w:type="pct"/>
            <w:noWrap w:val="0"/>
            <w:vAlign w:val="center"/>
          </w:tcPr>
          <w:p>
            <w:pPr>
              <w:jc w:val="center"/>
              <w:rPr>
                <w:rFonts w:hint="default" w:ascii="Times New Roman" w:hAnsi="Times New Roman"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碱性库</w:t>
            </w:r>
          </w:p>
        </w:tc>
        <w:tc>
          <w:tcPr>
            <w:tcW w:w="657" w:type="pct"/>
            <w:noWrap w:val="0"/>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color w:val="auto"/>
                <w:kern w:val="0"/>
                <w:sz w:val="21"/>
                <w:szCs w:val="21"/>
                <w:highlight w:val="none"/>
                <w:lang w:val="en-US" w:eastAsia="zh-CN"/>
              </w:rPr>
              <w:t>氢氧化钠、氢氧化钙</w:t>
            </w:r>
          </w:p>
        </w:tc>
        <w:tc>
          <w:tcPr>
            <w:tcW w:w="2752" w:type="pct"/>
            <w:noWrap w:val="0"/>
            <w:vAlign w:val="center"/>
          </w:tcPr>
          <w:p>
            <w:pPr>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fldChar w:fldCharType="begin"/>
            </w:r>
            <w:r>
              <w:rPr>
                <w:rFonts w:hint="default" w:ascii="Times New Roman" w:hAnsi="Times New Roman" w:cs="Times New Roman"/>
                <w:color w:val="auto"/>
                <w:sz w:val="21"/>
                <w:szCs w:val="21"/>
                <w:highlight w:val="none"/>
              </w:rPr>
              <w:instrText xml:space="preserve"> = 1 \* GB3 </w:instrText>
            </w:r>
            <w:r>
              <w:rPr>
                <w:rFonts w:hint="default" w:ascii="Times New Roman" w:hAnsi="Times New Roman" w:cs="Times New Roman"/>
                <w:color w:val="auto"/>
                <w:sz w:val="21"/>
                <w:szCs w:val="21"/>
                <w:highlight w:val="none"/>
              </w:rPr>
              <w:fldChar w:fldCharType="separate"/>
            </w:r>
            <w:r>
              <w:rPr>
                <w:rFonts w:hint="default" w:ascii="Times New Roman" w:hAnsi="Times New Roman" w:cs="Times New Roman"/>
                <w:color w:val="auto"/>
                <w:sz w:val="21"/>
                <w:szCs w:val="21"/>
                <w:highlight w:val="none"/>
              </w:rPr>
              <w:t>①</w:t>
            </w:r>
            <w:r>
              <w:rPr>
                <w:rFonts w:hint="default" w:ascii="Times New Roman" w:hAnsi="Times New Roman" w:cs="Times New Roman"/>
                <w:color w:val="auto"/>
                <w:sz w:val="21"/>
                <w:szCs w:val="21"/>
                <w:highlight w:val="none"/>
              </w:rPr>
              <w:fldChar w:fldCharType="end"/>
            </w:r>
            <w:r>
              <w:rPr>
                <w:rFonts w:hint="default" w:ascii="Times New Roman" w:hAnsi="Times New Roman" w:cs="Times New Roman"/>
                <w:color w:val="auto"/>
                <w:sz w:val="21"/>
                <w:szCs w:val="21"/>
                <w:highlight w:val="none"/>
              </w:rPr>
              <w:t>碱性物料泄漏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遇水后</w:t>
            </w:r>
            <w:r>
              <w:rPr>
                <w:rFonts w:hint="default" w:ascii="Times New Roman" w:hAnsi="Times New Roman" w:cs="Times New Roman"/>
                <w:color w:val="auto"/>
                <w:sz w:val="21"/>
                <w:szCs w:val="21"/>
                <w:highlight w:val="none"/>
              </w:rPr>
              <w:t>从雨水市政管网排入附近河流，影响周围水环境。</w:t>
            </w:r>
          </w:p>
          <w:p>
            <w:pPr>
              <w:adjustRightInd w:val="0"/>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②碱性物料泄漏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遇水后，</w:t>
            </w:r>
            <w:r>
              <w:rPr>
                <w:rFonts w:hint="default" w:ascii="Times New Roman" w:hAnsi="Times New Roman" w:cs="Times New Roman"/>
                <w:color w:val="auto"/>
                <w:sz w:val="21"/>
                <w:szCs w:val="21"/>
                <w:highlight w:val="none"/>
              </w:rPr>
              <w:t>渗漏至土壤层中影响土壤pH值。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59" w:type="pct"/>
            <w:vMerge w:val="continue"/>
            <w:noWrap w:val="0"/>
            <w:vAlign w:val="center"/>
          </w:tcPr>
          <w:p>
            <w:pPr>
              <w:jc w:val="center"/>
              <w:rPr>
                <w:rFonts w:hint="default" w:ascii="Times New Roman" w:hAnsi="Times New Roman" w:cs="Times New Roman"/>
                <w:color w:val="auto"/>
                <w:highlight w:val="none"/>
              </w:rPr>
            </w:pPr>
          </w:p>
        </w:tc>
        <w:tc>
          <w:tcPr>
            <w:tcW w:w="616" w:type="pct"/>
            <w:vMerge w:val="continue"/>
            <w:noWrap w:val="0"/>
            <w:vAlign w:val="center"/>
          </w:tcPr>
          <w:p>
            <w:pPr>
              <w:jc w:val="center"/>
              <w:rPr>
                <w:rFonts w:hint="default" w:ascii="Times New Roman" w:hAnsi="Times New Roman" w:cs="Times New Roman"/>
                <w:color w:val="auto"/>
                <w:highlight w:val="none"/>
              </w:rPr>
            </w:pPr>
          </w:p>
        </w:tc>
        <w:tc>
          <w:tcPr>
            <w:tcW w:w="715" w:type="pct"/>
            <w:noWrap w:val="0"/>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eastAsia="宋体" w:cs="Times New Roman"/>
                <w:color w:val="auto"/>
                <w:kern w:val="0"/>
                <w:sz w:val="21"/>
                <w:szCs w:val="21"/>
                <w:highlight w:val="none"/>
                <w:lang w:val="en-US" w:eastAsia="zh-CN"/>
              </w:rPr>
              <w:t>废水处理设施</w:t>
            </w:r>
          </w:p>
        </w:tc>
        <w:tc>
          <w:tcPr>
            <w:tcW w:w="657" w:type="pct"/>
            <w:noWrap w:val="0"/>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含重金属废水、</w:t>
            </w:r>
            <w:r>
              <w:rPr>
                <w:rFonts w:hint="eastAsia" w:ascii="Times New Roman" w:hAnsi="Times New Roman" w:eastAsia="宋体" w:cs="Times New Roman"/>
                <w:color w:val="auto"/>
                <w:kern w:val="0"/>
                <w:sz w:val="21"/>
                <w:szCs w:val="21"/>
                <w:highlight w:val="none"/>
                <w:lang w:val="en-US" w:eastAsia="zh-CN"/>
              </w:rPr>
              <w:t>综合</w:t>
            </w:r>
            <w:r>
              <w:rPr>
                <w:rFonts w:hint="default" w:ascii="Times New Roman" w:hAnsi="Times New Roman" w:eastAsia="宋体" w:cs="Times New Roman"/>
                <w:color w:val="auto"/>
                <w:kern w:val="0"/>
                <w:sz w:val="21"/>
                <w:szCs w:val="21"/>
                <w:highlight w:val="none"/>
                <w:lang w:val="en-US" w:eastAsia="zh-CN"/>
              </w:rPr>
              <w:t>废水</w:t>
            </w:r>
          </w:p>
        </w:tc>
        <w:tc>
          <w:tcPr>
            <w:tcW w:w="2752" w:type="pct"/>
            <w:noWrap w:val="0"/>
            <w:vAlign w:val="center"/>
          </w:tcPr>
          <w:p>
            <w:pPr>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fldChar w:fldCharType="begin"/>
            </w:r>
            <w:r>
              <w:rPr>
                <w:rFonts w:hint="default" w:ascii="Times New Roman" w:hAnsi="Times New Roman" w:eastAsia="宋体" w:cs="Times New Roman"/>
                <w:color w:val="auto"/>
                <w:kern w:val="0"/>
                <w:sz w:val="21"/>
                <w:szCs w:val="21"/>
                <w:highlight w:val="none"/>
                <w:lang w:val="en-US" w:eastAsia="zh-CN"/>
              </w:rPr>
              <w:instrText xml:space="preserve"> = 1 \* GB3 </w:instrText>
            </w:r>
            <w:r>
              <w:rPr>
                <w:rFonts w:hint="default" w:ascii="Times New Roman" w:hAnsi="Times New Roman" w:eastAsia="宋体" w:cs="Times New Roman"/>
                <w:color w:val="auto"/>
                <w:kern w:val="0"/>
                <w:sz w:val="21"/>
                <w:szCs w:val="21"/>
                <w:highlight w:val="none"/>
                <w:lang w:val="en-US" w:eastAsia="zh-CN"/>
              </w:rPr>
              <w:fldChar w:fldCharType="separate"/>
            </w:r>
            <w:r>
              <w:rPr>
                <w:rFonts w:hint="default" w:ascii="Times New Roman" w:hAnsi="Times New Roman" w:eastAsia="宋体" w:cs="Times New Roman"/>
                <w:color w:val="auto"/>
                <w:kern w:val="0"/>
                <w:sz w:val="21"/>
                <w:szCs w:val="21"/>
                <w:highlight w:val="none"/>
                <w:lang w:val="en-US" w:eastAsia="zh-CN"/>
              </w:rPr>
              <w:t>①</w:t>
            </w:r>
            <w:r>
              <w:rPr>
                <w:rFonts w:hint="default" w:ascii="Times New Roman" w:hAnsi="Times New Roman" w:eastAsia="宋体" w:cs="Times New Roman"/>
                <w:color w:val="auto"/>
                <w:kern w:val="0"/>
                <w:sz w:val="21"/>
                <w:szCs w:val="21"/>
                <w:highlight w:val="none"/>
                <w:lang w:val="en-US" w:eastAsia="zh-CN"/>
              </w:rPr>
              <w:fldChar w:fldCharType="end"/>
            </w:r>
            <w:r>
              <w:rPr>
                <w:rFonts w:hint="default" w:ascii="Times New Roman" w:hAnsi="Times New Roman" w:eastAsia="宋体" w:cs="Times New Roman"/>
                <w:color w:val="auto"/>
                <w:kern w:val="0"/>
                <w:sz w:val="21"/>
                <w:szCs w:val="21"/>
                <w:highlight w:val="none"/>
                <w:lang w:val="en-US" w:eastAsia="zh-CN"/>
              </w:rPr>
              <w:t>含重金属废水泄漏，从雨水市政管网排入附近河流，影响周围水环境。</w:t>
            </w:r>
          </w:p>
          <w:p>
            <w:pPr>
              <w:jc w:val="left"/>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②</w:t>
            </w:r>
            <w:r>
              <w:rPr>
                <w:rFonts w:hint="eastAsia" w:ascii="Times New Roman" w:hAnsi="Times New Roman" w:eastAsia="宋体" w:cs="Times New Roman"/>
                <w:color w:val="auto"/>
                <w:kern w:val="0"/>
                <w:sz w:val="21"/>
                <w:szCs w:val="21"/>
                <w:highlight w:val="none"/>
                <w:lang w:val="en-US" w:eastAsia="zh-CN"/>
              </w:rPr>
              <w:t>含重金属</w:t>
            </w:r>
            <w:r>
              <w:rPr>
                <w:rFonts w:hint="default" w:ascii="Times New Roman" w:hAnsi="Times New Roman" w:eastAsia="宋体" w:cs="Times New Roman"/>
                <w:color w:val="auto"/>
                <w:kern w:val="0"/>
                <w:sz w:val="21"/>
                <w:szCs w:val="21"/>
                <w:highlight w:val="none"/>
                <w:lang w:val="en-US" w:eastAsia="zh-CN"/>
              </w:rPr>
              <w:t>废水</w:t>
            </w:r>
            <w:r>
              <w:rPr>
                <w:rFonts w:hint="eastAsia" w:ascii="Times New Roman" w:hAnsi="Times New Roman" w:eastAsia="宋体" w:cs="Times New Roman"/>
                <w:color w:val="auto"/>
                <w:kern w:val="0"/>
                <w:sz w:val="21"/>
                <w:szCs w:val="21"/>
                <w:highlight w:val="none"/>
                <w:lang w:val="en-US" w:eastAsia="zh-CN"/>
              </w:rPr>
              <w:t>泄漏</w:t>
            </w:r>
            <w:r>
              <w:rPr>
                <w:rFonts w:hint="default" w:ascii="Times New Roman" w:hAnsi="Times New Roman" w:eastAsia="宋体" w:cs="Times New Roman"/>
                <w:color w:val="auto"/>
                <w:kern w:val="0"/>
                <w:sz w:val="21"/>
                <w:szCs w:val="21"/>
                <w:highlight w:val="none"/>
                <w:lang w:val="en-US" w:eastAsia="zh-CN"/>
              </w:rPr>
              <w:t>后接触土壤表面，渗漏至土壤环境中，影响土壤环境。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59" w:type="pct"/>
            <w:vMerge w:val="continue"/>
            <w:noWrap w:val="0"/>
            <w:vAlign w:val="center"/>
          </w:tcPr>
          <w:p>
            <w:pPr>
              <w:jc w:val="center"/>
              <w:rPr>
                <w:rFonts w:hint="default" w:ascii="Times New Roman" w:hAnsi="Times New Roman" w:cs="Times New Roman"/>
                <w:color w:val="auto"/>
                <w:highlight w:val="none"/>
              </w:rPr>
            </w:pPr>
          </w:p>
        </w:tc>
        <w:tc>
          <w:tcPr>
            <w:tcW w:w="616" w:type="pct"/>
            <w:vMerge w:val="continue"/>
            <w:noWrap w:val="0"/>
            <w:vAlign w:val="center"/>
          </w:tcPr>
          <w:p>
            <w:pPr>
              <w:jc w:val="center"/>
              <w:rPr>
                <w:rFonts w:hint="default" w:ascii="Times New Roman" w:hAnsi="Times New Roman" w:cs="Times New Roman"/>
                <w:color w:val="auto"/>
                <w:highlight w:val="none"/>
              </w:rPr>
            </w:pPr>
          </w:p>
        </w:tc>
        <w:tc>
          <w:tcPr>
            <w:tcW w:w="715" w:type="pct"/>
            <w:noWrap w:val="0"/>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危废</w:t>
            </w:r>
            <w:r>
              <w:rPr>
                <w:rFonts w:hint="eastAsia" w:ascii="Times New Roman" w:hAnsi="Times New Roman" w:eastAsia="宋体" w:cs="Times New Roman"/>
                <w:color w:val="auto"/>
                <w:kern w:val="0"/>
                <w:sz w:val="21"/>
                <w:szCs w:val="21"/>
                <w:highlight w:val="none"/>
                <w:lang w:val="en-US" w:eastAsia="zh-CN"/>
              </w:rPr>
              <w:t>仓库</w:t>
            </w:r>
          </w:p>
        </w:tc>
        <w:tc>
          <w:tcPr>
            <w:tcW w:w="657" w:type="pct"/>
            <w:noWrap w:val="0"/>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废弃劳保用品</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废包装袋</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废机油</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废滤芯</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废水处理RO膜</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含铬废液</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废水处理污泥及蒸发废盐等危险废物</w:t>
            </w:r>
          </w:p>
        </w:tc>
        <w:tc>
          <w:tcPr>
            <w:tcW w:w="2752" w:type="pct"/>
            <w:noWrap w:val="0"/>
            <w:vAlign w:val="center"/>
          </w:tcPr>
          <w:p>
            <w:pPr>
              <w:jc w:val="left"/>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ascii="Times New Roman" w:hAnsi="Times New Roman"/>
                <w:color w:val="auto"/>
                <w:sz w:val="21"/>
                <w:szCs w:val="21"/>
                <w:highlight w:val="none"/>
              </w:rPr>
              <w:instrText xml:space="preserve"> = 1 \* GB3 </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①</w:t>
            </w:r>
            <w:r>
              <w:rPr>
                <w:rFonts w:ascii="Times New Roman" w:hAnsi="Times New Roman"/>
                <w:color w:val="auto"/>
                <w:sz w:val="21"/>
                <w:szCs w:val="21"/>
                <w:highlight w:val="none"/>
              </w:rPr>
              <w:fldChar w:fldCharType="end"/>
            </w:r>
            <w:r>
              <w:rPr>
                <w:rFonts w:ascii="Times New Roman" w:hAnsi="Times New Roman"/>
                <w:color w:val="auto"/>
                <w:sz w:val="21"/>
                <w:szCs w:val="21"/>
                <w:highlight w:val="none"/>
              </w:rPr>
              <w:t>存放的各类</w:t>
            </w:r>
            <w:r>
              <w:rPr>
                <w:rFonts w:hint="eastAsia" w:ascii="Times New Roman" w:hAnsi="Times New Roman"/>
                <w:color w:val="auto"/>
                <w:sz w:val="21"/>
                <w:szCs w:val="21"/>
                <w:highlight w:val="none"/>
              </w:rPr>
              <w:t>液态危废</w:t>
            </w:r>
            <w:r>
              <w:rPr>
                <w:rFonts w:ascii="Times New Roman" w:hAnsi="Times New Roman"/>
                <w:color w:val="auto"/>
                <w:sz w:val="21"/>
                <w:szCs w:val="21"/>
                <w:highlight w:val="none"/>
              </w:rPr>
              <w:t>可能发生</w:t>
            </w:r>
            <w:r>
              <w:rPr>
                <w:rFonts w:hint="eastAsia" w:ascii="Times New Roman" w:hAnsi="Times New Roman"/>
                <w:color w:val="auto"/>
                <w:sz w:val="21"/>
                <w:szCs w:val="21"/>
                <w:highlight w:val="none"/>
              </w:rPr>
              <w:t>泄漏</w:t>
            </w:r>
            <w:r>
              <w:rPr>
                <w:rFonts w:ascii="Times New Roman" w:hAnsi="Times New Roman"/>
                <w:color w:val="auto"/>
                <w:sz w:val="21"/>
                <w:szCs w:val="21"/>
                <w:highlight w:val="none"/>
              </w:rPr>
              <w:t>事故；</w:t>
            </w:r>
          </w:p>
          <w:p>
            <w:pPr>
              <w:jc w:val="left"/>
              <w:rPr>
                <w:rFonts w:ascii="Times New Roman" w:hAnsi="Times New Roman"/>
                <w:color w:val="auto"/>
                <w:sz w:val="21"/>
                <w:szCs w:val="21"/>
                <w:highlight w:val="none"/>
              </w:rPr>
            </w:pPr>
            <w:r>
              <w:rPr>
                <w:rFonts w:ascii="Times New Roman" w:hAnsi="Times New Roman"/>
                <w:color w:val="auto"/>
                <w:sz w:val="21"/>
                <w:szCs w:val="21"/>
                <w:highlight w:val="none"/>
              </w:rPr>
              <w:fldChar w:fldCharType="begin"/>
            </w:r>
            <w:r>
              <w:rPr>
                <w:rFonts w:ascii="Times New Roman" w:hAnsi="Times New Roman"/>
                <w:color w:val="auto"/>
                <w:sz w:val="21"/>
                <w:szCs w:val="21"/>
                <w:highlight w:val="none"/>
              </w:rPr>
              <w:instrText xml:space="preserve"> = 2 \* GB3 </w:instrText>
            </w:r>
            <w:r>
              <w:rPr>
                <w:rFonts w:ascii="Times New Roman" w:hAnsi="Times New Roman"/>
                <w:color w:val="auto"/>
                <w:sz w:val="21"/>
                <w:szCs w:val="21"/>
                <w:highlight w:val="none"/>
              </w:rPr>
              <w:fldChar w:fldCharType="separate"/>
            </w:r>
            <w:r>
              <w:rPr>
                <w:rFonts w:ascii="Times New Roman" w:hAnsi="Times New Roman"/>
                <w:color w:val="auto"/>
                <w:sz w:val="21"/>
                <w:szCs w:val="21"/>
                <w:highlight w:val="none"/>
              </w:rPr>
              <w:t>②</w:t>
            </w:r>
            <w:r>
              <w:rPr>
                <w:rFonts w:ascii="Times New Roman" w:hAnsi="Times New Roman"/>
                <w:color w:val="auto"/>
                <w:sz w:val="21"/>
                <w:szCs w:val="21"/>
                <w:highlight w:val="none"/>
              </w:rPr>
              <w:fldChar w:fldCharType="end"/>
            </w:r>
            <w:r>
              <w:rPr>
                <w:rFonts w:hint="eastAsia" w:ascii="Times New Roman" w:hAnsi="Times New Roman"/>
                <w:color w:val="auto"/>
                <w:sz w:val="21"/>
                <w:szCs w:val="21"/>
                <w:highlight w:val="none"/>
              </w:rPr>
              <w:t>存放的废油遇明火</w:t>
            </w:r>
            <w:r>
              <w:rPr>
                <w:rFonts w:ascii="Times New Roman" w:hAnsi="Times New Roman"/>
                <w:color w:val="auto"/>
                <w:sz w:val="21"/>
                <w:szCs w:val="21"/>
                <w:highlight w:val="none"/>
              </w:rPr>
              <w:t>，导致火灾事故；</w:t>
            </w:r>
          </w:p>
          <w:p>
            <w:pPr>
              <w:rPr>
                <w:rFonts w:hint="default" w:ascii="Times New Roman" w:hAnsi="Times New Roman" w:eastAsia="宋体" w:cs="Times New Roman"/>
                <w:color w:val="auto"/>
                <w:kern w:val="0"/>
                <w:sz w:val="21"/>
                <w:szCs w:val="21"/>
                <w:highlight w:val="none"/>
                <w:lang w:val="en-US" w:eastAsia="zh-CN"/>
              </w:rPr>
            </w:pPr>
            <w:r>
              <w:rPr>
                <w:rFonts w:ascii="Times New Roman" w:hAnsi="Times New Roman"/>
                <w:color w:val="auto"/>
                <w:sz w:val="21"/>
                <w:szCs w:val="21"/>
                <w:highlight w:val="none"/>
              </w:rPr>
              <w:fldChar w:fldCharType="begin"/>
            </w:r>
            <w:r>
              <w:rPr>
                <w:rFonts w:ascii="Times New Roman" w:hAnsi="Times New Roman"/>
                <w:color w:val="auto"/>
                <w:sz w:val="21"/>
                <w:szCs w:val="21"/>
                <w:highlight w:val="none"/>
              </w:rPr>
              <w:instrText xml:space="preserve"> = 3 \* GB3 </w:instrText>
            </w:r>
            <w:r>
              <w:rPr>
                <w:rFonts w:ascii="Times New Roman" w:hAnsi="Times New Roman"/>
                <w:color w:val="auto"/>
                <w:sz w:val="21"/>
                <w:szCs w:val="21"/>
                <w:highlight w:val="none"/>
              </w:rPr>
              <w:fldChar w:fldCharType="separate"/>
            </w:r>
            <w:r>
              <w:rPr>
                <w:rFonts w:hint="eastAsia" w:ascii="宋体" w:hAnsi="宋体" w:cs="宋体"/>
                <w:color w:val="auto"/>
                <w:sz w:val="21"/>
                <w:szCs w:val="21"/>
                <w:highlight w:val="none"/>
              </w:rPr>
              <w:t>③</w:t>
            </w:r>
            <w:r>
              <w:rPr>
                <w:rFonts w:ascii="Times New Roman" w:hAnsi="Times New Roman"/>
                <w:color w:val="auto"/>
                <w:sz w:val="21"/>
                <w:szCs w:val="21"/>
                <w:highlight w:val="none"/>
              </w:rPr>
              <w:fldChar w:fldCharType="end"/>
            </w:r>
            <w:r>
              <w:rPr>
                <w:rFonts w:ascii="Times New Roman" w:hAnsi="Times New Roman"/>
                <w:color w:val="auto"/>
                <w:sz w:val="21"/>
                <w:szCs w:val="21"/>
                <w:highlight w:val="none"/>
              </w:rPr>
              <w:t>次生、衍生影响：</w:t>
            </w:r>
            <w:r>
              <w:rPr>
                <w:rFonts w:hint="eastAsia" w:ascii="Times New Roman" w:hAnsi="Times New Roman"/>
                <w:color w:val="auto"/>
                <w:sz w:val="21"/>
                <w:szCs w:val="21"/>
                <w:highlight w:val="none"/>
              </w:rPr>
              <w:t>火灾事故发生后</w:t>
            </w:r>
            <w:r>
              <w:rPr>
                <w:rFonts w:ascii="Times New Roman" w:hAnsi="Times New Roman"/>
                <w:color w:val="auto"/>
                <w:sz w:val="21"/>
                <w:szCs w:val="21"/>
                <w:highlight w:val="none"/>
              </w:rPr>
              <w:t>引燃或引爆周围易燃易爆物质；火灾消防液、消防土，消防废水收集不当对外环境的影响；燃烧产物一氧化碳、二氧化碳、二氧化硫、氮氧化物、颗粒物、VOCs等对大气环境的影响</w:t>
            </w:r>
            <w:r>
              <w:rPr>
                <w:rFonts w:hint="eastAsia" w:ascii="Times New Roman" w:hAnsi="Times New Roman"/>
                <w:color w:val="auto"/>
                <w:sz w:val="21"/>
                <w:szCs w:val="21"/>
                <w:highlight w:val="none"/>
              </w:rPr>
              <w:t>。</w:t>
            </w:r>
          </w:p>
        </w:tc>
      </w:tr>
    </w:tbl>
    <w:p>
      <w:pPr>
        <w:adjustRightInd w:val="0"/>
        <w:snapToGrid w:val="0"/>
        <w:jc w:val="center"/>
        <w:rPr>
          <w:b/>
          <w:color w:val="auto"/>
          <w:highlight w:val="none"/>
        </w:rPr>
      </w:pPr>
    </w:p>
    <w:p>
      <w:pPr>
        <w:pStyle w:val="4"/>
        <w:rPr>
          <w:color w:val="auto"/>
          <w:highlight w:val="none"/>
        </w:rPr>
      </w:pPr>
      <w:bookmarkStart w:id="253" w:name="_Toc5937"/>
      <w:r>
        <w:rPr>
          <w:color w:val="auto"/>
          <w:highlight w:val="none"/>
        </w:rPr>
        <w:t>3 应急组织机构</w:t>
      </w:r>
      <w:bookmarkEnd w:id="253"/>
    </w:p>
    <w:p>
      <w:pPr>
        <w:adjustRightInd w:val="0"/>
        <w:snapToGrid w:val="0"/>
        <w:spacing w:line="360" w:lineRule="auto"/>
        <w:ind w:firstLine="480" w:firstLineChars="200"/>
        <w:rPr>
          <w:color w:val="auto"/>
          <w:sz w:val="24"/>
          <w:szCs w:val="24"/>
          <w:highlight w:val="none"/>
        </w:rPr>
      </w:pPr>
      <w:r>
        <w:rPr>
          <w:rFonts w:hint="default" w:ascii="Times New Roman" w:hAnsi="Times New Roman" w:cs="Times New Roman"/>
          <w:color w:val="auto"/>
          <w:sz w:val="24"/>
          <w:szCs w:val="24"/>
          <w:highlight w:val="none"/>
        </w:rPr>
        <w:t>事故处理组</w:t>
      </w:r>
      <w:r>
        <w:rPr>
          <w:color w:val="auto"/>
          <w:sz w:val="24"/>
          <w:szCs w:val="24"/>
          <w:highlight w:val="none"/>
        </w:rPr>
        <w:t>见表2。</w:t>
      </w:r>
    </w:p>
    <w:p>
      <w:pPr>
        <w:adjustRightInd w:val="0"/>
        <w:snapToGrid w:val="0"/>
        <w:jc w:val="center"/>
        <w:rPr>
          <w:b/>
          <w:bCs/>
          <w:color w:val="auto"/>
          <w:highlight w:val="none"/>
        </w:rPr>
      </w:pPr>
      <w:r>
        <w:rPr>
          <w:b/>
          <w:bCs/>
          <w:color w:val="auto"/>
          <w:highlight w:val="none"/>
        </w:rPr>
        <w:t xml:space="preserve">表2  </w:t>
      </w:r>
      <w:r>
        <w:rPr>
          <w:rFonts w:hint="default"/>
          <w:b/>
          <w:bCs/>
          <w:color w:val="auto"/>
          <w:highlight w:val="none"/>
        </w:rPr>
        <w:t>事故处理组</w:t>
      </w:r>
      <w:r>
        <w:rPr>
          <w:b/>
          <w:bCs/>
          <w:color w:val="auto"/>
          <w:highlight w:val="none"/>
        </w:rPr>
        <w:t>应急救援队伍</w:t>
      </w:r>
    </w:p>
    <w:tbl>
      <w:tblPr>
        <w:tblStyle w:val="20"/>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265"/>
        <w:gridCol w:w="1299"/>
        <w:gridCol w:w="2490"/>
        <w:gridCol w:w="17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8" w:type="pct"/>
            <w:tcBorders>
              <w:tl2br w:val="nil"/>
              <w:tr2bl w:val="nil"/>
            </w:tcBorders>
            <w:noWrap/>
            <w:vAlign w:val="center"/>
          </w:tcPr>
          <w:p>
            <w:pPr>
              <w:adjustRightInd w:val="0"/>
              <w:snapToGrid w:val="0"/>
              <w:jc w:val="center"/>
              <w:rPr>
                <w:b/>
                <w:color w:val="auto"/>
                <w:szCs w:val="21"/>
                <w:highlight w:val="none"/>
              </w:rPr>
            </w:pPr>
            <w:r>
              <w:rPr>
                <w:b/>
                <w:color w:val="auto"/>
                <w:szCs w:val="21"/>
                <w:highlight w:val="none"/>
              </w:rPr>
              <w:t>序号</w:t>
            </w:r>
          </w:p>
        </w:tc>
        <w:tc>
          <w:tcPr>
            <w:tcW w:w="1359" w:type="pct"/>
            <w:tcBorders>
              <w:tl2br w:val="nil"/>
              <w:tr2bl w:val="nil"/>
            </w:tcBorders>
            <w:noWrap/>
            <w:vAlign w:val="center"/>
          </w:tcPr>
          <w:p>
            <w:pPr>
              <w:adjustRightInd w:val="0"/>
              <w:snapToGrid w:val="0"/>
              <w:jc w:val="center"/>
              <w:rPr>
                <w:b/>
                <w:color w:val="auto"/>
                <w:szCs w:val="21"/>
                <w:highlight w:val="none"/>
              </w:rPr>
            </w:pPr>
            <w:r>
              <w:rPr>
                <w:b/>
                <w:color w:val="auto"/>
                <w:szCs w:val="21"/>
                <w:highlight w:val="none"/>
              </w:rPr>
              <w:t>职务</w:t>
            </w:r>
          </w:p>
        </w:tc>
        <w:tc>
          <w:tcPr>
            <w:tcW w:w="778" w:type="pct"/>
            <w:tcBorders>
              <w:tl2br w:val="nil"/>
              <w:tr2bl w:val="nil"/>
            </w:tcBorders>
            <w:noWrap/>
            <w:vAlign w:val="center"/>
          </w:tcPr>
          <w:p>
            <w:pPr>
              <w:adjustRightInd w:val="0"/>
              <w:snapToGrid w:val="0"/>
              <w:jc w:val="center"/>
              <w:rPr>
                <w:b/>
                <w:color w:val="auto"/>
                <w:szCs w:val="21"/>
                <w:highlight w:val="none"/>
              </w:rPr>
            </w:pPr>
            <w:r>
              <w:rPr>
                <w:b/>
                <w:color w:val="auto"/>
                <w:szCs w:val="21"/>
                <w:highlight w:val="none"/>
              </w:rPr>
              <w:t>姓名</w:t>
            </w:r>
          </w:p>
        </w:tc>
        <w:tc>
          <w:tcPr>
            <w:tcW w:w="1494" w:type="pct"/>
            <w:tcBorders>
              <w:tl2br w:val="nil"/>
              <w:tr2bl w:val="nil"/>
            </w:tcBorders>
            <w:noWrap/>
            <w:vAlign w:val="center"/>
          </w:tcPr>
          <w:p>
            <w:pPr>
              <w:adjustRightInd w:val="0"/>
              <w:snapToGrid w:val="0"/>
              <w:jc w:val="center"/>
              <w:rPr>
                <w:b/>
                <w:color w:val="auto"/>
                <w:szCs w:val="21"/>
                <w:highlight w:val="none"/>
              </w:rPr>
            </w:pPr>
            <w:r>
              <w:rPr>
                <w:b/>
                <w:color w:val="auto"/>
                <w:szCs w:val="21"/>
                <w:highlight w:val="none"/>
              </w:rPr>
              <w:t>职位</w:t>
            </w:r>
          </w:p>
        </w:tc>
        <w:tc>
          <w:tcPr>
            <w:tcW w:w="778" w:type="pct"/>
            <w:tcBorders>
              <w:tl2br w:val="nil"/>
              <w:tr2bl w:val="nil"/>
            </w:tcBorders>
            <w:noWrap/>
            <w:vAlign w:val="center"/>
          </w:tcPr>
          <w:p>
            <w:pPr>
              <w:adjustRightInd w:val="0"/>
              <w:snapToGrid w:val="0"/>
              <w:jc w:val="center"/>
              <w:rPr>
                <w:b/>
                <w:color w:val="auto"/>
                <w:szCs w:val="21"/>
                <w:highlight w:val="none"/>
              </w:rPr>
            </w:pPr>
            <w:r>
              <w:rPr>
                <w:b/>
                <w:color w:val="auto"/>
                <w:szCs w:val="21"/>
                <w:highlight w:val="none"/>
              </w:rPr>
              <w:t>联系方式(手机)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tcBorders>
              <w:tl2br w:val="nil"/>
              <w:tr2bl w:val="nil"/>
            </w:tcBorders>
            <w:noWrap/>
            <w:vAlign w:val="center"/>
          </w:tcPr>
          <w:p>
            <w:pPr>
              <w:adjustRightInd w:val="0"/>
              <w:snapToGrid w:val="0"/>
              <w:jc w:val="center"/>
              <w:rPr>
                <w:color w:val="auto"/>
                <w:szCs w:val="21"/>
                <w:highlight w:val="none"/>
              </w:rPr>
            </w:pPr>
            <w:r>
              <w:rPr>
                <w:color w:val="auto"/>
                <w:szCs w:val="21"/>
                <w:highlight w:val="none"/>
              </w:rPr>
              <w:t>1</w:t>
            </w:r>
          </w:p>
        </w:tc>
        <w:tc>
          <w:tcPr>
            <w:tcW w:w="2317" w:type="dxa"/>
            <w:tcBorders>
              <w:tl2br w:val="nil"/>
              <w:tr2bl w:val="nil"/>
            </w:tcBorders>
            <w:noWrap/>
            <w:vAlign w:val="center"/>
          </w:tcPr>
          <w:p>
            <w:pPr>
              <w:adjustRightInd w:val="0"/>
              <w:snapToGrid w:val="0"/>
              <w:spacing w:before="100" w:beforeAutospacing="1" w:after="100" w:afterAutospacing="1"/>
              <w:jc w:val="center"/>
              <w:rPr>
                <w:color w:val="auto"/>
                <w:szCs w:val="21"/>
                <w:highlight w:val="none"/>
              </w:rPr>
            </w:pPr>
            <w:r>
              <w:rPr>
                <w:rFonts w:hint="default" w:ascii="Times New Roman" w:hAnsi="Times New Roman" w:cs="Times New Roman"/>
                <w:color w:val="auto"/>
                <w:sz w:val="21"/>
                <w:szCs w:val="21"/>
                <w:highlight w:val="none"/>
              </w:rPr>
              <w:t>事故处理组</w:t>
            </w:r>
          </w:p>
        </w:tc>
        <w:tc>
          <w:tcPr>
            <w:tcW w:w="1326" w:type="dxa"/>
            <w:tcBorders>
              <w:tl2br w:val="nil"/>
              <w:tr2bl w:val="nil"/>
            </w:tcBorders>
            <w:noWrap/>
            <w:vAlign w:val="center"/>
          </w:tcPr>
          <w:p>
            <w:pPr>
              <w:adjustRightInd w:val="0"/>
              <w:snapToGrid w:val="0"/>
              <w:spacing w:before="100" w:beforeAutospacing="1" w:after="100" w:afterAutospacing="1"/>
              <w:jc w:val="center"/>
              <w:rPr>
                <w:color w:val="auto"/>
                <w:sz w:val="21"/>
                <w:szCs w:val="21"/>
                <w:highlight w:val="none"/>
              </w:rPr>
            </w:pPr>
            <w:r>
              <w:rPr>
                <w:rFonts w:hint="default" w:ascii="Times New Roman" w:hAnsi="Times New Roman" w:cs="Times New Roman"/>
                <w:color w:val="auto"/>
                <w:sz w:val="21"/>
                <w:szCs w:val="21"/>
                <w:highlight w:val="none"/>
              </w:rPr>
              <w:t>付涛</w:t>
            </w:r>
          </w:p>
        </w:tc>
        <w:tc>
          <w:tcPr>
            <w:tcW w:w="2547" w:type="dxa"/>
            <w:tcBorders>
              <w:tl2br w:val="nil"/>
              <w:tr2bl w:val="nil"/>
            </w:tcBorders>
            <w:noWrap/>
            <w:vAlign w:val="center"/>
          </w:tcPr>
          <w:p>
            <w:pPr>
              <w:adjustRightInd w:val="0"/>
              <w:snapToGrid w:val="0"/>
              <w:spacing w:before="100" w:beforeAutospacing="1" w:after="100" w:afterAutospacing="1"/>
              <w:jc w:val="center"/>
              <w:rPr>
                <w:color w:val="auto"/>
                <w:kern w:val="0"/>
                <w:sz w:val="21"/>
                <w:szCs w:val="21"/>
                <w:highlight w:val="none"/>
              </w:rPr>
            </w:pPr>
            <w:r>
              <w:rPr>
                <w:rFonts w:hint="default" w:ascii="Times New Roman" w:hAnsi="Times New Roman" w:cs="Times New Roman"/>
                <w:color w:val="auto"/>
                <w:sz w:val="21"/>
                <w:szCs w:val="21"/>
                <w:highlight w:val="none"/>
              </w:rPr>
              <w:t>生产科长</w:t>
            </w:r>
          </w:p>
        </w:tc>
        <w:tc>
          <w:tcPr>
            <w:tcW w:w="1327" w:type="dxa"/>
            <w:tcBorders>
              <w:tl2br w:val="nil"/>
              <w:tr2bl w:val="nil"/>
            </w:tcBorders>
            <w:noWrap/>
            <w:vAlign w:val="center"/>
          </w:tcPr>
          <w:p>
            <w:pPr>
              <w:adjustRightInd w:val="0"/>
              <w:snapToGrid w:val="0"/>
              <w:spacing w:before="100" w:beforeAutospacing="1" w:after="100" w:afterAutospacing="1"/>
              <w:jc w:val="center"/>
              <w:rPr>
                <w:color w:val="auto"/>
                <w:kern w:val="0"/>
                <w:sz w:val="21"/>
                <w:szCs w:val="21"/>
                <w:highlight w:val="none"/>
              </w:rPr>
            </w:pPr>
            <w:r>
              <w:rPr>
                <w:rFonts w:hint="default" w:ascii="Times New Roman" w:hAnsi="Times New Roman" w:cs="Times New Roman"/>
                <w:color w:val="auto"/>
                <w:sz w:val="21"/>
                <w:szCs w:val="21"/>
                <w:highlight w:val="none"/>
              </w:rPr>
              <w:t>18861865906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pct"/>
            <w:tcBorders>
              <w:tl2br w:val="nil"/>
              <w:tr2bl w:val="nil"/>
            </w:tcBorders>
            <w:noWrap/>
            <w:vAlign w:val="center"/>
          </w:tcPr>
          <w:p>
            <w:pPr>
              <w:adjustRightInd w:val="0"/>
              <w:snapToGrid w:val="0"/>
              <w:jc w:val="center"/>
              <w:rPr>
                <w:rFonts w:hint="eastAsia" w:eastAsia="宋体"/>
                <w:color w:val="auto"/>
                <w:szCs w:val="21"/>
                <w:highlight w:val="none"/>
                <w:lang w:val="en-US" w:eastAsia="zh-CN"/>
              </w:rPr>
            </w:pPr>
            <w:r>
              <w:rPr>
                <w:rFonts w:hint="eastAsia"/>
                <w:color w:val="auto"/>
                <w:szCs w:val="21"/>
                <w:highlight w:val="none"/>
                <w:lang w:val="en-US" w:eastAsia="zh-CN"/>
              </w:rPr>
              <w:t>2</w:t>
            </w:r>
          </w:p>
        </w:tc>
        <w:tc>
          <w:tcPr>
            <w:tcW w:w="2317" w:type="dxa"/>
            <w:tcBorders>
              <w:tl2br w:val="nil"/>
              <w:tr2bl w:val="nil"/>
            </w:tcBorders>
            <w:noWrap/>
            <w:vAlign w:val="center"/>
          </w:tcPr>
          <w:p>
            <w:pPr>
              <w:adjustRightInd w:val="0"/>
              <w:snapToGrid w:val="0"/>
              <w:jc w:val="center"/>
              <w:rPr>
                <w:color w:val="auto"/>
                <w:sz w:val="21"/>
                <w:szCs w:val="21"/>
                <w:highlight w:val="none"/>
              </w:rPr>
            </w:pPr>
            <w:r>
              <w:rPr>
                <w:rFonts w:hint="default" w:ascii="Times New Roman" w:hAnsi="Times New Roman" w:cs="Times New Roman"/>
                <w:color w:val="auto"/>
                <w:sz w:val="21"/>
                <w:szCs w:val="21"/>
                <w:highlight w:val="none"/>
              </w:rPr>
              <w:t>成员</w:t>
            </w:r>
          </w:p>
        </w:tc>
        <w:tc>
          <w:tcPr>
            <w:tcW w:w="1326" w:type="dxa"/>
            <w:tcBorders>
              <w:tl2br w:val="nil"/>
              <w:tr2bl w:val="nil"/>
            </w:tcBorders>
            <w:noWrap/>
            <w:vAlign w:val="center"/>
          </w:tcPr>
          <w:p>
            <w:pPr>
              <w:adjustRightInd w:val="0"/>
              <w:snapToGrid w:val="0"/>
              <w:jc w:val="center"/>
              <w:rPr>
                <w:color w:val="auto"/>
                <w:kern w:val="0"/>
                <w:sz w:val="21"/>
                <w:szCs w:val="21"/>
                <w:highlight w:val="none"/>
              </w:rPr>
            </w:pPr>
            <w:r>
              <w:rPr>
                <w:rFonts w:hint="default" w:ascii="Times New Roman" w:hAnsi="Times New Roman" w:cs="Times New Roman"/>
                <w:color w:val="auto"/>
                <w:sz w:val="21"/>
                <w:szCs w:val="21"/>
                <w:highlight w:val="none"/>
              </w:rPr>
              <w:t>王佳银</w:t>
            </w:r>
          </w:p>
        </w:tc>
        <w:tc>
          <w:tcPr>
            <w:tcW w:w="2547" w:type="dxa"/>
            <w:tcBorders>
              <w:tl2br w:val="nil"/>
              <w:tr2bl w:val="nil"/>
            </w:tcBorders>
            <w:noWrap/>
            <w:vAlign w:val="center"/>
          </w:tcPr>
          <w:p>
            <w:pPr>
              <w:adjustRightInd w:val="0"/>
              <w:snapToGrid w:val="0"/>
              <w:jc w:val="center"/>
              <w:rPr>
                <w:color w:val="auto"/>
                <w:kern w:val="0"/>
                <w:sz w:val="21"/>
                <w:szCs w:val="21"/>
                <w:highlight w:val="none"/>
              </w:rPr>
            </w:pPr>
            <w:r>
              <w:rPr>
                <w:rFonts w:hint="default" w:ascii="Times New Roman" w:hAnsi="Times New Roman" w:cs="Times New Roman"/>
                <w:color w:val="auto"/>
                <w:sz w:val="21"/>
                <w:szCs w:val="21"/>
                <w:highlight w:val="none"/>
              </w:rPr>
              <w:t>物流组长</w:t>
            </w:r>
          </w:p>
        </w:tc>
        <w:tc>
          <w:tcPr>
            <w:tcW w:w="1327" w:type="dxa"/>
            <w:tcBorders>
              <w:tl2br w:val="nil"/>
              <w:tr2bl w:val="nil"/>
            </w:tcBorders>
            <w:noWrap/>
            <w:vAlign w:val="center"/>
          </w:tcPr>
          <w:p>
            <w:pPr>
              <w:adjustRightInd w:val="0"/>
              <w:snapToGrid w:val="0"/>
              <w:jc w:val="center"/>
              <w:rPr>
                <w:rFonts w:hint="eastAsia"/>
                <w:color w:val="auto"/>
                <w:kern w:val="0"/>
                <w:sz w:val="21"/>
                <w:szCs w:val="21"/>
                <w:highlight w:val="none"/>
              </w:rPr>
            </w:pPr>
            <w:r>
              <w:rPr>
                <w:rFonts w:hint="default" w:ascii="Times New Roman" w:hAnsi="Times New Roman" w:cs="Times New Roman"/>
                <w:color w:val="auto"/>
                <w:sz w:val="21"/>
                <w:szCs w:val="21"/>
                <w:highlight w:val="none"/>
              </w:rPr>
              <w:t>18852474726</w:t>
            </w:r>
          </w:p>
        </w:tc>
      </w:tr>
    </w:tbl>
    <w:p>
      <w:pPr>
        <w:spacing w:line="360" w:lineRule="auto"/>
        <w:ind w:firstLine="480" w:firstLineChars="200"/>
        <w:rPr>
          <w:color w:val="auto"/>
          <w:highlight w:val="none"/>
        </w:rPr>
      </w:pPr>
      <w:r>
        <w:rPr>
          <w:color w:val="auto"/>
          <w:highlight w:val="none"/>
        </w:rPr>
        <w:t>主要职责如下：</w:t>
      </w:r>
    </w:p>
    <w:p>
      <w:pPr>
        <w:spacing w:line="360" w:lineRule="auto"/>
        <w:ind w:firstLine="480" w:firstLineChars="200"/>
        <w:rPr>
          <w:color w:val="auto"/>
          <w:highlight w:val="none"/>
        </w:rPr>
      </w:pPr>
      <w:r>
        <w:rPr>
          <w:color w:val="auto"/>
          <w:highlight w:val="none"/>
        </w:rPr>
        <w:t>（1）对事故进行处置，包括对少量物料泄漏进行堵漏等。</w:t>
      </w:r>
    </w:p>
    <w:p>
      <w:pPr>
        <w:spacing w:line="360" w:lineRule="auto"/>
        <w:ind w:firstLine="480" w:firstLineChars="200"/>
        <w:rPr>
          <w:color w:val="auto"/>
          <w:highlight w:val="none"/>
        </w:rPr>
      </w:pPr>
      <w:r>
        <w:rPr>
          <w:color w:val="auto"/>
          <w:highlight w:val="none"/>
        </w:rPr>
        <w:t>（2）掌握一般的废水、废气监测方法，根据突发事故污染物的扩散速度和事故发生地的气象和地域特点，确定污染物扩散范围；</w:t>
      </w:r>
    </w:p>
    <w:p>
      <w:pPr>
        <w:spacing w:line="360" w:lineRule="auto"/>
        <w:ind w:firstLine="480" w:firstLineChars="200"/>
        <w:rPr>
          <w:color w:val="auto"/>
          <w:highlight w:val="none"/>
        </w:rPr>
      </w:pPr>
      <w:r>
        <w:rPr>
          <w:color w:val="auto"/>
          <w:highlight w:val="none"/>
        </w:rPr>
        <w:t>（3）根据事故现场采样结果，综合分析环境事故污染变化趋势，并通过专家咨询和讨论的方式，预测并报告环境事故的发展情况及污染物的变化情况，作为环境事故应急决策的依据；</w:t>
      </w:r>
    </w:p>
    <w:p>
      <w:pPr>
        <w:spacing w:line="360" w:lineRule="auto"/>
        <w:ind w:firstLine="480" w:firstLineChars="200"/>
        <w:rPr>
          <w:color w:val="auto"/>
          <w:highlight w:val="none"/>
        </w:rPr>
      </w:pPr>
      <w:r>
        <w:rPr>
          <w:color w:val="auto"/>
          <w:highlight w:val="none"/>
        </w:rPr>
        <w:t>（4）协助领导小组做好受事故影响人员的善后工作。</w:t>
      </w:r>
    </w:p>
    <w:p>
      <w:pPr>
        <w:spacing w:line="360" w:lineRule="auto"/>
        <w:ind w:firstLine="480" w:firstLineChars="200"/>
        <w:rPr>
          <w:color w:val="auto"/>
          <w:highlight w:val="none"/>
        </w:rPr>
      </w:pPr>
      <w:r>
        <w:rPr>
          <w:color w:val="auto"/>
          <w:highlight w:val="none"/>
        </w:rPr>
        <w:t>若事态超出小组控制范围，可请求</w:t>
      </w:r>
      <w:bookmarkStart w:id="276" w:name="_GoBack"/>
      <w:bookmarkEnd w:id="276"/>
      <w:r>
        <w:rPr>
          <w:color w:val="auto"/>
          <w:highlight w:val="none"/>
        </w:rPr>
        <w:t>厂内增援，公司应急救援指挥部组织名单</w:t>
      </w:r>
      <w:r>
        <w:rPr>
          <w:rFonts w:hint="eastAsia"/>
          <w:color w:val="auto"/>
          <w:highlight w:val="none"/>
        </w:rPr>
        <w:t>见</w:t>
      </w:r>
      <w:r>
        <w:rPr>
          <w:color w:val="auto"/>
          <w:highlight w:val="none"/>
        </w:rPr>
        <w:t>表3。</w:t>
      </w:r>
    </w:p>
    <w:p>
      <w:pPr>
        <w:adjustRightInd w:val="0"/>
        <w:snapToGrid w:val="0"/>
        <w:jc w:val="center"/>
        <w:rPr>
          <w:b/>
          <w:bCs/>
          <w:color w:val="auto"/>
          <w:highlight w:val="none"/>
        </w:rPr>
      </w:pPr>
    </w:p>
    <w:p>
      <w:pPr>
        <w:adjustRightInd w:val="0"/>
        <w:snapToGrid w:val="0"/>
        <w:jc w:val="center"/>
        <w:rPr>
          <w:b/>
          <w:bCs/>
          <w:color w:val="auto"/>
          <w:highlight w:val="none"/>
        </w:rPr>
      </w:pPr>
    </w:p>
    <w:p>
      <w:pPr>
        <w:adjustRightInd w:val="0"/>
        <w:snapToGrid w:val="0"/>
        <w:jc w:val="center"/>
        <w:rPr>
          <w:b/>
          <w:bCs/>
          <w:color w:val="auto"/>
          <w:highlight w:val="none"/>
        </w:rPr>
      </w:pPr>
    </w:p>
    <w:p>
      <w:pPr>
        <w:adjustRightInd w:val="0"/>
        <w:snapToGrid w:val="0"/>
        <w:jc w:val="center"/>
        <w:rPr>
          <w:b/>
          <w:bCs/>
          <w:color w:val="auto"/>
          <w:highlight w:val="none"/>
        </w:rPr>
      </w:pPr>
    </w:p>
    <w:p>
      <w:pPr>
        <w:adjustRightInd w:val="0"/>
        <w:snapToGrid w:val="0"/>
        <w:jc w:val="center"/>
        <w:rPr>
          <w:b/>
          <w:color w:val="auto"/>
          <w:highlight w:val="none"/>
        </w:rPr>
      </w:pPr>
      <w:r>
        <w:rPr>
          <w:b/>
          <w:bCs/>
          <w:color w:val="auto"/>
          <w:highlight w:val="none"/>
        </w:rPr>
        <w:t>表</w:t>
      </w:r>
      <w:r>
        <w:rPr>
          <w:rFonts w:hint="eastAsia"/>
          <w:b/>
          <w:bCs/>
          <w:color w:val="auto"/>
          <w:highlight w:val="none"/>
        </w:rPr>
        <w:t>3</w:t>
      </w:r>
      <w:r>
        <w:rPr>
          <w:b/>
          <w:bCs/>
          <w:color w:val="auto"/>
          <w:highlight w:val="none"/>
        </w:rPr>
        <w:t xml:space="preserve">  公司应急救援指挥部组织名单</w:t>
      </w:r>
    </w:p>
    <w:tbl>
      <w:tblPr>
        <w:tblStyle w:val="20"/>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650"/>
        <w:gridCol w:w="1260"/>
        <w:gridCol w:w="2586"/>
        <w:gridCol w:w="235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90"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序号</w:t>
            </w:r>
          </w:p>
        </w:tc>
        <w:tc>
          <w:tcPr>
            <w:tcW w:w="968"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职务</w:t>
            </w:r>
          </w:p>
        </w:tc>
        <w:tc>
          <w:tcPr>
            <w:tcW w:w="739"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姓名</w:t>
            </w:r>
          </w:p>
        </w:tc>
        <w:tc>
          <w:tcPr>
            <w:tcW w:w="1517"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职位</w:t>
            </w:r>
          </w:p>
        </w:tc>
        <w:tc>
          <w:tcPr>
            <w:tcW w:w="1383" w:type="pct"/>
            <w:noWrap/>
            <w:vAlign w:val="center"/>
          </w:tcPr>
          <w:p>
            <w:pPr>
              <w:jc w:val="center"/>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联系方式(手机)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总指挥</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陈海</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副总经理</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13771056107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390"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副总指挥</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吴科飞</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办公室主任</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通信警戒组</w:t>
            </w:r>
          </w:p>
        </w:tc>
        <w:tc>
          <w:tcPr>
            <w:tcW w:w="739"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吴科飞</w:t>
            </w:r>
          </w:p>
        </w:tc>
        <w:tc>
          <w:tcPr>
            <w:tcW w:w="1517"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办公室主任</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李红</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内审员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15251520326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抢险灭火组</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蒋政元</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安全员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13405788736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王艳伟</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夹具工</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18351573066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救护疏散组</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朱琴</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质检科副科长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18015349969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吴佩</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检验员</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1525166675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后勤保障组</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周卫平</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机修组组长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18973418746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周小红</w:t>
            </w:r>
          </w:p>
        </w:tc>
        <w:tc>
          <w:tcPr>
            <w:tcW w:w="1517" w:type="pct"/>
            <w:noWrap/>
            <w:vAlign w:val="center"/>
          </w:tcPr>
          <w:p>
            <w:pPr>
              <w:pStyle w:val="48"/>
              <w:adjustRightInd w:val="0"/>
              <w:snapToGrid w:val="0"/>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机修工</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17368785636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968"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事故处理组</w:t>
            </w:r>
          </w:p>
        </w:tc>
        <w:tc>
          <w:tcPr>
            <w:tcW w:w="739"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付涛</w:t>
            </w:r>
          </w:p>
        </w:tc>
        <w:tc>
          <w:tcPr>
            <w:tcW w:w="1517"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生产科长</w:t>
            </w:r>
          </w:p>
        </w:tc>
        <w:tc>
          <w:tcPr>
            <w:tcW w:w="1383" w:type="pct"/>
            <w:noWrap/>
            <w:vAlign w:val="center"/>
          </w:tcPr>
          <w:p>
            <w:pPr>
              <w:adjustRightInd w:val="0"/>
              <w:snapToGrid w:val="0"/>
              <w:spacing w:before="100" w:beforeAutospacing="1" w:after="100" w:afterAutospacing="1"/>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18861865906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王佳银</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物流组长</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18852474726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restar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应急</w:t>
            </w:r>
            <w:r>
              <w:rPr>
                <w:rFonts w:hint="default" w:ascii="Times New Roman" w:hAnsi="Times New Roman" w:cs="Times New Roman"/>
                <w:color w:val="auto"/>
                <w:sz w:val="21"/>
                <w:szCs w:val="21"/>
                <w:highlight w:val="none"/>
                <w:lang w:val="en-US" w:eastAsia="zh-CN"/>
              </w:rPr>
              <w:t>监测</w:t>
            </w:r>
            <w:r>
              <w:rPr>
                <w:rFonts w:hint="default" w:ascii="Times New Roman" w:hAnsi="Times New Roman" w:cs="Times New Roman"/>
                <w:color w:val="auto"/>
                <w:sz w:val="21"/>
                <w:szCs w:val="21"/>
                <w:highlight w:val="none"/>
              </w:rPr>
              <w:t>组</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沈斌</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实验室组长</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18861804682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90" w:type="pct"/>
            <w:vMerge w:val="continue"/>
            <w:noWrap/>
            <w:vAlign w:val="center"/>
          </w:tcPr>
          <w:p>
            <w:pPr>
              <w:adjustRightInd w:val="0"/>
              <w:snapToGrid w:val="0"/>
              <w:jc w:val="center"/>
              <w:rPr>
                <w:rFonts w:hint="default" w:ascii="Times New Roman" w:hAnsi="Times New Roman" w:cs="Times New Roman"/>
                <w:color w:val="auto"/>
                <w:sz w:val="21"/>
                <w:szCs w:val="21"/>
                <w:highlight w:val="none"/>
              </w:rPr>
            </w:pPr>
          </w:p>
        </w:tc>
        <w:tc>
          <w:tcPr>
            <w:tcW w:w="968"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成员</w:t>
            </w:r>
          </w:p>
        </w:tc>
        <w:tc>
          <w:tcPr>
            <w:tcW w:w="739"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孙丹凤</w:t>
            </w:r>
          </w:p>
        </w:tc>
        <w:tc>
          <w:tcPr>
            <w:tcW w:w="1517"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实验员</w:t>
            </w:r>
          </w:p>
        </w:tc>
        <w:tc>
          <w:tcPr>
            <w:tcW w:w="1383" w:type="pct"/>
            <w:noWrap/>
            <w:vAlign w:val="center"/>
          </w:tcPr>
          <w:p>
            <w:pPr>
              <w:adjustRightInd w:val="0"/>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13915335530</w:t>
            </w:r>
          </w:p>
        </w:tc>
      </w:tr>
    </w:tbl>
    <w:p>
      <w:pPr>
        <w:adjustRightInd w:val="0"/>
        <w:snapToGrid w:val="0"/>
        <w:jc w:val="center"/>
        <w:rPr>
          <w:b/>
          <w:color w:val="auto"/>
          <w:highlight w:val="none"/>
        </w:rPr>
      </w:pPr>
    </w:p>
    <w:p>
      <w:pPr>
        <w:pStyle w:val="4"/>
        <w:rPr>
          <w:color w:val="auto"/>
          <w:highlight w:val="none"/>
        </w:rPr>
      </w:pPr>
      <w:bookmarkStart w:id="254" w:name="_Toc30913"/>
      <w:r>
        <w:rPr>
          <w:color w:val="auto"/>
          <w:highlight w:val="none"/>
        </w:rPr>
        <w:t>4 应急处置程序</w:t>
      </w:r>
      <w:bookmarkEnd w:id="254"/>
    </w:p>
    <w:p>
      <w:pPr>
        <w:adjustRightInd w:val="0"/>
        <w:snapToGrid w:val="0"/>
        <w:spacing w:line="360" w:lineRule="auto"/>
        <w:ind w:firstLine="480" w:firstLineChars="200"/>
        <w:rPr>
          <w:color w:val="auto"/>
          <w:highlight w:val="none"/>
        </w:rPr>
      </w:pPr>
      <w:r>
        <w:rPr>
          <w:color w:val="auto"/>
          <w:highlight w:val="none"/>
        </w:rPr>
        <w:t>（1）事件信息接收、报告和通报程序</w:t>
      </w:r>
    </w:p>
    <w:p>
      <w:pPr>
        <w:adjustRightInd w:val="0"/>
        <w:snapToGrid w:val="0"/>
        <w:spacing w:line="360" w:lineRule="auto"/>
        <w:ind w:firstLine="480" w:firstLineChars="200"/>
        <w:rPr>
          <w:color w:val="auto"/>
          <w:highlight w:val="none"/>
        </w:rPr>
      </w:pPr>
      <w:r>
        <w:rPr>
          <w:color w:val="auto"/>
          <w:highlight w:val="none"/>
        </w:rPr>
        <w:t>①厂内报警程序</w:t>
      </w:r>
    </w:p>
    <w:p>
      <w:pPr>
        <w:adjustRightInd w:val="0"/>
        <w:snapToGrid w:val="0"/>
        <w:spacing w:line="360" w:lineRule="auto"/>
        <w:ind w:firstLine="480" w:firstLineChars="200"/>
        <w:rPr>
          <w:color w:val="auto"/>
          <w:highlight w:val="none"/>
        </w:rPr>
      </w:pPr>
      <w:r>
        <w:rPr>
          <w:color w:val="auto"/>
          <w:highlight w:val="none"/>
        </w:rPr>
        <w:t>在生产过程中，如岗位操作人员或巡检时发现突发环境事件，应立即采取相应措施处理。若只是小范围泄漏等事故，立即用手机上报车间负责人；若火灾等大型事故，立即用手机上报应急值班室，值班室接到报警立即向应急救援指挥部总指挥报告事件内容并做好详细记录后，并通知各应急指挥小组与相关部门。</w:t>
      </w:r>
    </w:p>
    <w:p>
      <w:pPr>
        <w:adjustRightInd w:val="0"/>
        <w:snapToGrid w:val="0"/>
        <w:spacing w:line="360" w:lineRule="auto"/>
        <w:ind w:firstLine="480" w:firstLineChars="200"/>
        <w:rPr>
          <w:color w:val="auto"/>
          <w:highlight w:val="none"/>
        </w:rPr>
      </w:pPr>
      <w:r>
        <w:rPr>
          <w:color w:val="auto"/>
          <w:highlight w:val="none"/>
        </w:rPr>
        <w:t>事故单元→车间负责人→部门负责人→应急救援指挥部（值班长）→应急救援小组。</w:t>
      </w:r>
    </w:p>
    <w:p>
      <w:pPr>
        <w:adjustRightInd w:val="0"/>
        <w:snapToGrid w:val="0"/>
        <w:spacing w:line="360" w:lineRule="auto"/>
        <w:ind w:firstLine="480" w:firstLineChars="200"/>
        <w:rPr>
          <w:color w:val="auto"/>
          <w:highlight w:val="none"/>
        </w:rPr>
      </w:pPr>
      <w:r>
        <w:rPr>
          <w:smallCaps/>
          <w:color w:val="auto"/>
          <w:kern w:val="0"/>
          <w:highlight w:val="none"/>
        </w:rPr>
        <w:t>②</w:t>
      </w:r>
      <w:r>
        <w:rPr>
          <w:color w:val="auto"/>
          <w:highlight w:val="none"/>
        </w:rPr>
        <w:t>报告内容如下：</w:t>
      </w:r>
    </w:p>
    <w:p>
      <w:pPr>
        <w:adjustRightInd w:val="0"/>
        <w:snapToGrid w:val="0"/>
        <w:spacing w:line="360" w:lineRule="auto"/>
        <w:ind w:firstLine="480" w:firstLineChars="200"/>
        <w:rPr>
          <w:color w:val="auto"/>
          <w:highlight w:val="none"/>
        </w:rPr>
      </w:pPr>
      <w:r>
        <w:rPr>
          <w:color w:val="auto"/>
          <w:highlight w:val="none"/>
        </w:rPr>
        <w:t>事故发生的时间和地点；</w:t>
      </w:r>
    </w:p>
    <w:p>
      <w:pPr>
        <w:adjustRightInd w:val="0"/>
        <w:snapToGrid w:val="0"/>
        <w:spacing w:line="360" w:lineRule="auto"/>
        <w:ind w:firstLine="480" w:firstLineChars="200"/>
        <w:rPr>
          <w:color w:val="auto"/>
          <w:highlight w:val="none"/>
        </w:rPr>
      </w:pPr>
      <w:r>
        <w:rPr>
          <w:color w:val="auto"/>
          <w:highlight w:val="none"/>
        </w:rPr>
        <w:t>事故类型：火灾、泄漏（暂时状态、连续状态）；</w:t>
      </w:r>
    </w:p>
    <w:p>
      <w:pPr>
        <w:adjustRightInd w:val="0"/>
        <w:snapToGrid w:val="0"/>
        <w:spacing w:line="360" w:lineRule="auto"/>
        <w:ind w:firstLine="480" w:firstLineChars="200"/>
        <w:rPr>
          <w:color w:val="auto"/>
          <w:highlight w:val="none"/>
        </w:rPr>
      </w:pPr>
      <w:r>
        <w:rPr>
          <w:color w:val="auto"/>
          <w:highlight w:val="none"/>
        </w:rPr>
        <w:t>估计造成事故的泄漏量；</w:t>
      </w:r>
    </w:p>
    <w:p>
      <w:pPr>
        <w:adjustRightInd w:val="0"/>
        <w:snapToGrid w:val="0"/>
        <w:spacing w:line="360" w:lineRule="auto"/>
        <w:ind w:firstLine="480" w:firstLineChars="200"/>
        <w:rPr>
          <w:color w:val="auto"/>
          <w:highlight w:val="none"/>
        </w:rPr>
      </w:pPr>
      <w:r>
        <w:rPr>
          <w:color w:val="auto"/>
          <w:highlight w:val="none"/>
        </w:rPr>
        <w:t>事故可能持续的时间；</w:t>
      </w:r>
    </w:p>
    <w:p>
      <w:pPr>
        <w:adjustRightInd w:val="0"/>
        <w:snapToGrid w:val="0"/>
        <w:spacing w:line="360" w:lineRule="auto"/>
        <w:ind w:firstLine="480" w:firstLineChars="200"/>
        <w:rPr>
          <w:color w:val="auto"/>
          <w:highlight w:val="none"/>
        </w:rPr>
      </w:pPr>
      <w:r>
        <w:rPr>
          <w:color w:val="auto"/>
          <w:highlight w:val="none"/>
        </w:rPr>
        <w:t>健康危害与必要的医疗措施；</w:t>
      </w:r>
    </w:p>
    <w:p>
      <w:pPr>
        <w:adjustRightInd w:val="0"/>
        <w:snapToGrid w:val="0"/>
        <w:spacing w:line="360" w:lineRule="auto"/>
        <w:ind w:firstLine="480" w:firstLineChars="200"/>
        <w:rPr>
          <w:color w:val="auto"/>
          <w:highlight w:val="none"/>
        </w:rPr>
      </w:pPr>
      <w:r>
        <w:rPr>
          <w:color w:val="auto"/>
          <w:highlight w:val="none"/>
        </w:rPr>
        <w:t>联系人姓名和电话。</w:t>
      </w:r>
    </w:p>
    <w:p>
      <w:pPr>
        <w:adjustRightInd w:val="0"/>
        <w:snapToGrid w:val="0"/>
        <w:spacing w:line="360" w:lineRule="auto"/>
        <w:ind w:firstLine="480" w:firstLineChars="200"/>
        <w:rPr>
          <w:color w:val="auto"/>
          <w:highlight w:val="none"/>
        </w:rPr>
      </w:pPr>
      <w:r>
        <w:rPr>
          <w:color w:val="auto"/>
          <w:highlight w:val="none"/>
        </w:rPr>
        <w:t>（2）事故单元向相关负责人报警模式：“我是××车间×××（姓名），××车间发生火灾（××泄漏）事故，请求救援”。</w:t>
      </w:r>
    </w:p>
    <w:p>
      <w:pPr>
        <w:adjustRightInd w:val="0"/>
        <w:snapToGrid w:val="0"/>
        <w:spacing w:line="360" w:lineRule="auto"/>
        <w:ind w:firstLine="480" w:firstLineChars="200"/>
        <w:rPr>
          <w:color w:val="auto"/>
          <w:highlight w:val="none"/>
        </w:rPr>
      </w:pPr>
      <w:r>
        <w:rPr>
          <w:color w:val="auto"/>
          <w:highlight w:val="none"/>
        </w:rPr>
        <w:t>（3）厂内发布警报以报警器为主，警报模式：</w:t>
      </w:r>
    </w:p>
    <w:p>
      <w:pPr>
        <w:adjustRightInd w:val="0"/>
        <w:snapToGrid w:val="0"/>
        <w:spacing w:line="360" w:lineRule="auto"/>
        <w:ind w:firstLine="480" w:firstLineChars="200"/>
        <w:rPr>
          <w:color w:val="auto"/>
          <w:highlight w:val="none"/>
        </w:rPr>
      </w:pPr>
      <w:r>
        <w:rPr>
          <w:color w:val="auto"/>
          <w:highlight w:val="none"/>
        </w:rPr>
        <w:t>发生事故时，车间声光报警器及烟感报警器会发出警报声，若员工发现车间发生事故但声光报警器未响应，可启动手动报警器。同时用厂内电话（手机）报告至应急救援指挥部成员，报警时声音要清晰。</w:t>
      </w:r>
    </w:p>
    <w:p>
      <w:pPr>
        <w:adjustRightInd w:val="0"/>
        <w:snapToGrid w:val="0"/>
        <w:spacing w:line="360" w:lineRule="auto"/>
        <w:ind w:firstLine="480" w:firstLineChars="200"/>
        <w:rPr>
          <w:color w:val="auto"/>
          <w:highlight w:val="none"/>
        </w:rPr>
      </w:pPr>
      <w:r>
        <w:rPr>
          <w:color w:val="auto"/>
          <w:highlight w:val="none"/>
        </w:rPr>
        <w:t>（4）如需撤离全厂人员时，须及时发布警报，警报模式：手机“紧急通知：××车间发生火灾（××泄漏）事故，全厂人员立即撤离到××（地点）”。连播三遍，1分钟后再播一次（三遍）。</w:t>
      </w:r>
    </w:p>
    <w:p>
      <w:pPr>
        <w:autoSpaceDE w:val="0"/>
        <w:autoSpaceDN w:val="0"/>
        <w:adjustRightInd w:val="0"/>
        <w:snapToGrid w:val="0"/>
        <w:spacing w:line="360" w:lineRule="auto"/>
        <w:ind w:firstLine="480" w:firstLineChars="200"/>
        <w:rPr>
          <w:color w:val="auto"/>
          <w:highlight w:val="none"/>
        </w:rPr>
      </w:pPr>
      <w:r>
        <w:rPr>
          <w:color w:val="auto"/>
          <w:highlight w:val="none"/>
        </w:rPr>
        <w:t>（5）报告方式</w:t>
      </w:r>
    </w:p>
    <w:p>
      <w:pPr>
        <w:autoSpaceDE w:val="0"/>
        <w:autoSpaceDN w:val="0"/>
        <w:adjustRightInd w:val="0"/>
        <w:snapToGrid w:val="0"/>
        <w:spacing w:line="360" w:lineRule="auto"/>
        <w:ind w:firstLine="480" w:firstLineChars="200"/>
        <w:rPr>
          <w:color w:val="auto"/>
          <w:highlight w:val="none"/>
        </w:rPr>
      </w:pPr>
      <w:r>
        <w:rPr>
          <w:color w:val="auto"/>
          <w:highlight w:val="none"/>
        </w:rPr>
        <w:t>口头汇报方式：发生事故后，在初步了解事故情况后，事故应急领导小组和应急工作组应当立即通过电话向应急救援指挥部进行口头汇报。</w:t>
      </w:r>
      <w:r>
        <w:rPr>
          <w:color w:val="auto"/>
          <w:kern w:val="24"/>
          <w:highlight w:val="none"/>
        </w:rPr>
        <w:t>现场突发环境事件知情人不可以未经领导指示，直接将事故信息上报政府部门。如发生事故，需根据发生事故时的风向，通过电话的方式，告知下风向的敏感目标人员进行防护、甚至是撤离；如发生废水事故排放，进入附近水体环境时，为Ⅰ级事故，立即启动无锡惠山区突发环境事件应急预案，将环境应急指挥权移交给无锡市惠山区人民政府</w:t>
      </w:r>
      <w:r>
        <w:rPr>
          <w:rFonts w:hint="eastAsia"/>
          <w:color w:val="auto"/>
          <w:kern w:val="24"/>
          <w:highlight w:val="none"/>
        </w:rPr>
        <w:t>，由惠山区人民政府进一步采取措施进行管控。</w:t>
      </w:r>
    </w:p>
    <w:p>
      <w:pPr>
        <w:autoSpaceDE w:val="0"/>
        <w:autoSpaceDN w:val="0"/>
        <w:adjustRightInd w:val="0"/>
        <w:snapToGrid w:val="0"/>
        <w:spacing w:line="360" w:lineRule="auto"/>
        <w:ind w:firstLine="480" w:firstLineChars="200"/>
        <w:rPr>
          <w:color w:val="auto"/>
          <w:highlight w:val="none"/>
        </w:rPr>
      </w:pPr>
      <w:r>
        <w:rPr>
          <w:color w:val="auto"/>
          <w:highlight w:val="none"/>
        </w:rPr>
        <w:t>书面汇报方式：在初步了解事故情况后，应当在1个小时内，逐级以书面材料上报事故有关情况。</w:t>
      </w:r>
    </w:p>
    <w:p>
      <w:pPr>
        <w:pStyle w:val="4"/>
        <w:rPr>
          <w:color w:val="auto"/>
          <w:highlight w:val="none"/>
        </w:rPr>
      </w:pPr>
      <w:bookmarkStart w:id="255" w:name="_Toc8117"/>
      <w:r>
        <w:rPr>
          <w:color w:val="auto"/>
          <w:highlight w:val="none"/>
        </w:rPr>
        <w:t>5 应急处置措施</w:t>
      </w:r>
      <w:bookmarkEnd w:id="255"/>
    </w:p>
    <w:p>
      <w:pPr>
        <w:adjustRightInd w:val="0"/>
        <w:snapToGrid w:val="0"/>
        <w:spacing w:line="360" w:lineRule="auto"/>
        <w:ind w:firstLine="480" w:firstLineChars="200"/>
        <w:rPr>
          <w:color w:val="auto"/>
          <w:kern w:val="0"/>
          <w:highlight w:val="none"/>
        </w:rPr>
      </w:pPr>
      <w:r>
        <w:rPr>
          <w:color w:val="auto"/>
          <w:kern w:val="0"/>
          <w:highlight w:val="none"/>
        </w:rPr>
        <w:t>（1）泄漏</w:t>
      </w:r>
    </w:p>
    <w:p>
      <w:pPr>
        <w:adjustRightInd w:val="0"/>
        <w:snapToGrid w:val="0"/>
        <w:spacing w:line="360" w:lineRule="auto"/>
        <w:ind w:firstLine="480" w:firstLineChars="200"/>
        <w:rPr>
          <w:color w:val="auto"/>
          <w:kern w:val="0"/>
          <w:highlight w:val="none"/>
        </w:rPr>
      </w:pPr>
      <w:r>
        <w:rPr>
          <w:color w:val="auto"/>
          <w:kern w:val="0"/>
          <w:highlight w:val="none"/>
        </w:rPr>
        <w:t>①一般小范围泄漏事故，可由发现者使用防渗漏托盘予以吸收处理。</w:t>
      </w:r>
    </w:p>
    <w:p>
      <w:pPr>
        <w:adjustRightInd w:val="0"/>
        <w:snapToGrid w:val="0"/>
        <w:spacing w:line="360" w:lineRule="auto"/>
        <w:ind w:firstLine="480" w:firstLineChars="200"/>
        <w:rPr>
          <w:color w:val="auto"/>
          <w:kern w:val="0"/>
          <w:highlight w:val="none"/>
        </w:rPr>
      </w:pPr>
      <w:r>
        <w:rPr>
          <w:color w:val="auto"/>
          <w:kern w:val="0"/>
          <w:highlight w:val="none"/>
        </w:rPr>
        <w:t>②桶装物发生破裂，造成液体泄漏，当班操作人员应立即将包装物的裂口向上，防止液体继续外溢，并将事故状态报告当班负责人；将事故桶移至安全区域进行处理。</w:t>
      </w:r>
    </w:p>
    <w:p>
      <w:pPr>
        <w:adjustRightInd w:val="0"/>
        <w:snapToGrid w:val="0"/>
        <w:spacing w:line="360" w:lineRule="auto"/>
        <w:ind w:firstLine="480" w:firstLineChars="200"/>
        <w:rPr>
          <w:color w:val="auto"/>
          <w:kern w:val="0"/>
          <w:highlight w:val="none"/>
        </w:rPr>
      </w:pPr>
      <w:r>
        <w:rPr>
          <w:color w:val="auto"/>
          <w:kern w:val="0"/>
          <w:highlight w:val="none"/>
        </w:rPr>
        <w:t>③当二次容器发生泄漏后，采取措施修补和堵塞裂口并转移容器內泄漏物至其它二次容器内。</w:t>
      </w:r>
    </w:p>
    <w:p>
      <w:pPr>
        <w:adjustRightInd w:val="0"/>
        <w:snapToGrid w:val="0"/>
        <w:spacing w:line="360" w:lineRule="auto"/>
        <w:ind w:firstLine="480" w:firstLineChars="200"/>
        <w:rPr>
          <w:color w:val="auto"/>
          <w:kern w:val="0"/>
          <w:highlight w:val="none"/>
        </w:rPr>
      </w:pPr>
      <w:r>
        <w:rPr>
          <w:color w:val="auto"/>
          <w:kern w:val="0"/>
          <w:highlight w:val="none"/>
        </w:rPr>
        <w:t>④围堵时准备好围堵工具（如黄沙、沙袋、铁锹等）。</w:t>
      </w:r>
    </w:p>
    <w:p>
      <w:pPr>
        <w:adjustRightInd w:val="0"/>
        <w:snapToGrid w:val="0"/>
        <w:spacing w:line="360" w:lineRule="auto"/>
        <w:ind w:firstLine="480" w:firstLineChars="200"/>
        <w:rPr>
          <w:color w:val="auto"/>
          <w:kern w:val="0"/>
          <w:highlight w:val="none"/>
        </w:rPr>
      </w:pPr>
      <w:r>
        <w:rPr>
          <w:color w:val="auto"/>
          <w:kern w:val="0"/>
          <w:highlight w:val="none"/>
        </w:rPr>
        <w:t>⑤大量泄漏时应采取挖坑收容，如果是油性物质泄漏，需避免明火。</w:t>
      </w:r>
    </w:p>
    <w:p>
      <w:pPr>
        <w:adjustRightInd w:val="0"/>
        <w:snapToGrid w:val="0"/>
        <w:spacing w:line="360" w:lineRule="auto"/>
        <w:ind w:firstLine="480" w:firstLineChars="200"/>
        <w:rPr>
          <w:color w:val="auto"/>
          <w:kern w:val="0"/>
          <w:highlight w:val="none"/>
        </w:rPr>
      </w:pPr>
      <w:r>
        <w:rPr>
          <w:color w:val="auto"/>
          <w:kern w:val="0"/>
          <w:highlight w:val="none"/>
        </w:rPr>
        <w:t>⑥进行现场洗消、处理工作，对于有害污染物、污水等，应注意采取相应围堵措施，待应急结束后交由备资质单位进行处置，并办理相关手续。</w:t>
      </w:r>
    </w:p>
    <w:p>
      <w:pPr>
        <w:adjustRightInd w:val="0"/>
        <w:snapToGrid w:val="0"/>
        <w:spacing w:line="360" w:lineRule="auto"/>
        <w:ind w:left="480" w:leftChars="200"/>
        <w:rPr>
          <w:color w:val="auto"/>
          <w:kern w:val="0"/>
          <w:highlight w:val="none"/>
        </w:rPr>
      </w:pPr>
      <w:r>
        <w:rPr>
          <w:color w:val="auto"/>
          <w:kern w:val="0"/>
          <w:highlight w:val="none"/>
        </w:rPr>
        <w:t>（2）火灾</w:t>
      </w:r>
    </w:p>
    <w:p>
      <w:pPr>
        <w:adjustRightInd w:val="0"/>
        <w:snapToGrid w:val="0"/>
        <w:spacing w:line="360" w:lineRule="auto"/>
        <w:ind w:firstLine="480" w:firstLineChars="200"/>
        <w:rPr>
          <w:color w:val="auto"/>
          <w:highlight w:val="none"/>
        </w:rPr>
      </w:pPr>
      <w:r>
        <w:rPr>
          <w:color w:val="auto"/>
          <w:highlight w:val="none"/>
        </w:rPr>
        <w:t>发现着火，无论任何部门和个人都应根据火势的大小果断地采取以下措施：</w:t>
      </w:r>
    </w:p>
    <w:p>
      <w:pPr>
        <w:adjustRightInd w:val="0"/>
        <w:snapToGrid w:val="0"/>
        <w:spacing w:line="360" w:lineRule="auto"/>
        <w:ind w:firstLine="480" w:firstLineChars="200"/>
        <w:rPr>
          <w:color w:val="auto"/>
          <w:kern w:val="0"/>
          <w:highlight w:val="none"/>
        </w:rPr>
      </w:pPr>
      <w:r>
        <w:rPr>
          <w:color w:val="auto"/>
          <w:kern w:val="0"/>
          <w:highlight w:val="none"/>
        </w:rPr>
        <w:t>①发生火情，第一发观人应高声呼喊，使附近人员能够听到或协助扑救。</w:t>
      </w:r>
    </w:p>
    <w:p>
      <w:pPr>
        <w:adjustRightInd w:val="0"/>
        <w:snapToGrid w:val="0"/>
        <w:spacing w:line="360" w:lineRule="auto"/>
        <w:ind w:firstLine="480" w:firstLineChars="200"/>
        <w:rPr>
          <w:color w:val="auto"/>
          <w:kern w:val="0"/>
          <w:highlight w:val="none"/>
        </w:rPr>
      </w:pPr>
      <w:r>
        <w:rPr>
          <w:color w:val="auto"/>
          <w:kern w:val="0"/>
          <w:highlight w:val="none"/>
        </w:rPr>
        <w:t>②发生火情后，电工负责断电，现场人员组织各部门人员用灭火器材等进行灭火，若电路失火，必须先切断电源，严禁使用水或液体灭火以防触电事故发生。</w:t>
      </w:r>
    </w:p>
    <w:p>
      <w:pPr>
        <w:adjustRightInd w:val="0"/>
        <w:snapToGrid w:val="0"/>
        <w:spacing w:line="360" w:lineRule="auto"/>
        <w:ind w:firstLine="480" w:firstLineChars="200"/>
        <w:rPr>
          <w:color w:val="auto"/>
          <w:kern w:val="0"/>
          <w:highlight w:val="none"/>
        </w:rPr>
      </w:pPr>
      <w:r>
        <w:rPr>
          <w:color w:val="auto"/>
          <w:kern w:val="0"/>
          <w:highlight w:val="none"/>
        </w:rPr>
        <w:t>③火灾发生时，为防止有人被困，发生窒息伤害，准备部分毛巾，湿润后蒙在口、鼻上，抢救被困人员时，为其准备同样毛巾，以备应急时使用，防止有毒有害气体吸入肺部，造成窒息伤害。被烧人员救出后应采取简单的救护方法救助如用净水冲洗一下被烧部位，将污物冲净，再用干净纱布简单包扎，同时联系急救车抢救。</w:t>
      </w:r>
    </w:p>
    <w:p>
      <w:pPr>
        <w:adjustRightInd w:val="0"/>
        <w:snapToGrid w:val="0"/>
        <w:spacing w:line="360" w:lineRule="auto"/>
        <w:ind w:firstLine="480" w:firstLineChars="200"/>
        <w:rPr>
          <w:color w:val="auto"/>
          <w:kern w:val="0"/>
          <w:highlight w:val="none"/>
        </w:rPr>
      </w:pPr>
      <w:r>
        <w:rPr>
          <w:color w:val="auto"/>
          <w:kern w:val="0"/>
          <w:highlight w:val="none"/>
        </w:rPr>
        <w:t>④组织扑救火灾。当现场发生火灾时，应急响应指挥部及时报警，并要立即组织职工进行扑救火灾。先派人切断电源，接通消防栓，领取灭火器材，组织抢救伤亡人员，隔离火灾危险源和重点物资，充分利用现场消防设施器材进行灭火。在火灾初期阶段使用灭火器、消防栓进行火灾扑救，根据情况确定疏散、逃生通道，指挥撒离，并维持秩序和清点人数。根据仿员情况确定急救措施，并协助专业医务人员进行伤员救护。做好现场保护工作，设立警示牌，防止二次火险。</w:t>
      </w:r>
    </w:p>
    <w:p>
      <w:pPr>
        <w:adjustRightInd w:val="0"/>
        <w:snapToGrid w:val="0"/>
        <w:spacing w:line="360" w:lineRule="auto"/>
        <w:ind w:firstLine="480" w:firstLineChars="200"/>
        <w:rPr>
          <w:color w:val="auto"/>
          <w:kern w:val="0"/>
          <w:highlight w:val="none"/>
        </w:rPr>
      </w:pPr>
      <w:r>
        <w:rPr>
          <w:color w:val="auto"/>
          <w:kern w:val="0"/>
          <w:highlight w:val="none"/>
        </w:rPr>
        <w:t>⑤人员疏散是减少人员伤亡扩大的关键，也是最彻底的应急响应，在现场平面布置图上绘制疏散通道，一旦发生火灾等事故，人员可按图示疏散撤离到安全地带。</w:t>
      </w:r>
    </w:p>
    <w:p>
      <w:pPr>
        <w:adjustRightInd w:val="0"/>
        <w:snapToGrid w:val="0"/>
        <w:spacing w:line="360" w:lineRule="auto"/>
        <w:ind w:firstLine="480" w:firstLineChars="200"/>
        <w:rPr>
          <w:color w:val="auto"/>
          <w:highlight w:val="none"/>
        </w:rPr>
      </w:pPr>
      <w:r>
        <w:rPr>
          <w:color w:val="auto"/>
          <w:highlight w:val="none"/>
        </w:rPr>
        <w:t>（</w:t>
      </w:r>
      <w:r>
        <w:rPr>
          <w:rFonts w:hint="eastAsia"/>
          <w:color w:val="auto"/>
          <w:highlight w:val="none"/>
          <w:lang w:val="en-US" w:eastAsia="zh-CN"/>
        </w:rPr>
        <w:t>3</w:t>
      </w:r>
      <w:r>
        <w:rPr>
          <w:color w:val="auto"/>
          <w:highlight w:val="none"/>
        </w:rPr>
        <w:t>）急救措施</w:t>
      </w:r>
    </w:p>
    <w:p>
      <w:pPr>
        <w:adjustRightInd w:val="0"/>
        <w:snapToGrid w:val="0"/>
        <w:spacing w:line="360" w:lineRule="auto"/>
        <w:ind w:firstLine="480" w:firstLineChars="200"/>
        <w:rPr>
          <w:color w:val="auto"/>
          <w:kern w:val="0"/>
          <w:highlight w:val="none"/>
        </w:rPr>
      </w:pPr>
      <w:r>
        <w:rPr>
          <w:color w:val="auto"/>
          <w:kern w:val="0"/>
          <w:highlight w:val="none"/>
        </w:rPr>
        <w:t>①如发生危险化学品中毒时，应急救援人员必须佩戴空气呼吸器进入现场危险区，沿逆风方向将染毒者迅速撤离现场，转移到上风或侧上风方向空气无污染地区；</w:t>
      </w:r>
    </w:p>
    <w:p>
      <w:pPr>
        <w:adjustRightInd w:val="0"/>
        <w:snapToGrid w:val="0"/>
        <w:spacing w:line="360" w:lineRule="auto"/>
        <w:ind w:firstLine="480" w:firstLineChars="200"/>
        <w:rPr>
          <w:color w:val="auto"/>
          <w:kern w:val="0"/>
          <w:highlight w:val="none"/>
        </w:rPr>
      </w:pPr>
      <w:r>
        <w:rPr>
          <w:color w:val="auto"/>
          <w:kern w:val="0"/>
          <w:highlight w:val="none"/>
        </w:rPr>
        <w:t>②有条件时应立即进行呼吸道及全身防护，防止继续吸入染毒；</w:t>
      </w:r>
    </w:p>
    <w:p>
      <w:pPr>
        <w:adjustRightInd w:val="0"/>
        <w:snapToGrid w:val="0"/>
        <w:spacing w:line="360" w:lineRule="auto"/>
        <w:ind w:firstLine="480" w:firstLineChars="200"/>
        <w:rPr>
          <w:color w:val="auto"/>
          <w:kern w:val="0"/>
          <w:highlight w:val="none"/>
        </w:rPr>
      </w:pPr>
      <w:r>
        <w:rPr>
          <w:color w:val="auto"/>
          <w:kern w:val="0"/>
          <w:highlight w:val="none"/>
        </w:rPr>
        <w:t>③对呼吸、心跳停止者，应立即进行人工呼吸和心脏挤压，采取心肺复苏措施，并给予氧气；</w:t>
      </w:r>
    </w:p>
    <w:p>
      <w:pPr>
        <w:adjustRightInd w:val="0"/>
        <w:snapToGrid w:val="0"/>
        <w:spacing w:line="360" w:lineRule="auto"/>
        <w:ind w:firstLine="480" w:firstLineChars="200"/>
        <w:rPr>
          <w:color w:val="auto"/>
          <w:kern w:val="0"/>
          <w:highlight w:val="none"/>
        </w:rPr>
      </w:pPr>
      <w:r>
        <w:rPr>
          <w:color w:val="auto"/>
          <w:kern w:val="0"/>
          <w:highlight w:val="none"/>
        </w:rPr>
        <w:t>④立即脱去</w:t>
      </w:r>
      <w:r>
        <w:rPr>
          <w:rFonts w:hint="eastAsia"/>
          <w:color w:val="auto"/>
          <w:kern w:val="0"/>
          <w:highlight w:val="none"/>
        </w:rPr>
        <w:t>被</w:t>
      </w:r>
      <w:r>
        <w:rPr>
          <w:color w:val="auto"/>
          <w:kern w:val="0"/>
          <w:highlight w:val="none"/>
        </w:rPr>
        <w:t>污染者的服装；皮肤污染者，用流动清水或肥皂水彻底冲洗；眼睛污染者，用大量流动清水彻底冲洗。</w:t>
      </w:r>
    </w:p>
    <w:p>
      <w:pPr>
        <w:widowControl/>
        <w:adjustRightInd w:val="0"/>
        <w:snapToGrid w:val="0"/>
        <w:spacing w:line="360" w:lineRule="auto"/>
        <w:ind w:firstLine="480" w:firstLineChars="200"/>
        <w:jc w:val="left"/>
        <w:rPr>
          <w:color w:val="auto"/>
          <w:highlight w:val="none"/>
        </w:rPr>
      </w:pPr>
      <w:r>
        <w:rPr>
          <w:color w:val="auto"/>
          <w:kern w:val="0"/>
          <w:highlight w:val="none"/>
        </w:rPr>
        <w:t>⑤根据受伤情况进行现场急救，并拨打电话120，直至医务救援人员赶到，视实际情况将受伤、中毒人员送往医院抢救。</w:t>
      </w:r>
    </w:p>
    <w:p>
      <w:pPr>
        <w:pStyle w:val="4"/>
        <w:adjustRightInd w:val="0"/>
        <w:snapToGrid w:val="0"/>
        <w:rPr>
          <w:color w:val="auto"/>
          <w:highlight w:val="none"/>
        </w:rPr>
      </w:pPr>
      <w:bookmarkStart w:id="256" w:name="_Toc23140"/>
      <w:r>
        <w:rPr>
          <w:color w:val="auto"/>
          <w:highlight w:val="none"/>
        </w:rPr>
        <w:t>6 应急处置卡</w:t>
      </w:r>
      <w:bookmarkEnd w:id="256"/>
    </w:p>
    <w:p>
      <w:pPr>
        <w:widowControl/>
        <w:adjustRightInd w:val="0"/>
        <w:snapToGrid w:val="0"/>
        <w:spacing w:line="360" w:lineRule="auto"/>
        <w:ind w:firstLine="480" w:firstLineChars="200"/>
        <w:jc w:val="left"/>
        <w:rPr>
          <w:color w:val="auto"/>
          <w:kern w:val="0"/>
          <w:highlight w:val="none"/>
        </w:rPr>
      </w:pPr>
      <w:r>
        <w:rPr>
          <w:color w:val="auto"/>
          <w:kern w:val="0"/>
          <w:highlight w:val="none"/>
        </w:rPr>
        <w:t>针对</w:t>
      </w:r>
      <w:r>
        <w:rPr>
          <w:rFonts w:hint="eastAsia"/>
          <w:color w:val="auto"/>
          <w:kern w:val="0"/>
          <w:highlight w:val="none"/>
          <w:lang w:val="en-US" w:eastAsia="zh-CN"/>
        </w:rPr>
        <w:t>生产车间、酸性库</w:t>
      </w:r>
      <w:r>
        <w:rPr>
          <w:color w:val="auto"/>
          <w:kern w:val="0"/>
          <w:highlight w:val="none"/>
        </w:rPr>
        <w:t>、</w:t>
      </w:r>
      <w:r>
        <w:rPr>
          <w:rFonts w:hint="eastAsia"/>
          <w:color w:val="auto"/>
          <w:kern w:val="0"/>
          <w:highlight w:val="none"/>
        </w:rPr>
        <w:t>废气治理设施、废水治理设施、</w:t>
      </w:r>
      <w:r>
        <w:rPr>
          <w:color w:val="auto"/>
          <w:kern w:val="0"/>
          <w:highlight w:val="none"/>
        </w:rPr>
        <w:t>危废仓库编制应急处置卡，环境风险物质及类型、污染源切断方式、信息报告方式、责任人等。应急处置卡应置于岗位现场明显位置，具体如下：</w:t>
      </w:r>
    </w:p>
    <w:p>
      <w:pPr>
        <w:widowControl/>
        <w:adjustRightInd w:val="0"/>
        <w:snapToGrid w:val="0"/>
        <w:ind w:firstLine="482" w:firstLineChars="200"/>
        <w:jc w:val="center"/>
        <w:rPr>
          <w:b/>
          <w:bCs/>
          <w:color w:val="auto"/>
          <w:highlight w:val="none"/>
        </w:rPr>
      </w:pPr>
      <w:r>
        <w:rPr>
          <w:rFonts w:hint="eastAsia"/>
          <w:b/>
          <w:bCs/>
          <w:color w:val="auto"/>
          <w:highlight w:val="none"/>
          <w:lang w:val="en-US" w:eastAsia="zh-CN"/>
        </w:rPr>
        <w:t>生产车间</w:t>
      </w:r>
      <w:r>
        <w:rPr>
          <w:b/>
          <w:bCs/>
          <w:color w:val="auto"/>
          <w:highlight w:val="none"/>
        </w:rPr>
        <w:t>应急处置卡</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165"/>
        <w:gridCol w:w="1006"/>
        <w:gridCol w:w="3865"/>
        <w:gridCol w:w="1070"/>
        <w:gridCol w:w="125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65" w:type="dxa"/>
            <w:tcBorders>
              <w:tl2br w:val="nil"/>
              <w:tr2bl w:val="nil"/>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rPr>
              <w:t>风险单元</w:t>
            </w:r>
          </w:p>
        </w:tc>
        <w:tc>
          <w:tcPr>
            <w:tcW w:w="1006" w:type="dxa"/>
            <w:tcBorders>
              <w:tl2br w:val="nil"/>
              <w:tr2bl w:val="nil"/>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lang w:val="en-US" w:eastAsia="zh-CN"/>
              </w:rPr>
              <w:t>生产车间</w:t>
            </w:r>
          </w:p>
        </w:tc>
        <w:tc>
          <w:tcPr>
            <w:tcW w:w="3865" w:type="dxa"/>
            <w:tcBorders>
              <w:tl2br w:val="nil"/>
              <w:tr2bl w:val="nil"/>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rPr>
              <w:t>工作岗位</w:t>
            </w:r>
          </w:p>
        </w:tc>
        <w:tc>
          <w:tcPr>
            <w:tcW w:w="1070" w:type="dxa"/>
            <w:tcBorders>
              <w:tl2br w:val="nil"/>
              <w:tr2bl w:val="nil"/>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lang w:val="en-US" w:eastAsia="zh-CN"/>
              </w:rPr>
              <w:t>车间</w:t>
            </w:r>
            <w:r>
              <w:rPr>
                <w:rFonts w:hint="eastAsia"/>
                <w:b/>
                <w:bCs/>
                <w:color w:val="auto"/>
                <w:sz w:val="21"/>
                <w:szCs w:val="21"/>
                <w:highlight w:val="none"/>
              </w:rPr>
              <w:t>主管</w:t>
            </w:r>
          </w:p>
        </w:tc>
        <w:tc>
          <w:tcPr>
            <w:tcW w:w="1256" w:type="dxa"/>
            <w:vMerge w:val="restart"/>
            <w:tcBorders>
              <w:tl2br w:val="nil"/>
              <w:tr2bl w:val="nil"/>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rPr>
              <w:t>责任人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65" w:type="dxa"/>
            <w:tcBorders>
              <w:tl2br w:val="nil"/>
              <w:tr2bl w:val="nil"/>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rPr>
              <w:t>风险物质</w:t>
            </w:r>
          </w:p>
        </w:tc>
        <w:tc>
          <w:tcPr>
            <w:tcW w:w="1006" w:type="dxa"/>
            <w:tcBorders>
              <w:tl2br w:val="nil"/>
              <w:tr2bl w:val="nil"/>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rPr>
              <w:t>事件类型</w:t>
            </w:r>
          </w:p>
        </w:tc>
        <w:tc>
          <w:tcPr>
            <w:tcW w:w="3865"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污染源切断</w:t>
            </w:r>
            <w:r>
              <w:rPr>
                <w:rFonts w:hint="eastAsia"/>
                <w:b/>
                <w:bCs/>
                <w:color w:val="auto"/>
                <w:sz w:val="21"/>
                <w:szCs w:val="21"/>
                <w:highlight w:val="none"/>
              </w:rPr>
              <w:t>方式</w:t>
            </w:r>
          </w:p>
        </w:tc>
        <w:tc>
          <w:tcPr>
            <w:tcW w:w="1070"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信息报告</w:t>
            </w:r>
            <w:r>
              <w:rPr>
                <w:rFonts w:hint="eastAsia"/>
                <w:b/>
                <w:bCs/>
                <w:color w:val="auto"/>
                <w:sz w:val="21"/>
                <w:szCs w:val="21"/>
                <w:highlight w:val="none"/>
              </w:rPr>
              <w:t>方式</w:t>
            </w:r>
          </w:p>
        </w:tc>
        <w:tc>
          <w:tcPr>
            <w:tcW w:w="1256" w:type="dxa"/>
            <w:vMerge w:val="continue"/>
            <w:tcBorders>
              <w:tl2br w:val="nil"/>
              <w:tr2bl w:val="nil"/>
            </w:tcBorders>
            <w:vAlign w:val="center"/>
          </w:tcPr>
          <w:p>
            <w:pPr>
              <w:adjustRightInd w:val="0"/>
              <w:snapToGrid w:val="0"/>
              <w:jc w:val="center"/>
              <w:rPr>
                <w:b/>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40" w:hRule="atLeast"/>
        </w:trPr>
        <w:tc>
          <w:tcPr>
            <w:tcW w:w="1165" w:type="dxa"/>
            <w:tcBorders>
              <w:tl2br w:val="nil"/>
              <w:tr2bl w:val="nil"/>
            </w:tcBorders>
            <w:vAlign w:val="center"/>
          </w:tcPr>
          <w:p>
            <w:pPr>
              <w:adjustRightInd w:val="0"/>
              <w:snapToGrid w:val="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镀铬起镀液</w:t>
            </w:r>
          </w:p>
        </w:tc>
        <w:tc>
          <w:tcPr>
            <w:tcW w:w="1006" w:type="dxa"/>
            <w:tcBorders>
              <w:tl2br w:val="nil"/>
              <w:tr2bl w:val="nil"/>
            </w:tcBorders>
            <w:vAlign w:val="center"/>
          </w:tcPr>
          <w:p>
            <w:pPr>
              <w:adjustRightInd w:val="0"/>
              <w:snapToGrid w:val="0"/>
              <w:jc w:val="center"/>
              <w:rPr>
                <w:color w:val="auto"/>
                <w:sz w:val="21"/>
                <w:szCs w:val="21"/>
                <w:highlight w:val="none"/>
              </w:rPr>
            </w:pPr>
            <w:r>
              <w:rPr>
                <w:color w:val="auto"/>
                <w:kern w:val="0"/>
                <w:sz w:val="21"/>
                <w:szCs w:val="21"/>
                <w:highlight w:val="none"/>
              </w:rPr>
              <w:t>泄漏</w:t>
            </w:r>
          </w:p>
        </w:tc>
        <w:tc>
          <w:tcPr>
            <w:tcW w:w="3865" w:type="dxa"/>
            <w:tcBorders>
              <w:tl2br w:val="nil"/>
              <w:tr2bl w:val="nil"/>
            </w:tcBorders>
            <w:vAlign w:val="center"/>
          </w:tcPr>
          <w:p>
            <w:pPr>
              <w:adjustRightInd w:val="0"/>
              <w:snapToGrid w:val="0"/>
              <w:jc w:val="left"/>
              <w:rPr>
                <w:color w:val="auto"/>
                <w:sz w:val="21"/>
                <w:szCs w:val="21"/>
                <w:highlight w:val="none"/>
              </w:rPr>
            </w:pPr>
            <w:r>
              <w:rPr>
                <w:color w:val="auto"/>
                <w:sz w:val="21"/>
                <w:szCs w:val="21"/>
                <w:highlight w:val="none"/>
              </w:rPr>
              <w:t>①</w:t>
            </w:r>
            <w:r>
              <w:rPr>
                <w:rFonts w:hint="eastAsia"/>
                <w:color w:val="auto"/>
                <w:sz w:val="21"/>
                <w:szCs w:val="21"/>
                <w:highlight w:val="none"/>
                <w:lang w:val="en-US" w:eastAsia="zh-CN"/>
              </w:rPr>
              <w:t>镀铬生产线槽体因破损发生泄漏事故，</w:t>
            </w:r>
            <w:r>
              <w:rPr>
                <w:color w:val="auto"/>
                <w:sz w:val="21"/>
                <w:szCs w:val="21"/>
                <w:highlight w:val="none"/>
              </w:rPr>
              <w:t>立即停止其运作</w:t>
            </w:r>
            <w:r>
              <w:rPr>
                <w:rFonts w:hint="eastAsia"/>
                <w:color w:val="auto"/>
                <w:sz w:val="21"/>
                <w:szCs w:val="21"/>
                <w:highlight w:val="none"/>
              </w:rPr>
              <w:t>。</w:t>
            </w:r>
          </w:p>
          <w:p>
            <w:pPr>
              <w:adjustRightInd w:val="0"/>
              <w:snapToGrid w:val="0"/>
              <w:jc w:val="left"/>
              <w:rPr>
                <w:color w:val="auto"/>
                <w:sz w:val="21"/>
                <w:szCs w:val="21"/>
                <w:highlight w:val="none"/>
              </w:rPr>
            </w:pPr>
            <w:r>
              <w:rPr>
                <w:color w:val="auto"/>
                <w:sz w:val="21"/>
                <w:szCs w:val="21"/>
                <w:highlight w:val="none"/>
              </w:rPr>
              <w:t>②发现人员通知</w:t>
            </w:r>
            <w:r>
              <w:rPr>
                <w:rFonts w:hint="eastAsia"/>
                <w:color w:val="auto"/>
                <w:sz w:val="21"/>
                <w:szCs w:val="21"/>
                <w:highlight w:val="none"/>
                <w:lang w:val="en-US" w:eastAsia="zh-CN"/>
              </w:rPr>
              <w:t>事故</w:t>
            </w:r>
            <w:r>
              <w:rPr>
                <w:color w:val="auto"/>
                <w:sz w:val="21"/>
                <w:szCs w:val="21"/>
                <w:highlight w:val="none"/>
              </w:rPr>
              <w:t>处置组长</w:t>
            </w:r>
            <w:r>
              <w:rPr>
                <w:rFonts w:hint="default" w:ascii="Times New Roman" w:hAnsi="Times New Roman" w:cs="Times New Roman"/>
                <w:color w:val="auto"/>
                <w:sz w:val="21"/>
                <w:szCs w:val="21"/>
                <w:highlight w:val="none"/>
              </w:rPr>
              <w:t>付涛</w:t>
            </w:r>
            <w:r>
              <w:rPr>
                <w:color w:val="auto"/>
                <w:sz w:val="21"/>
                <w:szCs w:val="21"/>
                <w:highlight w:val="none"/>
              </w:rPr>
              <w:t>（</w:t>
            </w:r>
            <w:r>
              <w:rPr>
                <w:rFonts w:hint="default" w:ascii="Times New Roman" w:hAnsi="Times New Roman" w:cs="Times New Roman"/>
                <w:color w:val="auto"/>
                <w:sz w:val="21"/>
                <w:szCs w:val="21"/>
                <w:highlight w:val="none"/>
              </w:rPr>
              <w:t>18861865906</w:t>
            </w:r>
            <w:r>
              <w:rPr>
                <w:color w:val="auto"/>
                <w:sz w:val="21"/>
                <w:szCs w:val="21"/>
                <w:highlight w:val="none"/>
              </w:rPr>
              <w:t>），用干燥的棉布、抹布等吸附后放入密封容器，转移至危废仓库暂存。</w:t>
            </w:r>
          </w:p>
          <w:p>
            <w:pPr>
              <w:adjustRightInd w:val="0"/>
              <w:snapToGrid w:val="0"/>
              <w:jc w:val="left"/>
              <w:rPr>
                <w:color w:val="auto"/>
                <w:sz w:val="21"/>
                <w:szCs w:val="21"/>
                <w:highlight w:val="none"/>
              </w:rPr>
            </w:pPr>
            <w:r>
              <w:rPr>
                <w:color w:val="auto"/>
                <w:sz w:val="21"/>
                <w:szCs w:val="21"/>
                <w:highlight w:val="none"/>
              </w:rPr>
              <w:t>③大量泄漏：发现人员立即通知第一总指挥，泄漏液体不得向雨水和废水排放，沿收集沟排入厂区污水管网，通过切换阀泵入事故应急池</w:t>
            </w:r>
            <w:r>
              <w:rPr>
                <w:rFonts w:hint="eastAsia"/>
                <w:color w:val="auto"/>
                <w:sz w:val="21"/>
                <w:szCs w:val="21"/>
                <w:highlight w:val="none"/>
                <w:lang w:eastAsia="zh-CN"/>
              </w:rPr>
              <w:t>、</w:t>
            </w:r>
            <w:r>
              <w:rPr>
                <w:color w:val="auto"/>
                <w:sz w:val="21"/>
                <w:szCs w:val="21"/>
                <w:highlight w:val="none"/>
              </w:rPr>
              <w:t>污水处理</w:t>
            </w:r>
            <w:r>
              <w:rPr>
                <w:rFonts w:hint="eastAsia"/>
                <w:color w:val="auto"/>
                <w:sz w:val="21"/>
                <w:szCs w:val="21"/>
                <w:highlight w:val="none"/>
                <w:lang w:val="en-US" w:eastAsia="zh-CN"/>
              </w:rPr>
              <w:t>设施收集</w:t>
            </w:r>
            <w:r>
              <w:rPr>
                <w:color w:val="auto"/>
                <w:sz w:val="21"/>
                <w:szCs w:val="21"/>
                <w:highlight w:val="none"/>
              </w:rPr>
              <w:t>池内进行暂存。</w:t>
            </w:r>
          </w:p>
          <w:p>
            <w:pPr>
              <w:adjustRightInd w:val="0"/>
              <w:snapToGrid w:val="0"/>
              <w:jc w:val="left"/>
              <w:rPr>
                <w:color w:val="auto"/>
                <w:sz w:val="21"/>
                <w:szCs w:val="21"/>
                <w:highlight w:val="none"/>
              </w:rPr>
            </w:pPr>
            <w:r>
              <w:rPr>
                <w:rFonts w:hint="eastAsia" w:ascii="宋体" w:hAnsi="宋体" w:eastAsia="宋体" w:cs="宋体"/>
                <w:color w:val="auto"/>
                <w:sz w:val="21"/>
                <w:szCs w:val="21"/>
                <w:highlight w:val="none"/>
              </w:rPr>
              <w:t>④</w:t>
            </w:r>
            <w:r>
              <w:rPr>
                <w:color w:val="auto"/>
                <w:sz w:val="21"/>
                <w:szCs w:val="21"/>
                <w:highlight w:val="none"/>
              </w:rPr>
              <w:t>地面残留的液体用水或冲洗稀释用水，可用黄沙或棉布吸附，产生的危险废物由有资质单位处置。量较大时可沿收集沟排入厂区污水管网，通过切换阀泵入事故应急池</w:t>
            </w:r>
            <w:r>
              <w:rPr>
                <w:rFonts w:hint="eastAsia"/>
                <w:color w:val="auto"/>
                <w:sz w:val="21"/>
                <w:szCs w:val="21"/>
                <w:highlight w:val="none"/>
                <w:lang w:eastAsia="zh-CN"/>
              </w:rPr>
              <w:t>、</w:t>
            </w:r>
            <w:r>
              <w:rPr>
                <w:color w:val="auto"/>
                <w:sz w:val="21"/>
                <w:szCs w:val="21"/>
                <w:highlight w:val="none"/>
              </w:rPr>
              <w:t>污水处理</w:t>
            </w:r>
            <w:r>
              <w:rPr>
                <w:rFonts w:hint="eastAsia"/>
                <w:color w:val="auto"/>
                <w:sz w:val="21"/>
                <w:szCs w:val="21"/>
                <w:highlight w:val="none"/>
                <w:lang w:val="en-US" w:eastAsia="zh-CN"/>
              </w:rPr>
              <w:t>设施收集</w:t>
            </w:r>
            <w:r>
              <w:rPr>
                <w:color w:val="auto"/>
                <w:sz w:val="21"/>
                <w:szCs w:val="21"/>
                <w:highlight w:val="none"/>
              </w:rPr>
              <w:t>池内进行暂存。</w:t>
            </w:r>
          </w:p>
          <w:p>
            <w:pPr>
              <w:adjustRightInd w:val="0"/>
              <w:snapToGrid w:val="0"/>
              <w:jc w:val="left"/>
              <w:rPr>
                <w:color w:val="auto"/>
                <w:sz w:val="21"/>
                <w:szCs w:val="21"/>
                <w:highlight w:val="none"/>
              </w:rPr>
            </w:pPr>
          </w:p>
        </w:tc>
        <w:tc>
          <w:tcPr>
            <w:tcW w:w="1070" w:type="dxa"/>
            <w:tcBorders>
              <w:tl2br w:val="nil"/>
              <w:tr2bl w:val="nil"/>
            </w:tcBorders>
            <w:vAlign w:val="center"/>
          </w:tcPr>
          <w:p>
            <w:pPr>
              <w:adjustRightInd w:val="0"/>
              <w:snapToGrid w:val="0"/>
              <w:jc w:val="center"/>
              <w:rPr>
                <w:color w:val="auto"/>
                <w:sz w:val="21"/>
                <w:szCs w:val="21"/>
                <w:highlight w:val="none"/>
              </w:rPr>
            </w:pPr>
            <w:r>
              <w:rPr>
                <w:rFonts w:hint="eastAsia"/>
                <w:color w:val="auto"/>
                <w:sz w:val="21"/>
                <w:szCs w:val="21"/>
                <w:highlight w:val="none"/>
              </w:rPr>
              <w:t>手机、对讲机、手动报警装置</w:t>
            </w:r>
          </w:p>
        </w:tc>
        <w:tc>
          <w:tcPr>
            <w:tcW w:w="1256" w:type="dxa"/>
            <w:tcBorders>
              <w:tl2br w:val="nil"/>
              <w:tr2bl w:val="nil"/>
            </w:tcBorders>
            <w:vAlign w:val="center"/>
          </w:tcPr>
          <w:p>
            <w:pPr>
              <w:adjustRightInd w:val="0"/>
              <w:snapToGrid w:val="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吴科飞</w:t>
            </w:r>
            <w:r>
              <w:rPr>
                <w:rFonts w:hint="default" w:ascii="Times New Roman" w:hAnsi="Times New Roman" w:cs="Times New Roman"/>
                <w:color w:val="auto"/>
                <w:sz w:val="21"/>
                <w:szCs w:val="21"/>
                <w:highlight w:val="none"/>
              </w:rPr>
              <w:t>18861865905</w:t>
            </w:r>
          </w:p>
        </w:tc>
      </w:tr>
    </w:tbl>
    <w:p>
      <w:pPr>
        <w:spacing w:before="156" w:beforeLines="50"/>
        <w:jc w:val="center"/>
        <w:rPr>
          <w:b/>
          <w:bCs/>
          <w:color w:val="auto"/>
          <w:highlight w:val="none"/>
        </w:rPr>
      </w:pPr>
      <w:r>
        <w:rPr>
          <w:rFonts w:hint="eastAsia"/>
          <w:b/>
          <w:bCs/>
          <w:color w:val="auto"/>
          <w:highlight w:val="none"/>
          <w:lang w:val="en-US" w:eastAsia="zh-CN"/>
        </w:rPr>
        <w:t>酸性库</w:t>
      </w:r>
      <w:r>
        <w:rPr>
          <w:b/>
          <w:bCs/>
          <w:color w:val="auto"/>
          <w:highlight w:val="none"/>
        </w:rPr>
        <w:t>应急处置卡</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996"/>
        <w:gridCol w:w="720"/>
        <w:gridCol w:w="4750"/>
        <w:gridCol w:w="950"/>
        <w:gridCol w:w="94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96"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风险单元</w:t>
            </w:r>
          </w:p>
        </w:tc>
        <w:tc>
          <w:tcPr>
            <w:tcW w:w="720" w:type="dxa"/>
            <w:tcBorders>
              <w:tl2br w:val="nil"/>
              <w:tr2bl w:val="nil"/>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rPr>
              <w:t>原料库</w:t>
            </w:r>
          </w:p>
        </w:tc>
        <w:tc>
          <w:tcPr>
            <w:tcW w:w="4750"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工作岗位</w:t>
            </w:r>
          </w:p>
        </w:tc>
        <w:tc>
          <w:tcPr>
            <w:tcW w:w="950" w:type="dxa"/>
            <w:tcBorders>
              <w:tl2br w:val="nil"/>
              <w:tr2bl w:val="nil"/>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rPr>
              <w:t>仓库主管</w:t>
            </w:r>
          </w:p>
        </w:tc>
        <w:tc>
          <w:tcPr>
            <w:tcW w:w="946" w:type="dxa"/>
            <w:vMerge w:val="restart"/>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责任人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96"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风险物质</w:t>
            </w:r>
          </w:p>
        </w:tc>
        <w:tc>
          <w:tcPr>
            <w:tcW w:w="720"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事件类型</w:t>
            </w:r>
          </w:p>
        </w:tc>
        <w:tc>
          <w:tcPr>
            <w:tcW w:w="4750"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污染源切断方式</w:t>
            </w:r>
          </w:p>
        </w:tc>
        <w:tc>
          <w:tcPr>
            <w:tcW w:w="950"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信息报告方式</w:t>
            </w:r>
          </w:p>
        </w:tc>
        <w:tc>
          <w:tcPr>
            <w:tcW w:w="946" w:type="dxa"/>
            <w:vMerge w:val="continue"/>
            <w:tcBorders>
              <w:tl2br w:val="nil"/>
              <w:tr2bl w:val="nil"/>
            </w:tcBorders>
            <w:vAlign w:val="center"/>
          </w:tcPr>
          <w:p>
            <w:pPr>
              <w:adjustRightInd w:val="0"/>
              <w:snapToGrid w:val="0"/>
              <w:jc w:val="center"/>
              <w:rPr>
                <w:b/>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c>
          <w:tcPr>
            <w:tcW w:w="996" w:type="dxa"/>
            <w:tcBorders>
              <w:tl2br w:val="nil"/>
              <w:tr2bl w:val="nil"/>
            </w:tcBorders>
            <w:vAlign w:val="center"/>
          </w:tcPr>
          <w:p>
            <w:pPr>
              <w:adjustRightInd w:val="0"/>
              <w:snapToGrid w:val="0"/>
              <w:jc w:val="center"/>
              <w:rPr>
                <w:rFonts w:hint="default" w:eastAsia="宋体"/>
                <w:color w:val="auto"/>
                <w:sz w:val="21"/>
                <w:szCs w:val="21"/>
                <w:highlight w:val="none"/>
                <w:lang w:val="en-US" w:eastAsia="zh-CN"/>
              </w:rPr>
            </w:pPr>
            <w:r>
              <w:rPr>
                <w:rFonts w:hint="eastAsia"/>
                <w:color w:val="auto"/>
                <w:kern w:val="0"/>
                <w:sz w:val="21"/>
                <w:szCs w:val="21"/>
                <w:highlight w:val="none"/>
                <w:lang w:val="en-US" w:eastAsia="zh-CN"/>
              </w:rPr>
              <w:t>镀铬起镀液、硫酸、盐酸</w:t>
            </w:r>
          </w:p>
        </w:tc>
        <w:tc>
          <w:tcPr>
            <w:tcW w:w="720" w:type="dxa"/>
            <w:tcBorders>
              <w:tl2br w:val="nil"/>
              <w:tr2bl w:val="nil"/>
            </w:tcBorders>
            <w:vAlign w:val="center"/>
          </w:tcPr>
          <w:p>
            <w:pPr>
              <w:adjustRightInd w:val="0"/>
              <w:snapToGrid w:val="0"/>
              <w:jc w:val="center"/>
              <w:rPr>
                <w:color w:val="auto"/>
                <w:sz w:val="21"/>
                <w:szCs w:val="21"/>
                <w:highlight w:val="none"/>
              </w:rPr>
            </w:pPr>
            <w:r>
              <w:rPr>
                <w:color w:val="auto"/>
                <w:kern w:val="0"/>
                <w:sz w:val="21"/>
                <w:szCs w:val="21"/>
                <w:highlight w:val="none"/>
              </w:rPr>
              <w:t>泄漏</w:t>
            </w:r>
          </w:p>
        </w:tc>
        <w:tc>
          <w:tcPr>
            <w:tcW w:w="4750" w:type="dxa"/>
            <w:tcBorders>
              <w:tl2br w:val="nil"/>
              <w:tr2bl w:val="nil"/>
            </w:tcBorders>
            <w:vAlign w:val="center"/>
          </w:tcPr>
          <w:p>
            <w:pPr>
              <w:adjustRightInd w:val="0"/>
              <w:snapToGrid w:val="0"/>
              <w:jc w:val="left"/>
              <w:rPr>
                <w:color w:val="auto"/>
                <w:sz w:val="21"/>
                <w:szCs w:val="21"/>
                <w:highlight w:val="none"/>
              </w:rPr>
            </w:pPr>
            <w:r>
              <w:rPr>
                <w:color w:val="auto"/>
                <w:sz w:val="21"/>
                <w:szCs w:val="21"/>
                <w:highlight w:val="none"/>
              </w:rPr>
              <w:t>①生产车间风险物质发生泄漏，立即将包装物的裂口向上，并将事故状态报告</w:t>
            </w:r>
            <w:r>
              <w:rPr>
                <w:rFonts w:hint="eastAsia"/>
                <w:color w:val="auto"/>
                <w:sz w:val="21"/>
                <w:szCs w:val="21"/>
                <w:highlight w:val="none"/>
              </w:rPr>
              <w:t>仓库主管：</w:t>
            </w:r>
            <w:r>
              <w:rPr>
                <w:rFonts w:hint="default" w:ascii="Times New Roman" w:hAnsi="Times New Roman" w:cs="Times New Roman"/>
                <w:color w:val="auto"/>
                <w:sz w:val="21"/>
                <w:szCs w:val="21"/>
                <w:highlight w:val="none"/>
              </w:rPr>
              <w:t>王佳银18852474726</w:t>
            </w:r>
            <w:r>
              <w:rPr>
                <w:rFonts w:hint="eastAsia"/>
                <w:color w:val="auto"/>
                <w:sz w:val="21"/>
                <w:szCs w:val="21"/>
                <w:highlight w:val="none"/>
              </w:rPr>
              <w:t>。</w:t>
            </w:r>
          </w:p>
          <w:p>
            <w:pPr>
              <w:adjustRightInd w:val="0"/>
              <w:snapToGrid w:val="0"/>
              <w:jc w:val="left"/>
              <w:rPr>
                <w:color w:val="auto"/>
                <w:sz w:val="21"/>
                <w:szCs w:val="21"/>
                <w:highlight w:val="none"/>
              </w:rPr>
            </w:pPr>
            <w:r>
              <w:rPr>
                <w:color w:val="auto"/>
                <w:sz w:val="21"/>
                <w:szCs w:val="21"/>
                <w:highlight w:val="none"/>
              </w:rPr>
              <w:t>②</w:t>
            </w:r>
            <w:r>
              <w:rPr>
                <w:rFonts w:hint="eastAsia"/>
                <w:color w:val="auto"/>
                <w:sz w:val="21"/>
                <w:szCs w:val="21"/>
                <w:highlight w:val="none"/>
                <w:lang w:val="en-US" w:eastAsia="zh-CN"/>
              </w:rPr>
              <w:t>事故处置组成员</w:t>
            </w:r>
            <w:r>
              <w:rPr>
                <w:color w:val="auto"/>
                <w:sz w:val="21"/>
                <w:szCs w:val="21"/>
                <w:highlight w:val="none"/>
              </w:rPr>
              <w:t>带堵漏措施火速赶往现场，准备好围堵工具（如黄沙、沙袋、铁锹等）。</w:t>
            </w:r>
          </w:p>
          <w:p>
            <w:pPr>
              <w:adjustRightInd w:val="0"/>
              <w:snapToGrid w:val="0"/>
              <w:jc w:val="left"/>
              <w:rPr>
                <w:color w:val="auto"/>
                <w:sz w:val="21"/>
                <w:szCs w:val="21"/>
                <w:highlight w:val="none"/>
              </w:rPr>
            </w:pPr>
            <w:r>
              <w:rPr>
                <w:color w:val="auto"/>
                <w:sz w:val="21"/>
                <w:szCs w:val="21"/>
                <w:highlight w:val="none"/>
              </w:rPr>
              <w:t>③现场设置防护范围，用黄沙等工具对现场泄漏液体进行覆盖吸收处理，如果是易燃可燃物质泄漏，需避免明火。</w:t>
            </w:r>
          </w:p>
        </w:tc>
        <w:tc>
          <w:tcPr>
            <w:tcW w:w="950" w:type="dxa"/>
            <w:tcBorders>
              <w:tl2br w:val="nil"/>
              <w:tr2bl w:val="nil"/>
            </w:tcBorders>
            <w:vAlign w:val="center"/>
          </w:tcPr>
          <w:p>
            <w:pPr>
              <w:adjustRightInd w:val="0"/>
              <w:snapToGrid w:val="0"/>
              <w:jc w:val="center"/>
              <w:rPr>
                <w:color w:val="auto"/>
                <w:sz w:val="21"/>
                <w:szCs w:val="21"/>
                <w:highlight w:val="none"/>
              </w:rPr>
            </w:pPr>
            <w:r>
              <w:rPr>
                <w:color w:val="auto"/>
                <w:sz w:val="21"/>
                <w:szCs w:val="21"/>
                <w:highlight w:val="none"/>
              </w:rPr>
              <w:t>手机</w:t>
            </w:r>
            <w:r>
              <w:rPr>
                <w:rFonts w:hint="eastAsia"/>
                <w:color w:val="auto"/>
                <w:sz w:val="21"/>
                <w:szCs w:val="21"/>
                <w:highlight w:val="none"/>
              </w:rPr>
              <w:t>、对讲机、广播、手动报警装置</w:t>
            </w:r>
          </w:p>
        </w:tc>
        <w:tc>
          <w:tcPr>
            <w:tcW w:w="946" w:type="dxa"/>
            <w:tcBorders>
              <w:tl2br w:val="nil"/>
              <w:tr2bl w:val="nil"/>
            </w:tcBorders>
            <w:vAlign w:val="center"/>
          </w:tcPr>
          <w:p>
            <w:pPr>
              <w:adjustRightInd w:val="0"/>
              <w:snapToGrid w:val="0"/>
              <w:jc w:val="center"/>
              <w:rPr>
                <w:color w:val="auto"/>
                <w:sz w:val="21"/>
                <w:szCs w:val="21"/>
                <w:highlight w:val="none"/>
              </w:rPr>
            </w:pPr>
            <w:r>
              <w:rPr>
                <w:rFonts w:hint="default" w:ascii="Times New Roman" w:hAnsi="Times New Roman" w:cs="Times New Roman"/>
                <w:color w:val="auto"/>
                <w:sz w:val="21"/>
                <w:szCs w:val="21"/>
                <w:highlight w:val="none"/>
              </w:rPr>
              <w:t>王佳银18852474726</w:t>
            </w:r>
          </w:p>
        </w:tc>
      </w:tr>
    </w:tbl>
    <w:p>
      <w:pPr>
        <w:pStyle w:val="2"/>
        <w:adjustRightInd w:val="0"/>
        <w:snapToGrid w:val="0"/>
        <w:spacing w:before="156" w:beforeLines="50"/>
        <w:jc w:val="center"/>
        <w:rPr>
          <w:rFonts w:hint="eastAsia" w:ascii="Times New Roman" w:hAnsi="Times New Roman"/>
          <w:b/>
          <w:bCs/>
          <w:color w:val="auto"/>
          <w:sz w:val="24"/>
          <w:szCs w:val="22"/>
          <w:highlight w:val="none"/>
        </w:rPr>
      </w:pPr>
    </w:p>
    <w:p>
      <w:pPr>
        <w:pStyle w:val="2"/>
        <w:adjustRightInd w:val="0"/>
        <w:snapToGrid w:val="0"/>
        <w:spacing w:before="156" w:beforeLines="50"/>
        <w:jc w:val="center"/>
        <w:rPr>
          <w:rFonts w:hint="eastAsia" w:ascii="Times New Roman" w:hAnsi="Times New Roman"/>
          <w:b/>
          <w:bCs/>
          <w:color w:val="auto"/>
          <w:sz w:val="24"/>
          <w:szCs w:val="22"/>
          <w:highlight w:val="none"/>
        </w:rPr>
      </w:pPr>
    </w:p>
    <w:p>
      <w:pPr>
        <w:pStyle w:val="2"/>
        <w:adjustRightInd w:val="0"/>
        <w:snapToGrid w:val="0"/>
        <w:spacing w:before="156" w:beforeLines="50"/>
        <w:jc w:val="center"/>
        <w:rPr>
          <w:rFonts w:hint="eastAsia" w:ascii="Times New Roman" w:hAnsi="Times New Roman"/>
          <w:b/>
          <w:bCs/>
          <w:color w:val="auto"/>
          <w:sz w:val="24"/>
          <w:szCs w:val="22"/>
          <w:highlight w:val="none"/>
        </w:rPr>
      </w:pPr>
    </w:p>
    <w:p>
      <w:pPr>
        <w:pStyle w:val="2"/>
        <w:adjustRightInd w:val="0"/>
        <w:snapToGrid w:val="0"/>
        <w:spacing w:before="156" w:beforeLines="50"/>
        <w:jc w:val="center"/>
        <w:rPr>
          <w:rFonts w:ascii="Times New Roman" w:hAnsi="Times New Roman"/>
          <w:b/>
          <w:bCs/>
          <w:color w:val="auto"/>
          <w:sz w:val="24"/>
          <w:szCs w:val="22"/>
          <w:highlight w:val="none"/>
        </w:rPr>
      </w:pPr>
      <w:r>
        <w:rPr>
          <w:rFonts w:hint="eastAsia" w:ascii="Times New Roman" w:hAnsi="Times New Roman"/>
          <w:b/>
          <w:bCs/>
          <w:color w:val="auto"/>
          <w:sz w:val="24"/>
          <w:szCs w:val="22"/>
          <w:highlight w:val="none"/>
        </w:rPr>
        <w:t>废水治理设施</w:t>
      </w:r>
      <w:r>
        <w:rPr>
          <w:rFonts w:ascii="Times New Roman" w:hAnsi="Times New Roman"/>
          <w:b/>
          <w:bCs/>
          <w:color w:val="auto"/>
          <w:sz w:val="24"/>
          <w:szCs w:val="22"/>
          <w:highlight w:val="none"/>
        </w:rPr>
        <w:t>应急处置卡</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733"/>
        <w:gridCol w:w="876"/>
        <w:gridCol w:w="4043"/>
        <w:gridCol w:w="1434"/>
        <w:gridCol w:w="121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50" w:hRule="atLeast"/>
        </w:trPr>
        <w:tc>
          <w:tcPr>
            <w:tcW w:w="733"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风险单元</w:t>
            </w:r>
          </w:p>
        </w:tc>
        <w:tc>
          <w:tcPr>
            <w:tcW w:w="876"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污水处理站</w:t>
            </w:r>
          </w:p>
        </w:tc>
        <w:tc>
          <w:tcPr>
            <w:tcW w:w="4043"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工作岗位</w:t>
            </w:r>
          </w:p>
        </w:tc>
        <w:tc>
          <w:tcPr>
            <w:tcW w:w="1434" w:type="dxa"/>
            <w:tcBorders>
              <w:tl2br w:val="nil"/>
              <w:tr2bl w:val="nil"/>
            </w:tcBorders>
            <w:vAlign w:val="center"/>
          </w:tcPr>
          <w:p>
            <w:pPr>
              <w:adjustRightInd w:val="0"/>
              <w:snapToGrid w:val="0"/>
              <w:jc w:val="center"/>
              <w:rPr>
                <w:b/>
                <w:bCs/>
                <w:color w:val="auto"/>
                <w:sz w:val="21"/>
                <w:szCs w:val="21"/>
                <w:highlight w:val="none"/>
              </w:rPr>
            </w:pPr>
            <w:r>
              <w:rPr>
                <w:rFonts w:hint="eastAsia"/>
                <w:b/>
                <w:bCs/>
                <w:color w:val="auto"/>
                <w:kern w:val="0"/>
                <w:sz w:val="21"/>
                <w:szCs w:val="21"/>
                <w:highlight w:val="none"/>
                <w:lang w:val="en-US" w:eastAsia="zh-CN"/>
              </w:rPr>
              <w:t>污水处理主管</w:t>
            </w:r>
          </w:p>
        </w:tc>
        <w:tc>
          <w:tcPr>
            <w:tcW w:w="1212" w:type="dxa"/>
            <w:vMerge w:val="restart"/>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责任人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1" w:hRule="atLeast"/>
        </w:trPr>
        <w:tc>
          <w:tcPr>
            <w:tcW w:w="733"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风险物质</w:t>
            </w:r>
          </w:p>
        </w:tc>
        <w:tc>
          <w:tcPr>
            <w:tcW w:w="876"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事件类型</w:t>
            </w:r>
          </w:p>
        </w:tc>
        <w:tc>
          <w:tcPr>
            <w:tcW w:w="4043"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污染源切断方式</w:t>
            </w:r>
          </w:p>
        </w:tc>
        <w:tc>
          <w:tcPr>
            <w:tcW w:w="1434"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信息报告方式</w:t>
            </w:r>
          </w:p>
        </w:tc>
        <w:tc>
          <w:tcPr>
            <w:tcW w:w="1212" w:type="dxa"/>
            <w:vMerge w:val="continue"/>
            <w:tcBorders>
              <w:tl2br w:val="nil"/>
              <w:tr2bl w:val="nil"/>
            </w:tcBorders>
            <w:vAlign w:val="center"/>
          </w:tcPr>
          <w:p>
            <w:pPr>
              <w:adjustRightInd w:val="0"/>
              <w:snapToGrid w:val="0"/>
              <w:jc w:val="center"/>
              <w:rPr>
                <w:b/>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90" w:hRule="atLeast"/>
        </w:trPr>
        <w:tc>
          <w:tcPr>
            <w:tcW w:w="733" w:type="dxa"/>
            <w:tcBorders>
              <w:tl2br w:val="nil"/>
              <w:tr2bl w:val="nil"/>
            </w:tcBorders>
            <w:vAlign w:val="center"/>
          </w:tcPr>
          <w:p>
            <w:pPr>
              <w:adjustRightInd w:val="0"/>
              <w:snapToGrid w:val="0"/>
              <w:jc w:val="center"/>
              <w:rPr>
                <w:color w:val="auto"/>
                <w:sz w:val="21"/>
                <w:szCs w:val="21"/>
                <w:highlight w:val="none"/>
              </w:rPr>
            </w:pPr>
            <w:r>
              <w:rPr>
                <w:rFonts w:hint="eastAsia"/>
                <w:bCs/>
                <w:color w:val="auto"/>
                <w:sz w:val="21"/>
                <w:szCs w:val="21"/>
                <w:highlight w:val="none"/>
              </w:rPr>
              <w:t>生产废水</w:t>
            </w:r>
          </w:p>
        </w:tc>
        <w:tc>
          <w:tcPr>
            <w:tcW w:w="876" w:type="dxa"/>
            <w:tcBorders>
              <w:tl2br w:val="nil"/>
              <w:tr2bl w:val="nil"/>
            </w:tcBorders>
            <w:vAlign w:val="center"/>
          </w:tcPr>
          <w:p>
            <w:pPr>
              <w:adjustRightInd w:val="0"/>
              <w:snapToGrid w:val="0"/>
              <w:jc w:val="center"/>
              <w:rPr>
                <w:color w:val="auto"/>
                <w:sz w:val="21"/>
                <w:szCs w:val="21"/>
                <w:highlight w:val="none"/>
              </w:rPr>
            </w:pPr>
            <w:r>
              <w:rPr>
                <w:color w:val="auto"/>
                <w:kern w:val="0"/>
                <w:sz w:val="21"/>
                <w:szCs w:val="21"/>
                <w:highlight w:val="none"/>
              </w:rPr>
              <w:t>泄漏</w:t>
            </w:r>
          </w:p>
        </w:tc>
        <w:tc>
          <w:tcPr>
            <w:tcW w:w="4043" w:type="dxa"/>
            <w:tcBorders>
              <w:tl2br w:val="nil"/>
              <w:tr2bl w:val="nil"/>
            </w:tcBorders>
            <w:vAlign w:val="center"/>
          </w:tcPr>
          <w:p>
            <w:pPr>
              <w:pStyle w:val="9"/>
              <w:rPr>
                <w:color w:val="auto"/>
                <w:sz w:val="21"/>
                <w:szCs w:val="21"/>
                <w:highlight w:val="none"/>
              </w:rPr>
            </w:pPr>
            <w:r>
              <w:rPr>
                <w:color w:val="auto"/>
                <w:sz w:val="21"/>
                <w:szCs w:val="21"/>
                <w:highlight w:val="none"/>
              </w:rPr>
              <w:t>①</w:t>
            </w:r>
            <w:r>
              <w:rPr>
                <w:rFonts w:hint="eastAsia"/>
                <w:color w:val="auto"/>
                <w:sz w:val="21"/>
                <w:szCs w:val="21"/>
                <w:highlight w:val="none"/>
              </w:rPr>
              <w:t>污水处理站发生泄漏，立即停止运作，并将事故状态报告给</w:t>
            </w:r>
            <w:r>
              <w:rPr>
                <w:rFonts w:hint="default" w:ascii="Times New Roman" w:hAnsi="Times New Roman" w:eastAsia="宋体" w:cs="Times New Roman"/>
                <w:color w:val="auto"/>
                <w:sz w:val="21"/>
                <w:szCs w:val="21"/>
                <w:highlight w:val="none"/>
              </w:rPr>
              <w:t>周卫平</w:t>
            </w:r>
            <w:r>
              <w:rPr>
                <w:rFonts w:hint="default" w:ascii="Times New Roman" w:hAnsi="Times New Roman" w:cs="Times New Roman"/>
                <w:color w:val="auto"/>
                <w:sz w:val="21"/>
                <w:szCs w:val="21"/>
                <w:highlight w:val="none"/>
              </w:rPr>
              <w:t>1897341874</w:t>
            </w:r>
            <w:r>
              <w:rPr>
                <w:rFonts w:hint="eastAsia" w:ascii="Times New Roman" w:hAnsi="Times New Roman" w:cs="Times New Roman"/>
                <w:color w:val="auto"/>
                <w:sz w:val="21"/>
                <w:szCs w:val="21"/>
                <w:highlight w:val="none"/>
                <w:lang w:val="en-US" w:eastAsia="zh-CN"/>
              </w:rPr>
              <w:t>6</w:t>
            </w:r>
            <w:r>
              <w:rPr>
                <w:rFonts w:hint="eastAsia"/>
                <w:color w:val="auto"/>
                <w:sz w:val="21"/>
                <w:szCs w:val="21"/>
                <w:highlight w:val="none"/>
              </w:rPr>
              <w:t>。</w:t>
            </w:r>
          </w:p>
          <w:p>
            <w:pPr>
              <w:pStyle w:val="9"/>
              <w:rPr>
                <w:rFonts w:ascii="Times New Roman" w:hAnsi="Times New Roman"/>
                <w:color w:val="auto"/>
                <w:sz w:val="21"/>
                <w:szCs w:val="21"/>
                <w:highlight w:val="none"/>
              </w:rPr>
            </w:pPr>
            <w:r>
              <w:rPr>
                <w:rFonts w:ascii="Times New Roman" w:hAnsi="Times New Roman"/>
                <w:color w:val="auto"/>
                <w:sz w:val="21"/>
                <w:szCs w:val="21"/>
                <w:highlight w:val="none"/>
              </w:rPr>
              <w:t>②小范围泄漏，可使用</w:t>
            </w:r>
            <w:r>
              <w:rPr>
                <w:rFonts w:hint="eastAsia"/>
                <w:color w:val="auto"/>
                <w:sz w:val="21"/>
                <w:szCs w:val="21"/>
                <w:highlight w:val="none"/>
                <w:lang w:eastAsia="zh-CN"/>
              </w:rPr>
              <w:t>吸附棉</w:t>
            </w:r>
            <w:r>
              <w:rPr>
                <w:rFonts w:ascii="Times New Roman" w:hAnsi="Times New Roman"/>
                <w:color w:val="auto"/>
                <w:sz w:val="21"/>
                <w:szCs w:val="21"/>
                <w:highlight w:val="none"/>
              </w:rPr>
              <w:t>予以吸收处理。</w:t>
            </w:r>
          </w:p>
          <w:p>
            <w:pPr>
              <w:pStyle w:val="9"/>
              <w:rPr>
                <w:rFonts w:ascii="Times New Roman" w:hAnsi="Times New Roman"/>
                <w:color w:val="auto"/>
                <w:sz w:val="21"/>
                <w:szCs w:val="21"/>
                <w:highlight w:val="none"/>
              </w:rPr>
            </w:pPr>
            <w:r>
              <w:rPr>
                <w:rFonts w:ascii="Times New Roman" w:hAnsi="Times New Roman"/>
                <w:color w:val="auto"/>
                <w:sz w:val="21"/>
                <w:szCs w:val="21"/>
                <w:highlight w:val="none"/>
              </w:rPr>
              <w:t>③若废水处理系统站内管路出现故障</w:t>
            </w:r>
            <w:r>
              <w:rPr>
                <w:rFonts w:hint="eastAsia" w:ascii="Times New Roman" w:hAnsi="Times New Roman"/>
                <w:color w:val="auto"/>
                <w:sz w:val="21"/>
                <w:szCs w:val="21"/>
                <w:highlight w:val="none"/>
              </w:rPr>
              <w:t>，</w:t>
            </w:r>
            <w:r>
              <w:rPr>
                <w:rFonts w:ascii="Times New Roman" w:hAnsi="Times New Roman"/>
                <w:color w:val="auto"/>
                <w:sz w:val="21"/>
                <w:szCs w:val="21"/>
                <w:highlight w:val="none"/>
              </w:rPr>
              <w:t>潜水泵输送至备用的废水收集池内，</w:t>
            </w:r>
            <w:r>
              <w:rPr>
                <w:rFonts w:hint="eastAsia"/>
                <w:color w:val="auto"/>
                <w:sz w:val="21"/>
                <w:szCs w:val="21"/>
                <w:highlight w:val="none"/>
              </w:rPr>
              <w:t>维修</w:t>
            </w:r>
            <w:r>
              <w:rPr>
                <w:rFonts w:ascii="Times New Roman" w:hAnsi="Times New Roman"/>
                <w:color w:val="auto"/>
                <w:sz w:val="21"/>
                <w:szCs w:val="21"/>
                <w:highlight w:val="none"/>
              </w:rPr>
              <w:t>人员对故障管路进行维修。</w:t>
            </w:r>
          </w:p>
        </w:tc>
        <w:tc>
          <w:tcPr>
            <w:tcW w:w="1434" w:type="dxa"/>
            <w:tcBorders>
              <w:tl2br w:val="nil"/>
              <w:tr2bl w:val="nil"/>
            </w:tcBorders>
            <w:vAlign w:val="center"/>
          </w:tcPr>
          <w:p>
            <w:pPr>
              <w:adjustRightInd w:val="0"/>
              <w:snapToGrid w:val="0"/>
              <w:jc w:val="center"/>
              <w:rPr>
                <w:color w:val="auto"/>
                <w:sz w:val="21"/>
                <w:szCs w:val="21"/>
                <w:highlight w:val="none"/>
              </w:rPr>
            </w:pPr>
            <w:r>
              <w:rPr>
                <w:color w:val="auto"/>
                <w:sz w:val="21"/>
                <w:szCs w:val="21"/>
                <w:highlight w:val="none"/>
              </w:rPr>
              <w:t>手机、</w:t>
            </w:r>
            <w:r>
              <w:rPr>
                <w:rFonts w:hint="eastAsia"/>
                <w:color w:val="auto"/>
                <w:sz w:val="21"/>
                <w:szCs w:val="21"/>
                <w:highlight w:val="none"/>
              </w:rPr>
              <w:t>对讲机</w:t>
            </w:r>
          </w:p>
        </w:tc>
        <w:tc>
          <w:tcPr>
            <w:tcW w:w="1212" w:type="dxa"/>
            <w:tcBorders>
              <w:tl2br w:val="nil"/>
              <w:tr2bl w:val="nil"/>
            </w:tcBorders>
            <w:vAlign w:val="center"/>
          </w:tcPr>
          <w:p>
            <w:pPr>
              <w:adjustRightInd w:val="0"/>
              <w:snapToGrid w:val="0"/>
              <w:jc w:val="center"/>
              <w:rPr>
                <w:color w:val="auto"/>
                <w:sz w:val="21"/>
                <w:szCs w:val="21"/>
                <w:highlight w:val="none"/>
              </w:rPr>
            </w:pPr>
            <w:r>
              <w:rPr>
                <w:rFonts w:hint="default" w:ascii="Times New Roman" w:hAnsi="Times New Roman" w:eastAsia="宋体" w:cs="Times New Roman"/>
                <w:color w:val="auto"/>
                <w:sz w:val="21"/>
                <w:szCs w:val="21"/>
                <w:highlight w:val="none"/>
              </w:rPr>
              <w:t>周卫平</w:t>
            </w:r>
            <w:r>
              <w:rPr>
                <w:rFonts w:hint="default" w:ascii="Times New Roman" w:hAnsi="Times New Roman" w:cs="Times New Roman"/>
                <w:color w:val="auto"/>
                <w:sz w:val="21"/>
                <w:szCs w:val="21"/>
                <w:highlight w:val="none"/>
              </w:rPr>
              <w:t>18973418746</w:t>
            </w:r>
          </w:p>
        </w:tc>
      </w:tr>
    </w:tbl>
    <w:p>
      <w:pPr>
        <w:pStyle w:val="2"/>
        <w:adjustRightInd w:val="0"/>
        <w:snapToGrid w:val="0"/>
        <w:spacing w:before="156" w:beforeLines="50"/>
        <w:jc w:val="center"/>
        <w:rPr>
          <w:rFonts w:hint="eastAsia" w:ascii="Times New Roman" w:hAnsi="Times New Roman"/>
          <w:b/>
          <w:bCs/>
          <w:color w:val="auto"/>
          <w:sz w:val="24"/>
          <w:highlight w:val="none"/>
        </w:rPr>
      </w:pPr>
    </w:p>
    <w:p>
      <w:pPr>
        <w:pStyle w:val="2"/>
        <w:adjustRightInd w:val="0"/>
        <w:snapToGrid w:val="0"/>
        <w:spacing w:before="156" w:beforeLines="50"/>
        <w:jc w:val="center"/>
        <w:rPr>
          <w:rFonts w:hint="eastAsia" w:ascii="Times New Roman" w:hAnsi="Times New Roman" w:eastAsia="宋体"/>
          <w:b/>
          <w:bCs/>
          <w:color w:val="auto"/>
          <w:sz w:val="24"/>
          <w:szCs w:val="22"/>
          <w:highlight w:val="none"/>
          <w:lang w:val="en-US" w:eastAsia="zh-CN"/>
        </w:rPr>
      </w:pPr>
      <w:r>
        <w:rPr>
          <w:rFonts w:hint="eastAsia" w:ascii="Times New Roman" w:hAnsi="Times New Roman"/>
          <w:b/>
          <w:bCs/>
          <w:color w:val="auto"/>
          <w:sz w:val="24"/>
          <w:szCs w:val="22"/>
          <w:highlight w:val="none"/>
        </w:rPr>
        <w:t>危废仓库</w:t>
      </w:r>
      <w:r>
        <w:rPr>
          <w:rFonts w:ascii="Times New Roman" w:hAnsi="Times New Roman"/>
          <w:b/>
          <w:bCs/>
          <w:color w:val="auto"/>
          <w:sz w:val="24"/>
          <w:szCs w:val="22"/>
          <w:highlight w:val="none"/>
        </w:rPr>
        <w:t>应急处置卡</w:t>
      </w:r>
    </w:p>
    <w:tbl>
      <w:tblPr>
        <w:tblStyle w:val="21"/>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348"/>
        <w:gridCol w:w="1097"/>
        <w:gridCol w:w="4358"/>
        <w:gridCol w:w="763"/>
        <w:gridCol w:w="7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50" w:hRule="atLeast"/>
        </w:trPr>
        <w:tc>
          <w:tcPr>
            <w:tcW w:w="1348"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风险单元</w:t>
            </w:r>
          </w:p>
        </w:tc>
        <w:tc>
          <w:tcPr>
            <w:tcW w:w="1097"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危废仓库</w:t>
            </w:r>
          </w:p>
        </w:tc>
        <w:tc>
          <w:tcPr>
            <w:tcW w:w="4358"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工作岗位</w:t>
            </w:r>
          </w:p>
        </w:tc>
        <w:tc>
          <w:tcPr>
            <w:tcW w:w="763" w:type="dxa"/>
            <w:tcBorders>
              <w:tl2br w:val="nil"/>
              <w:tr2bl w:val="nil"/>
            </w:tcBorders>
            <w:vAlign w:val="center"/>
          </w:tcPr>
          <w:p>
            <w:pPr>
              <w:adjustRightInd w:val="0"/>
              <w:snapToGrid w:val="0"/>
              <w:jc w:val="center"/>
              <w:rPr>
                <w:b/>
                <w:bCs/>
                <w:color w:val="auto"/>
                <w:sz w:val="21"/>
                <w:szCs w:val="21"/>
                <w:highlight w:val="none"/>
              </w:rPr>
            </w:pPr>
            <w:r>
              <w:rPr>
                <w:rFonts w:hint="eastAsia"/>
                <w:b/>
                <w:bCs/>
                <w:color w:val="auto"/>
                <w:sz w:val="21"/>
                <w:szCs w:val="21"/>
                <w:highlight w:val="none"/>
              </w:rPr>
              <w:t>仓库</w:t>
            </w:r>
          </w:p>
          <w:p>
            <w:pPr>
              <w:adjustRightInd w:val="0"/>
              <w:snapToGrid w:val="0"/>
              <w:jc w:val="center"/>
              <w:rPr>
                <w:b/>
                <w:bCs/>
                <w:color w:val="auto"/>
                <w:sz w:val="21"/>
                <w:szCs w:val="21"/>
                <w:highlight w:val="none"/>
              </w:rPr>
            </w:pPr>
            <w:r>
              <w:rPr>
                <w:rFonts w:hint="eastAsia"/>
                <w:b/>
                <w:bCs/>
                <w:color w:val="auto"/>
                <w:sz w:val="21"/>
                <w:szCs w:val="21"/>
                <w:highlight w:val="none"/>
              </w:rPr>
              <w:t>主管</w:t>
            </w:r>
          </w:p>
        </w:tc>
        <w:tc>
          <w:tcPr>
            <w:tcW w:w="732" w:type="dxa"/>
            <w:vMerge w:val="restart"/>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责任人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31" w:hRule="atLeast"/>
        </w:trPr>
        <w:tc>
          <w:tcPr>
            <w:tcW w:w="1348"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风险物质</w:t>
            </w:r>
          </w:p>
        </w:tc>
        <w:tc>
          <w:tcPr>
            <w:tcW w:w="1097"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事件类型</w:t>
            </w:r>
          </w:p>
        </w:tc>
        <w:tc>
          <w:tcPr>
            <w:tcW w:w="4358"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污染源切断方式</w:t>
            </w:r>
          </w:p>
        </w:tc>
        <w:tc>
          <w:tcPr>
            <w:tcW w:w="763" w:type="dxa"/>
            <w:tcBorders>
              <w:tl2br w:val="nil"/>
              <w:tr2bl w:val="nil"/>
            </w:tcBorders>
            <w:vAlign w:val="center"/>
          </w:tcPr>
          <w:p>
            <w:pPr>
              <w:adjustRightInd w:val="0"/>
              <w:snapToGrid w:val="0"/>
              <w:jc w:val="center"/>
              <w:rPr>
                <w:b/>
                <w:bCs/>
                <w:color w:val="auto"/>
                <w:sz w:val="21"/>
                <w:szCs w:val="21"/>
                <w:highlight w:val="none"/>
              </w:rPr>
            </w:pPr>
            <w:r>
              <w:rPr>
                <w:b/>
                <w:bCs/>
                <w:color w:val="auto"/>
                <w:sz w:val="21"/>
                <w:szCs w:val="21"/>
                <w:highlight w:val="none"/>
              </w:rPr>
              <w:t>信息报告方式</w:t>
            </w:r>
          </w:p>
        </w:tc>
        <w:tc>
          <w:tcPr>
            <w:tcW w:w="732" w:type="dxa"/>
            <w:vMerge w:val="continue"/>
            <w:tcBorders>
              <w:tl2br w:val="nil"/>
              <w:tr2bl w:val="nil"/>
            </w:tcBorders>
            <w:vAlign w:val="center"/>
          </w:tcPr>
          <w:p>
            <w:pPr>
              <w:adjustRightInd w:val="0"/>
              <w:snapToGrid w:val="0"/>
              <w:jc w:val="center"/>
              <w:rPr>
                <w:b/>
                <w:bCs/>
                <w:color w:val="auto"/>
                <w:sz w:val="21"/>
                <w:szCs w:val="21"/>
                <w:highlight w:val="none"/>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2600" w:hRule="atLeast"/>
        </w:trPr>
        <w:tc>
          <w:tcPr>
            <w:tcW w:w="1348" w:type="dxa"/>
            <w:tcBorders>
              <w:tl2br w:val="nil"/>
              <w:tr2bl w:val="nil"/>
            </w:tcBorders>
            <w:vAlign w:val="center"/>
          </w:tcPr>
          <w:p>
            <w:pPr>
              <w:adjustRightInd w:val="0"/>
              <w:snapToGrid w:val="0"/>
              <w:jc w:val="center"/>
              <w:rPr>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废机油</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含铬废液</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废水处理污泥</w:t>
            </w:r>
          </w:p>
        </w:tc>
        <w:tc>
          <w:tcPr>
            <w:tcW w:w="1097" w:type="dxa"/>
            <w:tcBorders>
              <w:tl2br w:val="nil"/>
              <w:tr2bl w:val="nil"/>
            </w:tcBorders>
            <w:vAlign w:val="center"/>
          </w:tcPr>
          <w:p>
            <w:pPr>
              <w:adjustRightInd w:val="0"/>
              <w:snapToGrid w:val="0"/>
              <w:jc w:val="center"/>
              <w:rPr>
                <w:color w:val="auto"/>
                <w:sz w:val="21"/>
                <w:szCs w:val="21"/>
                <w:highlight w:val="none"/>
              </w:rPr>
            </w:pPr>
            <w:r>
              <w:rPr>
                <w:color w:val="auto"/>
                <w:kern w:val="0"/>
                <w:sz w:val="21"/>
                <w:szCs w:val="21"/>
                <w:highlight w:val="none"/>
              </w:rPr>
              <w:t>泄漏</w:t>
            </w:r>
          </w:p>
        </w:tc>
        <w:tc>
          <w:tcPr>
            <w:tcW w:w="4358" w:type="dxa"/>
            <w:tcBorders>
              <w:tl2br w:val="nil"/>
              <w:tr2bl w:val="nil"/>
            </w:tcBorders>
            <w:vAlign w:val="center"/>
          </w:tcPr>
          <w:p>
            <w:pPr>
              <w:adjustRightInd w:val="0"/>
              <w:snapToGrid w:val="0"/>
              <w:jc w:val="left"/>
              <w:rPr>
                <w:color w:val="auto"/>
                <w:sz w:val="21"/>
                <w:szCs w:val="21"/>
                <w:highlight w:val="none"/>
              </w:rPr>
            </w:pPr>
            <w:r>
              <w:rPr>
                <w:color w:val="auto"/>
                <w:sz w:val="21"/>
                <w:szCs w:val="21"/>
                <w:highlight w:val="none"/>
              </w:rPr>
              <w:t>①</w:t>
            </w:r>
            <w:r>
              <w:rPr>
                <w:rFonts w:hint="eastAsia"/>
                <w:color w:val="auto"/>
                <w:sz w:val="21"/>
                <w:szCs w:val="21"/>
                <w:highlight w:val="none"/>
              </w:rPr>
              <w:t>危废仓库</w:t>
            </w:r>
            <w:r>
              <w:rPr>
                <w:color w:val="auto"/>
                <w:sz w:val="21"/>
                <w:szCs w:val="21"/>
                <w:highlight w:val="none"/>
              </w:rPr>
              <w:t>风险物质发生泄漏，立即将包装物的裂口向上，并将事故状态报告仓库主管</w:t>
            </w:r>
            <w:r>
              <w:rPr>
                <w:rFonts w:hint="eastAsia"/>
                <w:color w:val="auto"/>
                <w:sz w:val="21"/>
                <w:szCs w:val="21"/>
                <w:highlight w:val="none"/>
              </w:rPr>
              <w:t>：</w:t>
            </w:r>
            <w:r>
              <w:rPr>
                <w:rFonts w:hint="default" w:ascii="Times New Roman" w:hAnsi="Times New Roman" w:cs="Times New Roman"/>
                <w:color w:val="auto"/>
                <w:sz w:val="21"/>
                <w:szCs w:val="21"/>
                <w:highlight w:val="none"/>
              </w:rPr>
              <w:t>王佳银18852474726</w:t>
            </w:r>
            <w:r>
              <w:rPr>
                <w:rFonts w:hint="eastAsia"/>
                <w:color w:val="auto"/>
                <w:sz w:val="21"/>
                <w:szCs w:val="21"/>
                <w:highlight w:val="none"/>
              </w:rPr>
              <w:t>。</w:t>
            </w:r>
          </w:p>
          <w:p>
            <w:pPr>
              <w:adjustRightInd w:val="0"/>
              <w:snapToGrid w:val="0"/>
              <w:jc w:val="left"/>
              <w:rPr>
                <w:color w:val="auto"/>
                <w:highlight w:val="none"/>
              </w:rPr>
            </w:pPr>
            <w:r>
              <w:rPr>
                <w:color w:val="auto"/>
                <w:sz w:val="21"/>
                <w:szCs w:val="21"/>
                <w:highlight w:val="none"/>
              </w:rPr>
              <w:t>②</w:t>
            </w:r>
            <w:r>
              <w:rPr>
                <w:rFonts w:hint="eastAsia"/>
                <w:color w:val="auto"/>
                <w:sz w:val="21"/>
                <w:szCs w:val="21"/>
                <w:highlight w:val="none"/>
              </w:rPr>
              <w:t>仓库主管</w:t>
            </w:r>
            <w:r>
              <w:rPr>
                <w:color w:val="auto"/>
                <w:sz w:val="21"/>
                <w:szCs w:val="21"/>
                <w:highlight w:val="none"/>
              </w:rPr>
              <w:t>携带堵漏措施火速赶往现场，准备好围堵工具（如黄沙、沙袋、铁锹等）。</w:t>
            </w:r>
          </w:p>
          <w:p>
            <w:pPr>
              <w:adjustRightInd w:val="0"/>
              <w:snapToGrid w:val="0"/>
              <w:jc w:val="left"/>
              <w:rPr>
                <w:color w:val="auto"/>
                <w:sz w:val="21"/>
                <w:szCs w:val="21"/>
                <w:highlight w:val="none"/>
              </w:rPr>
            </w:pPr>
            <w:r>
              <w:rPr>
                <w:color w:val="auto"/>
                <w:sz w:val="21"/>
                <w:szCs w:val="21"/>
                <w:highlight w:val="none"/>
              </w:rPr>
              <w:t>③现场设置防护范围，用黄沙</w:t>
            </w:r>
            <w:r>
              <w:rPr>
                <w:rFonts w:hint="eastAsia"/>
                <w:color w:val="auto"/>
                <w:sz w:val="21"/>
                <w:szCs w:val="21"/>
                <w:highlight w:val="none"/>
              </w:rPr>
              <w:t>、泄漏应急桶</w:t>
            </w:r>
            <w:r>
              <w:rPr>
                <w:color w:val="auto"/>
                <w:sz w:val="21"/>
                <w:szCs w:val="21"/>
                <w:highlight w:val="none"/>
              </w:rPr>
              <w:t>等工具对现场泄漏液体进行覆盖吸收处理，如果是易燃可燃物质泄漏，需避免明火。</w:t>
            </w:r>
          </w:p>
        </w:tc>
        <w:tc>
          <w:tcPr>
            <w:tcW w:w="763" w:type="dxa"/>
            <w:vMerge w:val="restart"/>
            <w:tcBorders>
              <w:tl2br w:val="nil"/>
              <w:tr2bl w:val="nil"/>
            </w:tcBorders>
            <w:vAlign w:val="center"/>
          </w:tcPr>
          <w:p>
            <w:pPr>
              <w:adjustRightInd w:val="0"/>
              <w:snapToGrid w:val="0"/>
              <w:jc w:val="center"/>
              <w:rPr>
                <w:color w:val="auto"/>
                <w:sz w:val="21"/>
                <w:szCs w:val="21"/>
                <w:highlight w:val="none"/>
              </w:rPr>
            </w:pPr>
            <w:r>
              <w:rPr>
                <w:color w:val="auto"/>
                <w:sz w:val="21"/>
                <w:szCs w:val="21"/>
                <w:highlight w:val="none"/>
              </w:rPr>
              <w:t>手机、</w:t>
            </w:r>
            <w:r>
              <w:rPr>
                <w:rFonts w:hint="eastAsia"/>
                <w:color w:val="auto"/>
                <w:sz w:val="21"/>
                <w:szCs w:val="21"/>
                <w:highlight w:val="none"/>
              </w:rPr>
              <w:t>对讲机、广播</w:t>
            </w:r>
          </w:p>
        </w:tc>
        <w:tc>
          <w:tcPr>
            <w:tcW w:w="732" w:type="dxa"/>
            <w:vMerge w:val="restart"/>
            <w:tcBorders>
              <w:tl2br w:val="nil"/>
              <w:tr2bl w:val="nil"/>
            </w:tcBorders>
            <w:vAlign w:val="center"/>
          </w:tcPr>
          <w:p>
            <w:pPr>
              <w:adjustRightInd w:val="0"/>
              <w:snapToGrid w:val="0"/>
              <w:jc w:val="center"/>
              <w:rPr>
                <w:color w:val="auto"/>
                <w:sz w:val="21"/>
                <w:szCs w:val="21"/>
                <w:highlight w:val="none"/>
              </w:rPr>
            </w:pPr>
            <w:r>
              <w:rPr>
                <w:rFonts w:hint="default" w:ascii="Times New Roman" w:hAnsi="Times New Roman" w:cs="Times New Roman"/>
                <w:color w:val="auto"/>
                <w:sz w:val="21"/>
                <w:szCs w:val="21"/>
                <w:highlight w:val="none"/>
              </w:rPr>
              <w:t>王佳银18852474726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31" w:hRule="atLeast"/>
        </w:trPr>
        <w:tc>
          <w:tcPr>
            <w:tcW w:w="1348" w:type="dxa"/>
            <w:tcBorders>
              <w:tl2br w:val="nil"/>
              <w:tr2bl w:val="nil"/>
            </w:tcBorders>
            <w:vAlign w:val="center"/>
          </w:tcPr>
          <w:p>
            <w:pPr>
              <w:adjustRightInd w:val="0"/>
              <w:snapToGrid w:val="0"/>
              <w:jc w:val="center"/>
              <w:rPr>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rPr>
              <w:t>废弃劳保用品</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废包装袋</w:t>
            </w:r>
            <w:r>
              <w:rPr>
                <w:rFonts w:hint="eastAsia" w:ascii="Times New Roman" w:hAnsi="Times New Roman" w:eastAsia="宋体" w:cs="Times New Roman"/>
                <w:color w:val="auto"/>
                <w:kern w:val="0"/>
                <w:sz w:val="21"/>
                <w:szCs w:val="21"/>
                <w:highlight w:val="none"/>
                <w:lang w:val="en-US" w:eastAsia="zh-CN"/>
              </w:rPr>
              <w:t>、</w:t>
            </w:r>
            <w:r>
              <w:rPr>
                <w:rFonts w:hint="default" w:ascii="Times New Roman" w:hAnsi="Times New Roman" w:eastAsia="宋体" w:cs="Times New Roman"/>
                <w:color w:val="auto"/>
                <w:kern w:val="0"/>
                <w:sz w:val="21"/>
                <w:szCs w:val="21"/>
                <w:highlight w:val="none"/>
                <w:lang w:val="en-US" w:eastAsia="zh-CN"/>
              </w:rPr>
              <w:t>废机油</w:t>
            </w:r>
          </w:p>
        </w:tc>
        <w:tc>
          <w:tcPr>
            <w:tcW w:w="1097" w:type="dxa"/>
            <w:tcBorders>
              <w:tl2br w:val="nil"/>
              <w:tr2bl w:val="nil"/>
            </w:tcBorders>
            <w:vAlign w:val="center"/>
          </w:tcPr>
          <w:p>
            <w:pPr>
              <w:adjustRightInd w:val="0"/>
              <w:snapToGrid w:val="0"/>
              <w:jc w:val="center"/>
              <w:rPr>
                <w:color w:val="auto"/>
                <w:sz w:val="21"/>
                <w:szCs w:val="21"/>
                <w:highlight w:val="none"/>
              </w:rPr>
            </w:pPr>
            <w:r>
              <w:rPr>
                <w:color w:val="auto"/>
                <w:kern w:val="0"/>
                <w:sz w:val="21"/>
                <w:szCs w:val="21"/>
                <w:highlight w:val="none"/>
              </w:rPr>
              <w:t>火灾</w:t>
            </w:r>
          </w:p>
        </w:tc>
        <w:tc>
          <w:tcPr>
            <w:tcW w:w="4358" w:type="dxa"/>
            <w:tcBorders>
              <w:tl2br w:val="nil"/>
              <w:tr2bl w:val="nil"/>
            </w:tcBorders>
            <w:vAlign w:val="center"/>
          </w:tcPr>
          <w:p>
            <w:pPr>
              <w:adjustRightInd w:val="0"/>
              <w:snapToGrid w:val="0"/>
              <w:jc w:val="left"/>
              <w:rPr>
                <w:color w:val="auto"/>
                <w:sz w:val="21"/>
                <w:szCs w:val="21"/>
                <w:highlight w:val="none"/>
              </w:rPr>
            </w:pPr>
            <w:r>
              <w:rPr>
                <w:color w:val="auto"/>
                <w:sz w:val="21"/>
                <w:szCs w:val="21"/>
                <w:highlight w:val="none"/>
              </w:rPr>
              <w:t>①</w:t>
            </w:r>
            <w:r>
              <w:rPr>
                <w:rFonts w:hint="eastAsia"/>
                <w:color w:val="auto"/>
                <w:sz w:val="21"/>
                <w:szCs w:val="21"/>
                <w:highlight w:val="none"/>
              </w:rPr>
              <w:t>危废仓库</w:t>
            </w:r>
            <w:r>
              <w:rPr>
                <w:color w:val="auto"/>
                <w:sz w:val="21"/>
                <w:szCs w:val="21"/>
                <w:highlight w:val="none"/>
              </w:rPr>
              <w:t>风险物质发生火情，立即将事故状态报告仓库主管</w:t>
            </w:r>
            <w:r>
              <w:rPr>
                <w:rFonts w:hint="default" w:ascii="Times New Roman" w:hAnsi="Times New Roman" w:cs="Times New Roman"/>
                <w:color w:val="auto"/>
                <w:sz w:val="21"/>
                <w:szCs w:val="21"/>
                <w:highlight w:val="none"/>
              </w:rPr>
              <w:t>王佳银18852474726</w:t>
            </w:r>
            <w:r>
              <w:rPr>
                <w:rFonts w:hint="eastAsia"/>
                <w:color w:val="auto"/>
                <w:sz w:val="21"/>
                <w:szCs w:val="21"/>
                <w:highlight w:val="none"/>
              </w:rPr>
              <w:t>。</w:t>
            </w:r>
          </w:p>
          <w:p>
            <w:pPr>
              <w:adjustRightInd w:val="0"/>
              <w:snapToGrid w:val="0"/>
              <w:jc w:val="left"/>
              <w:rPr>
                <w:color w:val="auto"/>
                <w:sz w:val="21"/>
                <w:szCs w:val="21"/>
                <w:highlight w:val="none"/>
              </w:rPr>
            </w:pPr>
            <w:r>
              <w:rPr>
                <w:color w:val="auto"/>
                <w:sz w:val="21"/>
                <w:szCs w:val="21"/>
                <w:highlight w:val="none"/>
              </w:rPr>
              <w:t>，并疏散附近人员，拨打报警电话119。</w:t>
            </w:r>
          </w:p>
          <w:p>
            <w:pPr>
              <w:pStyle w:val="2"/>
              <w:adjustRightInd w:val="0"/>
              <w:snapToGrid w:val="0"/>
              <w:jc w:val="left"/>
              <w:rPr>
                <w:rFonts w:ascii="Times New Roman" w:hAnsi="Times New Roman"/>
                <w:color w:val="auto"/>
                <w:sz w:val="21"/>
                <w:szCs w:val="21"/>
                <w:highlight w:val="none"/>
              </w:rPr>
            </w:pPr>
            <w:r>
              <w:rPr>
                <w:rFonts w:ascii="Times New Roman" w:hAnsi="Times New Roman"/>
                <w:color w:val="auto"/>
                <w:sz w:val="21"/>
                <w:szCs w:val="21"/>
                <w:highlight w:val="none"/>
              </w:rPr>
              <w:t>②</w:t>
            </w:r>
            <w:r>
              <w:rPr>
                <w:rFonts w:hint="eastAsia"/>
                <w:color w:val="auto"/>
                <w:sz w:val="21"/>
                <w:szCs w:val="21"/>
                <w:highlight w:val="none"/>
              </w:rPr>
              <w:t>仓库主管</w:t>
            </w:r>
            <w:r>
              <w:rPr>
                <w:rFonts w:ascii="Times New Roman" w:hAnsi="Times New Roman"/>
                <w:color w:val="auto"/>
                <w:sz w:val="21"/>
                <w:szCs w:val="21"/>
                <w:highlight w:val="none"/>
              </w:rPr>
              <w:t>立即拉响应急警报，全厂员工应急警报响起后，应立即进行撤离，快速到达疏散集合点，各部门主管对人员进行清点。</w:t>
            </w:r>
          </w:p>
          <w:p>
            <w:pPr>
              <w:pStyle w:val="2"/>
              <w:adjustRightInd w:val="0"/>
              <w:snapToGrid w:val="0"/>
              <w:jc w:val="left"/>
              <w:rPr>
                <w:rFonts w:ascii="Times New Roman" w:hAnsi="Times New Roman"/>
                <w:color w:val="auto"/>
                <w:sz w:val="21"/>
                <w:szCs w:val="21"/>
                <w:highlight w:val="none"/>
              </w:rPr>
            </w:pPr>
            <w:r>
              <w:rPr>
                <w:rFonts w:ascii="Times New Roman" w:hAnsi="Times New Roman"/>
                <w:color w:val="auto"/>
                <w:sz w:val="21"/>
                <w:szCs w:val="21"/>
                <w:highlight w:val="none"/>
              </w:rPr>
              <w:t>③</w:t>
            </w:r>
            <w:r>
              <w:rPr>
                <w:rFonts w:hint="eastAsia"/>
                <w:color w:val="auto"/>
                <w:sz w:val="21"/>
                <w:szCs w:val="21"/>
                <w:highlight w:val="none"/>
              </w:rPr>
              <w:t>仓库主管</w:t>
            </w:r>
            <w:r>
              <w:rPr>
                <w:rFonts w:ascii="Times New Roman" w:hAnsi="Times New Roman"/>
                <w:color w:val="auto"/>
                <w:sz w:val="21"/>
                <w:szCs w:val="21"/>
                <w:highlight w:val="none"/>
              </w:rPr>
              <w:t>组织各部门人员用灭火器材等进行灭火，先切断电源，严禁使用水或液体灭火以防触电事故发生。</w:t>
            </w:r>
          </w:p>
          <w:p>
            <w:pPr>
              <w:pStyle w:val="2"/>
              <w:adjustRightInd w:val="0"/>
              <w:snapToGrid w:val="0"/>
              <w:jc w:val="left"/>
              <w:rPr>
                <w:rFonts w:ascii="Times New Roman" w:hAnsi="Times New Roman"/>
                <w:color w:val="auto"/>
                <w:sz w:val="21"/>
                <w:szCs w:val="21"/>
                <w:highlight w:val="none"/>
              </w:rPr>
            </w:pPr>
            <w:r>
              <w:rPr>
                <w:rFonts w:ascii="Times New Roman" w:hAnsi="Times New Roman"/>
                <w:color w:val="auto"/>
                <w:sz w:val="21"/>
                <w:szCs w:val="21"/>
                <w:highlight w:val="none"/>
              </w:rPr>
              <w:t>④准备部分毛巾，湿润后蒙在口、鼻上，抢救被困人员。被烧人员救出后应用净水冲洗一下被烧部位，将污物冲净，再用干净纱布简单包扎，同时联系急救车抢救。</w:t>
            </w:r>
          </w:p>
          <w:p>
            <w:pPr>
              <w:rPr>
                <w:color w:val="auto"/>
                <w:sz w:val="21"/>
                <w:szCs w:val="21"/>
                <w:highlight w:val="none"/>
              </w:rPr>
            </w:pPr>
            <w:r>
              <w:rPr>
                <w:color w:val="auto"/>
                <w:sz w:val="21"/>
                <w:szCs w:val="21"/>
                <w:highlight w:val="none"/>
              </w:rPr>
              <w:t>⑤现场事故废水</w:t>
            </w:r>
            <w:r>
              <w:rPr>
                <w:rFonts w:hint="eastAsia"/>
                <w:color w:val="auto"/>
                <w:sz w:val="21"/>
                <w:szCs w:val="21"/>
                <w:highlight w:val="none"/>
              </w:rPr>
              <w:t>由仓库主管</w:t>
            </w:r>
            <w:r>
              <w:rPr>
                <w:color w:val="auto"/>
                <w:sz w:val="21"/>
                <w:szCs w:val="21"/>
                <w:highlight w:val="none"/>
              </w:rPr>
              <w:t>进行收集，交由备资质单位进行处置，并办理相关手续。</w:t>
            </w:r>
          </w:p>
        </w:tc>
        <w:tc>
          <w:tcPr>
            <w:tcW w:w="763" w:type="dxa"/>
            <w:vMerge w:val="continue"/>
            <w:tcBorders>
              <w:tl2br w:val="nil"/>
              <w:tr2bl w:val="nil"/>
            </w:tcBorders>
            <w:vAlign w:val="center"/>
          </w:tcPr>
          <w:p>
            <w:pPr>
              <w:adjustRightInd w:val="0"/>
              <w:snapToGrid w:val="0"/>
              <w:jc w:val="center"/>
              <w:rPr>
                <w:color w:val="auto"/>
                <w:sz w:val="21"/>
                <w:szCs w:val="21"/>
                <w:highlight w:val="none"/>
              </w:rPr>
            </w:pPr>
          </w:p>
        </w:tc>
        <w:tc>
          <w:tcPr>
            <w:tcW w:w="732" w:type="dxa"/>
            <w:vMerge w:val="continue"/>
            <w:tcBorders>
              <w:tl2br w:val="nil"/>
              <w:tr2bl w:val="nil"/>
            </w:tcBorders>
            <w:vAlign w:val="center"/>
          </w:tcPr>
          <w:p>
            <w:pPr>
              <w:adjustRightInd w:val="0"/>
              <w:snapToGrid w:val="0"/>
              <w:jc w:val="center"/>
              <w:rPr>
                <w:color w:val="auto"/>
                <w:sz w:val="21"/>
                <w:szCs w:val="21"/>
                <w:highlight w:val="none"/>
              </w:rPr>
            </w:pPr>
          </w:p>
        </w:tc>
      </w:tr>
    </w:tbl>
    <w:p>
      <w:pPr>
        <w:rPr>
          <w:color w:val="auto"/>
          <w:highlight w:val="none"/>
        </w:rPr>
      </w:pPr>
      <w:r>
        <w:rPr>
          <w:color w:val="auto"/>
          <w:highlight w:val="none"/>
        </w:rPr>
        <w:br w:type="page"/>
      </w:r>
    </w:p>
    <w:p>
      <w:pPr>
        <w:pStyle w:val="4"/>
        <w:jc w:val="center"/>
        <w:rPr>
          <w:color w:val="auto"/>
          <w:sz w:val="36"/>
          <w:szCs w:val="48"/>
          <w:highlight w:val="none"/>
        </w:rPr>
      </w:pPr>
      <w:bookmarkStart w:id="257" w:name="_Toc9318"/>
      <w:r>
        <w:rPr>
          <w:color w:val="auto"/>
          <w:sz w:val="36"/>
          <w:szCs w:val="48"/>
          <w:highlight w:val="none"/>
        </w:rPr>
        <w:t>第四部分  附件、附图</w:t>
      </w:r>
      <w:bookmarkEnd w:id="257"/>
    </w:p>
    <w:bookmarkEnd w:id="224"/>
    <w:p>
      <w:pPr>
        <w:pStyle w:val="4"/>
        <w:adjustRightInd w:val="0"/>
        <w:snapToGrid w:val="0"/>
        <w:rPr>
          <w:color w:val="auto"/>
          <w:kern w:val="0"/>
          <w:highlight w:val="none"/>
        </w:rPr>
      </w:pPr>
      <w:bookmarkStart w:id="258" w:name="_Toc28103327"/>
      <w:bookmarkStart w:id="259" w:name="_Toc32285"/>
      <w:r>
        <w:rPr>
          <w:color w:val="auto"/>
          <w:kern w:val="0"/>
          <w:highlight w:val="none"/>
        </w:rPr>
        <w:t>1 附件</w:t>
      </w:r>
      <w:bookmarkEnd w:id="258"/>
      <w:bookmarkEnd w:id="259"/>
    </w:p>
    <w:p>
      <w:pPr>
        <w:pStyle w:val="29"/>
        <w:adjustRightInd w:val="0"/>
        <w:snapToGrid w:val="0"/>
        <w:ind w:firstLine="0" w:firstLineChars="0"/>
        <w:rPr>
          <w:rFonts w:ascii="Times New Roman" w:hAnsi="Times New Roman"/>
          <w:color w:val="auto"/>
          <w:kern w:val="2"/>
          <w:highlight w:val="none"/>
        </w:rPr>
      </w:pPr>
      <w:r>
        <w:rPr>
          <w:rFonts w:ascii="Times New Roman" w:hAnsi="Times New Roman"/>
          <w:color w:val="auto"/>
          <w:kern w:val="2"/>
          <w:highlight w:val="none"/>
        </w:rPr>
        <w:t>附件1、应急联系方式</w:t>
      </w:r>
    </w:p>
    <w:p>
      <w:pPr>
        <w:pStyle w:val="29"/>
        <w:adjustRightInd w:val="0"/>
        <w:snapToGrid w:val="0"/>
        <w:ind w:firstLine="0" w:firstLineChars="0"/>
        <w:rPr>
          <w:rFonts w:ascii="Times New Roman" w:hAnsi="Times New Roman"/>
          <w:color w:val="auto"/>
          <w:kern w:val="2"/>
          <w:highlight w:val="none"/>
        </w:rPr>
      </w:pPr>
      <w:r>
        <w:rPr>
          <w:rFonts w:ascii="Times New Roman" w:hAnsi="Times New Roman"/>
          <w:color w:val="auto"/>
          <w:kern w:val="2"/>
          <w:highlight w:val="none"/>
        </w:rPr>
        <w:t>附件2、应急信息接报、处理、上报规范化格式文本</w:t>
      </w:r>
    </w:p>
    <w:p>
      <w:pPr>
        <w:pStyle w:val="29"/>
        <w:adjustRightInd w:val="0"/>
        <w:snapToGrid w:val="0"/>
        <w:ind w:firstLine="0" w:firstLineChars="0"/>
        <w:rPr>
          <w:rFonts w:ascii="Times New Roman" w:hAnsi="Times New Roman"/>
          <w:color w:val="auto"/>
          <w:kern w:val="2"/>
          <w:highlight w:val="none"/>
        </w:rPr>
      </w:pPr>
      <w:r>
        <w:rPr>
          <w:rFonts w:ascii="Times New Roman" w:hAnsi="Times New Roman"/>
          <w:color w:val="auto"/>
          <w:kern w:val="2"/>
          <w:highlight w:val="none"/>
        </w:rPr>
        <w:t>附件3、</w:t>
      </w:r>
      <w:r>
        <w:rPr>
          <w:rFonts w:ascii="Times New Roman" w:hAnsi="Times New Roman"/>
          <w:color w:val="auto"/>
          <w:highlight w:val="none"/>
        </w:rPr>
        <w:t>营业执照</w:t>
      </w:r>
    </w:p>
    <w:p>
      <w:pPr>
        <w:adjustRightInd w:val="0"/>
        <w:snapToGrid w:val="0"/>
        <w:spacing w:line="360" w:lineRule="auto"/>
        <w:rPr>
          <w:rFonts w:hint="default" w:eastAsia="宋体"/>
          <w:color w:val="auto"/>
          <w:highlight w:val="none"/>
          <w:lang w:val="en-US" w:eastAsia="zh-CN"/>
        </w:rPr>
      </w:pPr>
      <w:r>
        <w:rPr>
          <w:color w:val="auto"/>
          <w:highlight w:val="none"/>
        </w:rPr>
        <w:t>附件4、</w:t>
      </w:r>
      <w:r>
        <w:rPr>
          <w:rFonts w:hint="eastAsia"/>
          <w:color w:val="auto"/>
          <w:highlight w:val="none"/>
          <w:lang w:val="en-US" w:eastAsia="zh-CN"/>
        </w:rPr>
        <w:t>公司环评批复及现状评价备案意见</w:t>
      </w:r>
    </w:p>
    <w:p>
      <w:pPr>
        <w:adjustRightInd w:val="0"/>
        <w:snapToGrid w:val="0"/>
        <w:spacing w:line="360" w:lineRule="auto"/>
        <w:rPr>
          <w:rFonts w:hint="eastAsia"/>
          <w:color w:val="auto"/>
          <w:highlight w:val="none"/>
          <w:lang w:val="en-US" w:eastAsia="zh-CN"/>
        </w:rPr>
      </w:pPr>
      <w:r>
        <w:rPr>
          <w:color w:val="auto"/>
          <w:highlight w:val="none"/>
        </w:rPr>
        <w:t>附件</w:t>
      </w:r>
      <w:r>
        <w:rPr>
          <w:rFonts w:hint="eastAsia"/>
          <w:color w:val="auto"/>
          <w:highlight w:val="none"/>
          <w:lang w:val="en-US" w:eastAsia="zh-CN"/>
        </w:rPr>
        <w:t>5</w:t>
      </w:r>
      <w:r>
        <w:rPr>
          <w:color w:val="auto"/>
          <w:highlight w:val="none"/>
        </w:rPr>
        <w:t>、危废</w:t>
      </w:r>
      <w:r>
        <w:rPr>
          <w:rFonts w:hint="eastAsia"/>
          <w:color w:val="auto"/>
          <w:highlight w:val="none"/>
          <w:lang w:val="en-US" w:eastAsia="zh-CN"/>
        </w:rPr>
        <w:t>处置协议</w:t>
      </w:r>
    </w:p>
    <w:p>
      <w:pPr>
        <w:adjustRightInd w:val="0"/>
        <w:snapToGrid w:val="0"/>
        <w:spacing w:line="360" w:lineRule="auto"/>
        <w:rPr>
          <w:rFonts w:hint="default" w:eastAsia="宋体"/>
          <w:color w:val="auto"/>
          <w:highlight w:val="none"/>
          <w:lang w:val="en-US" w:eastAsia="zh-CN"/>
        </w:rPr>
      </w:pPr>
      <w:r>
        <w:rPr>
          <w:color w:val="auto"/>
          <w:highlight w:val="none"/>
        </w:rPr>
        <w:t>附件</w:t>
      </w:r>
      <w:r>
        <w:rPr>
          <w:rFonts w:hint="eastAsia"/>
          <w:color w:val="auto"/>
          <w:highlight w:val="none"/>
          <w:lang w:val="en-US" w:eastAsia="zh-CN"/>
        </w:rPr>
        <w:t>6</w:t>
      </w:r>
      <w:r>
        <w:rPr>
          <w:color w:val="auto"/>
          <w:highlight w:val="none"/>
        </w:rPr>
        <w:t>、</w:t>
      </w:r>
      <w:r>
        <w:rPr>
          <w:rFonts w:hint="eastAsia"/>
          <w:color w:val="auto"/>
          <w:highlight w:val="none"/>
          <w:lang w:val="en-US" w:eastAsia="zh-CN"/>
        </w:rPr>
        <w:t>生活污水接管协议</w:t>
      </w:r>
    </w:p>
    <w:p>
      <w:pPr>
        <w:adjustRightInd w:val="0"/>
        <w:snapToGrid w:val="0"/>
        <w:spacing w:line="360" w:lineRule="auto"/>
        <w:rPr>
          <w:color w:val="auto"/>
          <w:highlight w:val="none"/>
        </w:rPr>
      </w:pPr>
      <w:r>
        <w:rPr>
          <w:color w:val="auto"/>
          <w:highlight w:val="none"/>
        </w:rPr>
        <w:t>附件</w:t>
      </w:r>
      <w:r>
        <w:rPr>
          <w:rFonts w:hint="eastAsia"/>
          <w:color w:val="auto"/>
          <w:highlight w:val="none"/>
          <w:lang w:val="en-US" w:eastAsia="zh-CN"/>
        </w:rPr>
        <w:t>7</w:t>
      </w:r>
      <w:r>
        <w:rPr>
          <w:color w:val="auto"/>
          <w:highlight w:val="none"/>
        </w:rPr>
        <w:t>、应急监测协议</w:t>
      </w:r>
    </w:p>
    <w:p>
      <w:pPr>
        <w:adjustRightInd w:val="0"/>
        <w:snapToGrid w:val="0"/>
        <w:spacing w:line="360" w:lineRule="auto"/>
        <w:rPr>
          <w:rFonts w:hint="eastAsia"/>
          <w:color w:val="auto"/>
          <w:highlight w:val="none"/>
          <w:lang w:val="en-US" w:eastAsia="zh-CN"/>
        </w:rPr>
      </w:pPr>
      <w:r>
        <w:rPr>
          <w:color w:val="auto"/>
          <w:highlight w:val="none"/>
        </w:rPr>
        <w:t>附件</w:t>
      </w:r>
      <w:r>
        <w:rPr>
          <w:rFonts w:hint="eastAsia"/>
          <w:color w:val="auto"/>
          <w:highlight w:val="none"/>
          <w:lang w:val="en-US" w:eastAsia="zh-CN"/>
        </w:rPr>
        <w:t>8</w:t>
      </w:r>
      <w:r>
        <w:rPr>
          <w:color w:val="auto"/>
          <w:highlight w:val="none"/>
        </w:rPr>
        <w:t>、</w:t>
      </w:r>
      <w:r>
        <w:rPr>
          <w:rFonts w:hint="eastAsia"/>
          <w:color w:val="auto"/>
          <w:highlight w:val="none"/>
          <w:lang w:val="en-US" w:eastAsia="zh-CN"/>
        </w:rPr>
        <w:t>相互救援协议</w:t>
      </w:r>
    </w:p>
    <w:p>
      <w:pPr>
        <w:adjustRightInd w:val="0"/>
        <w:snapToGrid w:val="0"/>
        <w:spacing w:line="360" w:lineRule="auto"/>
        <w:rPr>
          <w:color w:val="auto"/>
          <w:highlight w:val="none"/>
        </w:rPr>
      </w:pPr>
      <w:r>
        <w:rPr>
          <w:color w:val="auto"/>
          <w:highlight w:val="none"/>
        </w:rPr>
        <w:t>附件</w:t>
      </w:r>
      <w:r>
        <w:rPr>
          <w:rFonts w:hint="eastAsia"/>
          <w:color w:val="auto"/>
          <w:highlight w:val="none"/>
          <w:lang w:val="en-US" w:eastAsia="zh-CN"/>
        </w:rPr>
        <w:t>9</w:t>
      </w:r>
      <w:r>
        <w:rPr>
          <w:color w:val="auto"/>
          <w:highlight w:val="none"/>
        </w:rPr>
        <w:t>、</w:t>
      </w:r>
      <w:r>
        <w:rPr>
          <w:rFonts w:hint="eastAsia"/>
          <w:color w:val="auto"/>
          <w:highlight w:val="none"/>
        </w:rPr>
        <w:t>主要原辅材料理化性质</w:t>
      </w:r>
    </w:p>
    <w:p>
      <w:pPr>
        <w:adjustRightInd w:val="0"/>
        <w:snapToGrid w:val="0"/>
        <w:spacing w:line="360" w:lineRule="auto"/>
        <w:rPr>
          <w:rFonts w:hint="eastAsia"/>
          <w:color w:val="auto"/>
          <w:highlight w:val="none"/>
          <w:lang w:eastAsia="zh-CN"/>
        </w:rPr>
      </w:pPr>
      <w:r>
        <w:rPr>
          <w:color w:val="auto"/>
          <w:highlight w:val="none"/>
        </w:rPr>
        <w:t>附件1</w:t>
      </w:r>
      <w:r>
        <w:rPr>
          <w:rFonts w:hint="eastAsia"/>
          <w:color w:val="auto"/>
          <w:highlight w:val="none"/>
          <w:lang w:val="en-US" w:eastAsia="zh-CN"/>
        </w:rPr>
        <w:t>0</w:t>
      </w:r>
      <w:r>
        <w:rPr>
          <w:color w:val="auto"/>
          <w:highlight w:val="none"/>
        </w:rPr>
        <w:t>、应急预案专家评审意见表</w:t>
      </w:r>
    </w:p>
    <w:p>
      <w:pPr>
        <w:adjustRightInd w:val="0"/>
        <w:snapToGrid w:val="0"/>
        <w:spacing w:line="360" w:lineRule="auto"/>
        <w:rPr>
          <w:rFonts w:hint="default"/>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11、委托书</w:t>
      </w:r>
    </w:p>
    <w:p>
      <w:pPr>
        <w:adjustRightInd w:val="0"/>
        <w:snapToGrid w:val="0"/>
        <w:spacing w:line="360" w:lineRule="auto"/>
        <w:rPr>
          <w:rFonts w:hint="default"/>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12、确认单</w:t>
      </w:r>
    </w:p>
    <w:p>
      <w:pPr>
        <w:adjustRightInd w:val="0"/>
        <w:snapToGrid w:val="0"/>
        <w:spacing w:line="360" w:lineRule="auto"/>
        <w:rPr>
          <w:rFonts w:hint="default"/>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13、需整改项目落实情况表</w:t>
      </w:r>
    </w:p>
    <w:p>
      <w:pPr>
        <w:adjustRightInd w:val="0"/>
        <w:snapToGrid w:val="0"/>
        <w:spacing w:line="360" w:lineRule="auto"/>
        <w:rPr>
          <w:rFonts w:hint="eastAsia"/>
          <w:color w:val="auto"/>
          <w:highlight w:val="none"/>
          <w:lang w:val="en-US" w:eastAsia="zh-CN"/>
        </w:rPr>
      </w:pPr>
      <w:r>
        <w:rPr>
          <w:rFonts w:hint="eastAsia"/>
          <w:color w:val="auto"/>
          <w:highlight w:val="none"/>
          <w:lang w:eastAsia="zh-CN"/>
        </w:rPr>
        <w:t>附件</w:t>
      </w:r>
      <w:r>
        <w:rPr>
          <w:rFonts w:hint="eastAsia"/>
          <w:color w:val="auto"/>
          <w:highlight w:val="none"/>
          <w:lang w:val="en-US" w:eastAsia="zh-CN"/>
        </w:rPr>
        <w:t>14、</w:t>
      </w:r>
      <w:r>
        <w:rPr>
          <w:rFonts w:hint="eastAsia"/>
          <w:color w:val="auto"/>
          <w:highlight w:val="none"/>
          <w:lang w:eastAsia="zh-CN"/>
        </w:rPr>
        <w:t>修改说明表</w:t>
      </w:r>
    </w:p>
    <w:p>
      <w:pPr>
        <w:pStyle w:val="4"/>
        <w:adjustRightInd w:val="0"/>
        <w:snapToGrid w:val="0"/>
        <w:rPr>
          <w:color w:val="auto"/>
          <w:kern w:val="0"/>
          <w:highlight w:val="none"/>
        </w:rPr>
      </w:pPr>
      <w:bookmarkStart w:id="260" w:name="_Toc28103328"/>
      <w:bookmarkStart w:id="261" w:name="_Toc6128"/>
      <w:r>
        <w:rPr>
          <w:color w:val="auto"/>
          <w:kern w:val="0"/>
          <w:highlight w:val="none"/>
        </w:rPr>
        <w:t>2 附图</w:t>
      </w:r>
      <w:bookmarkEnd w:id="260"/>
      <w:bookmarkEnd w:id="261"/>
    </w:p>
    <w:p>
      <w:pPr>
        <w:adjustRightInd w:val="0"/>
        <w:snapToGrid w:val="0"/>
        <w:spacing w:line="360" w:lineRule="auto"/>
        <w:rPr>
          <w:color w:val="auto"/>
          <w:highlight w:val="none"/>
        </w:rPr>
      </w:pPr>
      <w:bookmarkStart w:id="262" w:name="_Toc2821"/>
      <w:bookmarkStart w:id="263" w:name="_Toc6574"/>
      <w:bookmarkStart w:id="264" w:name="_Toc1249"/>
      <w:r>
        <w:rPr>
          <w:color w:val="auto"/>
          <w:sz w:val="24"/>
          <w:highlight w:val="none"/>
          <w:lang w:bidi="ar"/>
        </w:rPr>
        <w:t>附图1、厂区地理位置及周边5km范围内环境保护目标分布图</w:t>
      </w:r>
      <w:bookmarkEnd w:id="262"/>
      <w:bookmarkEnd w:id="263"/>
      <w:bookmarkEnd w:id="264"/>
    </w:p>
    <w:p>
      <w:pPr>
        <w:adjustRightInd w:val="0"/>
        <w:snapToGrid w:val="0"/>
        <w:spacing w:line="360" w:lineRule="auto"/>
        <w:rPr>
          <w:color w:val="auto"/>
          <w:sz w:val="24"/>
          <w:highlight w:val="none"/>
          <w:lang w:bidi="ar"/>
        </w:rPr>
      </w:pPr>
      <w:bookmarkStart w:id="265" w:name="_Toc13261"/>
      <w:bookmarkStart w:id="266" w:name="_Toc26921"/>
      <w:bookmarkStart w:id="267" w:name="_Toc19780"/>
      <w:r>
        <w:rPr>
          <w:color w:val="auto"/>
          <w:sz w:val="24"/>
          <w:highlight w:val="none"/>
          <w:lang w:bidi="ar"/>
        </w:rPr>
        <w:t>附图2、厂区周围环境及道路交通管制图</w:t>
      </w:r>
      <w:bookmarkEnd w:id="265"/>
      <w:bookmarkEnd w:id="266"/>
      <w:bookmarkEnd w:id="267"/>
    </w:p>
    <w:p>
      <w:pPr>
        <w:adjustRightInd w:val="0"/>
        <w:snapToGrid w:val="0"/>
        <w:spacing w:line="360" w:lineRule="auto"/>
        <w:rPr>
          <w:rFonts w:hint="eastAsia" w:eastAsia="宋体"/>
          <w:color w:val="auto"/>
          <w:highlight w:val="none"/>
          <w:lang w:val="en-US" w:eastAsia="zh-CN"/>
        </w:rPr>
      </w:pPr>
      <w:bookmarkStart w:id="268" w:name="_Toc10712"/>
      <w:bookmarkStart w:id="269" w:name="_Toc11170"/>
      <w:r>
        <w:rPr>
          <w:color w:val="auto"/>
          <w:sz w:val="24"/>
          <w:highlight w:val="none"/>
          <w:lang w:bidi="ar"/>
        </w:rPr>
        <w:t>附图3、</w:t>
      </w:r>
      <w:bookmarkEnd w:id="268"/>
      <w:bookmarkEnd w:id="269"/>
      <w:r>
        <w:rPr>
          <w:rFonts w:hint="eastAsia"/>
          <w:color w:val="auto"/>
          <w:sz w:val="24"/>
          <w:highlight w:val="none"/>
          <w:lang w:bidi="ar"/>
        </w:rPr>
        <w:t>项目周围水系及地表水监测断面</w:t>
      </w:r>
      <w:r>
        <w:rPr>
          <w:rFonts w:hint="eastAsia"/>
          <w:color w:val="auto"/>
          <w:sz w:val="24"/>
          <w:highlight w:val="none"/>
          <w:lang w:val="en-US" w:eastAsia="zh-CN" w:bidi="ar"/>
        </w:rPr>
        <w:t>图</w:t>
      </w:r>
    </w:p>
    <w:p>
      <w:pPr>
        <w:adjustRightInd w:val="0"/>
        <w:snapToGrid w:val="0"/>
        <w:spacing w:line="360" w:lineRule="auto"/>
        <w:rPr>
          <w:color w:val="auto"/>
          <w:highlight w:val="none"/>
        </w:rPr>
      </w:pPr>
      <w:bookmarkStart w:id="270" w:name="_Toc19777"/>
      <w:bookmarkStart w:id="271" w:name="_Toc13221"/>
      <w:bookmarkStart w:id="272" w:name="_Toc16815"/>
      <w:r>
        <w:rPr>
          <w:color w:val="auto"/>
          <w:sz w:val="24"/>
          <w:highlight w:val="none"/>
          <w:lang w:bidi="ar"/>
        </w:rPr>
        <w:t>附图4、厂区</w:t>
      </w:r>
      <w:r>
        <w:rPr>
          <w:rFonts w:hint="eastAsia"/>
          <w:color w:val="auto"/>
          <w:sz w:val="24"/>
          <w:highlight w:val="none"/>
          <w:lang w:bidi="ar"/>
        </w:rPr>
        <w:t>平面布置</w:t>
      </w:r>
      <w:r>
        <w:rPr>
          <w:color w:val="auto"/>
          <w:sz w:val="24"/>
          <w:highlight w:val="none"/>
          <w:lang w:bidi="ar"/>
        </w:rPr>
        <w:t>及环境风险源分布图</w:t>
      </w:r>
    </w:p>
    <w:p>
      <w:pPr>
        <w:adjustRightInd w:val="0"/>
        <w:snapToGrid w:val="0"/>
        <w:spacing w:line="360" w:lineRule="auto"/>
        <w:rPr>
          <w:rFonts w:hint="eastAsia" w:eastAsia="宋体"/>
          <w:color w:val="auto"/>
          <w:highlight w:val="none"/>
          <w:lang w:eastAsia="zh-CN"/>
        </w:rPr>
      </w:pPr>
      <w:r>
        <w:rPr>
          <w:color w:val="auto"/>
          <w:sz w:val="24"/>
          <w:highlight w:val="none"/>
          <w:lang w:bidi="ar"/>
        </w:rPr>
        <w:t>附图5、厂区事故污染物内部控制图</w:t>
      </w:r>
      <w:r>
        <w:rPr>
          <w:rFonts w:hint="eastAsia"/>
          <w:color w:val="auto"/>
          <w:sz w:val="24"/>
          <w:highlight w:val="none"/>
          <w:lang w:eastAsia="zh-CN" w:bidi="ar"/>
        </w:rPr>
        <w:t>（</w:t>
      </w:r>
      <w:r>
        <w:rPr>
          <w:rFonts w:hint="eastAsia"/>
          <w:color w:val="auto"/>
          <w:sz w:val="24"/>
          <w:highlight w:val="none"/>
          <w:lang w:val="en-US" w:eastAsia="zh-CN" w:bidi="ar"/>
        </w:rPr>
        <w:t>雨水管网、污水管网</w:t>
      </w:r>
      <w:r>
        <w:rPr>
          <w:rFonts w:hint="eastAsia"/>
          <w:color w:val="auto"/>
          <w:sz w:val="24"/>
          <w:highlight w:val="none"/>
          <w:lang w:eastAsia="zh-CN" w:bidi="ar"/>
        </w:rPr>
        <w:t>）</w:t>
      </w:r>
    </w:p>
    <w:bookmarkEnd w:id="270"/>
    <w:bookmarkEnd w:id="271"/>
    <w:bookmarkEnd w:id="272"/>
    <w:p>
      <w:pPr>
        <w:snapToGrid w:val="0"/>
        <w:spacing w:line="360" w:lineRule="auto"/>
        <w:rPr>
          <w:color w:val="auto"/>
          <w:sz w:val="24"/>
          <w:highlight w:val="none"/>
          <w:lang w:bidi="ar"/>
        </w:rPr>
      </w:pPr>
      <w:bookmarkStart w:id="273" w:name="_Toc28180"/>
      <w:bookmarkStart w:id="274" w:name="_Toc25278"/>
      <w:bookmarkStart w:id="275" w:name="_Toc6873"/>
      <w:r>
        <w:rPr>
          <w:color w:val="auto"/>
          <w:sz w:val="24"/>
          <w:highlight w:val="none"/>
          <w:lang w:bidi="ar"/>
        </w:rPr>
        <w:t>附图6、厂区应急物资分布及应急疏散图</w:t>
      </w:r>
    </w:p>
    <w:p>
      <w:pPr>
        <w:snapToGrid w:val="0"/>
        <w:spacing w:line="360" w:lineRule="auto"/>
        <w:rPr>
          <w:color w:val="auto"/>
          <w:sz w:val="24"/>
          <w:highlight w:val="none"/>
          <w:lang w:bidi="ar"/>
        </w:rPr>
      </w:pPr>
      <w:r>
        <w:rPr>
          <w:color w:val="auto"/>
          <w:sz w:val="24"/>
          <w:highlight w:val="none"/>
          <w:lang w:bidi="ar"/>
        </w:rPr>
        <w:t>附图7、厂区风险监控预警及应急监测图</w:t>
      </w:r>
    </w:p>
    <w:bookmarkEnd w:id="273"/>
    <w:bookmarkEnd w:id="274"/>
    <w:bookmarkEnd w:id="275"/>
    <w:p>
      <w:pPr>
        <w:snapToGrid w:val="0"/>
        <w:spacing w:line="360" w:lineRule="auto"/>
        <w:rPr>
          <w:color w:val="auto"/>
          <w:sz w:val="24"/>
          <w:highlight w:val="none"/>
          <w:lang w:bidi="ar"/>
        </w:rPr>
      </w:pPr>
      <w:r>
        <w:rPr>
          <w:color w:val="auto"/>
          <w:sz w:val="24"/>
          <w:highlight w:val="none"/>
          <w:lang w:bidi="ar"/>
        </w:rPr>
        <w:t>附图8、江苏省生态空间保护区域分布图</w:t>
      </w:r>
    </w:p>
    <w:p>
      <w:pPr>
        <w:rPr>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宋体_x0013_.崛钃..">
    <w:altName w:val="宋体"/>
    <w:panose1 w:val="00000000000000000000"/>
    <w:charset w:val="86"/>
    <w:family w:val="roman"/>
    <w:pitch w:val="default"/>
    <w:sig w:usb0="00000000" w:usb1="00000000" w:usb2="00000000" w:usb3="00000000" w:csb0="00040000" w:csb1="00000000"/>
  </w:font>
  <w:font w:name="宋体_x0002_.">
    <w:altName w:val="宋体"/>
    <w:panose1 w:val="00000000000000000000"/>
    <w:charset w:val="86"/>
    <w:family w:val="roman"/>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jc w:val="center"/>
                          </w:pPr>
                          <w:r>
                            <w:fldChar w:fldCharType="begin"/>
                          </w:r>
                          <w:r>
                            <w:rPr>
                              <w:rStyle w:val="24"/>
                            </w:rPr>
                            <w:instrText xml:space="preserve"> PAGE </w:instrText>
                          </w:r>
                          <w:r>
                            <w:fldChar w:fldCharType="separate"/>
                          </w:r>
                          <w:r>
                            <w:rPr>
                              <w:rStyle w:val="24"/>
                            </w:rP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2"/>
                      <w:jc w:val="center"/>
                    </w:pPr>
                    <w:r>
                      <w:fldChar w:fldCharType="begin"/>
                    </w:r>
                    <w:r>
                      <w:rPr>
                        <w:rStyle w:val="24"/>
                      </w:rPr>
                      <w:instrText xml:space="preserve"> PAGE </w:instrText>
                    </w:r>
                    <w:r>
                      <w:fldChar w:fldCharType="separate"/>
                    </w:r>
                    <w:r>
                      <w:rPr>
                        <w:rStyle w:val="24"/>
                      </w:rP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qbEQtAgAAW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kqbEQtAgAAWQQAAA4AAAAAAAAAAQAgAAAAHwEAAGRycy9lMm9Eb2MueG1sUEsFBgAAAAAG&#10;AAYAWQEAAL4FAAAAAA==&#10;">
              <v:fill on="f" focussize="0,0"/>
              <v:stroke on="f" weight="0.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EEEFE"/>
    <w:multiLevelType w:val="singleLevel"/>
    <w:tmpl w:val="9E0EEEFE"/>
    <w:lvl w:ilvl="0" w:tentative="0">
      <w:start w:val="1"/>
      <w:numFmt w:val="decimal"/>
      <w:lvlText w:val="(%1)"/>
      <w:lvlJc w:val="left"/>
      <w:pPr>
        <w:ind w:left="425" w:hanging="425"/>
      </w:pPr>
      <w:rPr>
        <w:rFonts w:hint="default"/>
      </w:rPr>
    </w:lvl>
  </w:abstractNum>
  <w:abstractNum w:abstractNumId="1">
    <w:nsid w:val="FD5E877B"/>
    <w:multiLevelType w:val="singleLevel"/>
    <w:tmpl w:val="FD5E877B"/>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2">
    <w:nsid w:val="0011760F"/>
    <w:multiLevelType w:val="singleLevel"/>
    <w:tmpl w:val="0011760F"/>
    <w:lvl w:ilvl="0" w:tentative="0">
      <w:start w:val="2"/>
      <w:numFmt w:val="decimal"/>
      <w:lvlText w:val="(%1)"/>
      <w:lvlJc w:val="left"/>
      <w:pPr>
        <w:tabs>
          <w:tab w:val="left" w:pos="312"/>
        </w:tabs>
      </w:pPr>
    </w:lvl>
  </w:abstractNum>
  <w:abstractNum w:abstractNumId="3">
    <w:nsid w:val="09318E1D"/>
    <w:multiLevelType w:val="singleLevel"/>
    <w:tmpl w:val="09318E1D"/>
    <w:lvl w:ilvl="0" w:tentative="0">
      <w:start w:val="2"/>
      <w:numFmt w:val="decimal"/>
      <w:suff w:val="nothing"/>
      <w:lvlText w:val="（%1）"/>
      <w:lvlJc w:val="left"/>
    </w:lvl>
  </w:abstractNum>
  <w:abstractNum w:abstractNumId="4">
    <w:nsid w:val="285895CF"/>
    <w:multiLevelType w:val="singleLevel"/>
    <w:tmpl w:val="285895CF"/>
    <w:lvl w:ilvl="0" w:tentative="0">
      <w:start w:val="1"/>
      <w:numFmt w:val="decimal"/>
      <w:lvlText w:val="(%1)"/>
      <w:lvlJc w:val="left"/>
      <w:pPr>
        <w:ind w:left="425" w:hanging="425"/>
      </w:pPr>
      <w:rPr>
        <w:rFonts w:hint="default"/>
      </w:rPr>
    </w:lvl>
  </w:abstractNum>
  <w:abstractNum w:abstractNumId="5">
    <w:nsid w:val="2B6AE4E7"/>
    <w:multiLevelType w:val="singleLevel"/>
    <w:tmpl w:val="2B6AE4E7"/>
    <w:lvl w:ilvl="0" w:tentative="0">
      <w:start w:val="1"/>
      <w:numFmt w:val="decimal"/>
      <w:lvlText w:val="(%1)"/>
      <w:lvlJc w:val="left"/>
      <w:pPr>
        <w:ind w:left="425" w:hanging="425"/>
      </w:pPr>
      <w:rPr>
        <w:rFonts w:hint="default"/>
      </w:rPr>
    </w:lvl>
  </w:abstractNum>
  <w:abstractNum w:abstractNumId="6">
    <w:nsid w:val="4D4BEFBE"/>
    <w:multiLevelType w:val="singleLevel"/>
    <w:tmpl w:val="4D4BEFBE"/>
    <w:lvl w:ilvl="0" w:tentative="0">
      <w:start w:val="2"/>
      <w:numFmt w:val="chineseCounting"/>
      <w:suff w:val="space"/>
      <w:lvlText w:val="第%1部分"/>
      <w:lvlJc w:val="left"/>
      <w:rPr>
        <w:rFonts w:hint="eastAsia"/>
      </w:rPr>
    </w:lvl>
  </w:abstractNum>
  <w:abstractNum w:abstractNumId="7">
    <w:nsid w:val="70506C6C"/>
    <w:multiLevelType w:val="singleLevel"/>
    <w:tmpl w:val="70506C6C"/>
    <w:lvl w:ilvl="0" w:tentative="0">
      <w:start w:val="1"/>
      <w:numFmt w:val="decimal"/>
      <w:lvlText w:val="%1"/>
      <w:lvlJc w:val="left"/>
      <w:pPr>
        <w:tabs>
          <w:tab w:val="left" w:pos="420"/>
        </w:tabs>
        <w:ind w:left="425" w:hanging="425"/>
      </w:pPr>
      <w:rPr>
        <w:rFonts w:hint="default"/>
      </w:rPr>
    </w:lvl>
  </w:abstractNum>
  <w:num w:numId="1">
    <w:abstractNumId w:val="1"/>
  </w:num>
  <w:num w:numId="2">
    <w:abstractNumId w:val="0"/>
  </w:num>
  <w:num w:numId="3">
    <w:abstractNumId w:val="4"/>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YTg3YzQ3MzFiZTc0YzYzNWNiYjA1MzZhYzVhYmMifQ=="/>
  </w:docVars>
  <w:rsids>
    <w:rsidRoot w:val="00172A27"/>
    <w:rsid w:val="00027EE2"/>
    <w:rsid w:val="00055E3D"/>
    <w:rsid w:val="0008440E"/>
    <w:rsid w:val="00092B72"/>
    <w:rsid w:val="000C6EF4"/>
    <w:rsid w:val="000E0C8A"/>
    <w:rsid w:val="00124A87"/>
    <w:rsid w:val="00142B1B"/>
    <w:rsid w:val="00147789"/>
    <w:rsid w:val="00175A47"/>
    <w:rsid w:val="00175E28"/>
    <w:rsid w:val="00193FF2"/>
    <w:rsid w:val="001C4233"/>
    <w:rsid w:val="0023557B"/>
    <w:rsid w:val="00285DF5"/>
    <w:rsid w:val="002954C7"/>
    <w:rsid w:val="002B58FA"/>
    <w:rsid w:val="002F2D48"/>
    <w:rsid w:val="00361A7A"/>
    <w:rsid w:val="003A1671"/>
    <w:rsid w:val="003D238B"/>
    <w:rsid w:val="00401A8E"/>
    <w:rsid w:val="00430F06"/>
    <w:rsid w:val="00444CF4"/>
    <w:rsid w:val="004A703B"/>
    <w:rsid w:val="004B77EC"/>
    <w:rsid w:val="004C3CDB"/>
    <w:rsid w:val="0052374A"/>
    <w:rsid w:val="00537EC6"/>
    <w:rsid w:val="00593524"/>
    <w:rsid w:val="00602D05"/>
    <w:rsid w:val="00603C52"/>
    <w:rsid w:val="0065054F"/>
    <w:rsid w:val="00674AEA"/>
    <w:rsid w:val="00681C85"/>
    <w:rsid w:val="00725707"/>
    <w:rsid w:val="0078655F"/>
    <w:rsid w:val="007E2835"/>
    <w:rsid w:val="007F3ECC"/>
    <w:rsid w:val="008272B7"/>
    <w:rsid w:val="008275C3"/>
    <w:rsid w:val="00841F85"/>
    <w:rsid w:val="0087247B"/>
    <w:rsid w:val="008A17A9"/>
    <w:rsid w:val="008E2813"/>
    <w:rsid w:val="008E7EDF"/>
    <w:rsid w:val="0091661E"/>
    <w:rsid w:val="00950BF4"/>
    <w:rsid w:val="009750D4"/>
    <w:rsid w:val="00993DFE"/>
    <w:rsid w:val="009965D7"/>
    <w:rsid w:val="009A2C86"/>
    <w:rsid w:val="009C0840"/>
    <w:rsid w:val="009D6FE0"/>
    <w:rsid w:val="00A1769B"/>
    <w:rsid w:val="00A21222"/>
    <w:rsid w:val="00A3353E"/>
    <w:rsid w:val="00A470E7"/>
    <w:rsid w:val="00A76001"/>
    <w:rsid w:val="00A764D5"/>
    <w:rsid w:val="00AA5D3E"/>
    <w:rsid w:val="00AC40D8"/>
    <w:rsid w:val="00AE3127"/>
    <w:rsid w:val="00B74C26"/>
    <w:rsid w:val="00B8437E"/>
    <w:rsid w:val="00B91E6A"/>
    <w:rsid w:val="00B938E5"/>
    <w:rsid w:val="00BB72D6"/>
    <w:rsid w:val="00BD2BA0"/>
    <w:rsid w:val="00BE72AC"/>
    <w:rsid w:val="00BF7240"/>
    <w:rsid w:val="00C05A96"/>
    <w:rsid w:val="00C2276E"/>
    <w:rsid w:val="00C456FD"/>
    <w:rsid w:val="00C5210B"/>
    <w:rsid w:val="00C57CCB"/>
    <w:rsid w:val="00CA122C"/>
    <w:rsid w:val="00CA459A"/>
    <w:rsid w:val="00CA64A9"/>
    <w:rsid w:val="00CF2EDA"/>
    <w:rsid w:val="00D1206E"/>
    <w:rsid w:val="00D150CF"/>
    <w:rsid w:val="00D70971"/>
    <w:rsid w:val="00DA429F"/>
    <w:rsid w:val="00DE7279"/>
    <w:rsid w:val="00DF6BA2"/>
    <w:rsid w:val="00E04E98"/>
    <w:rsid w:val="00E06086"/>
    <w:rsid w:val="00E07DC0"/>
    <w:rsid w:val="00E37489"/>
    <w:rsid w:val="00E415B0"/>
    <w:rsid w:val="00E957E0"/>
    <w:rsid w:val="00ED1C29"/>
    <w:rsid w:val="00EE3EA5"/>
    <w:rsid w:val="00F17C42"/>
    <w:rsid w:val="00F432A1"/>
    <w:rsid w:val="00F734EF"/>
    <w:rsid w:val="00FC6AAC"/>
    <w:rsid w:val="00FF10A3"/>
    <w:rsid w:val="01002B18"/>
    <w:rsid w:val="015B4120"/>
    <w:rsid w:val="0176370E"/>
    <w:rsid w:val="01A35305"/>
    <w:rsid w:val="01B0041E"/>
    <w:rsid w:val="01B82438"/>
    <w:rsid w:val="01BA47CA"/>
    <w:rsid w:val="01E05DBA"/>
    <w:rsid w:val="01FD7E1A"/>
    <w:rsid w:val="021F6D1A"/>
    <w:rsid w:val="025A58BA"/>
    <w:rsid w:val="02707FAD"/>
    <w:rsid w:val="02B01445"/>
    <w:rsid w:val="02F92D08"/>
    <w:rsid w:val="032D650E"/>
    <w:rsid w:val="03541CED"/>
    <w:rsid w:val="035C6FED"/>
    <w:rsid w:val="0362779F"/>
    <w:rsid w:val="03AE0FA9"/>
    <w:rsid w:val="03BD629B"/>
    <w:rsid w:val="03C03716"/>
    <w:rsid w:val="040101E4"/>
    <w:rsid w:val="04062C71"/>
    <w:rsid w:val="042B3211"/>
    <w:rsid w:val="04342C42"/>
    <w:rsid w:val="049B2760"/>
    <w:rsid w:val="04B65EAD"/>
    <w:rsid w:val="04B71546"/>
    <w:rsid w:val="04C54326"/>
    <w:rsid w:val="04EA6DAD"/>
    <w:rsid w:val="052878D5"/>
    <w:rsid w:val="052B4CCF"/>
    <w:rsid w:val="053A2324"/>
    <w:rsid w:val="054A7C8A"/>
    <w:rsid w:val="05613BAE"/>
    <w:rsid w:val="056D0138"/>
    <w:rsid w:val="05716717"/>
    <w:rsid w:val="05A52D91"/>
    <w:rsid w:val="05BE74DB"/>
    <w:rsid w:val="05CE0149"/>
    <w:rsid w:val="05F04EA1"/>
    <w:rsid w:val="060379FA"/>
    <w:rsid w:val="0608099A"/>
    <w:rsid w:val="06615ED8"/>
    <w:rsid w:val="06C85818"/>
    <w:rsid w:val="06E63FDA"/>
    <w:rsid w:val="06EB0680"/>
    <w:rsid w:val="06EB3F62"/>
    <w:rsid w:val="071023CF"/>
    <w:rsid w:val="071345DA"/>
    <w:rsid w:val="07316647"/>
    <w:rsid w:val="073C1416"/>
    <w:rsid w:val="07474EC4"/>
    <w:rsid w:val="07534035"/>
    <w:rsid w:val="078521AB"/>
    <w:rsid w:val="07AE0CF0"/>
    <w:rsid w:val="07B74D3B"/>
    <w:rsid w:val="08145EE9"/>
    <w:rsid w:val="083236CB"/>
    <w:rsid w:val="08533390"/>
    <w:rsid w:val="08703597"/>
    <w:rsid w:val="08793FA4"/>
    <w:rsid w:val="087A4B41"/>
    <w:rsid w:val="0891510A"/>
    <w:rsid w:val="08AF33DA"/>
    <w:rsid w:val="08C7125E"/>
    <w:rsid w:val="08D05C89"/>
    <w:rsid w:val="08DB445B"/>
    <w:rsid w:val="08F02AE0"/>
    <w:rsid w:val="09034D98"/>
    <w:rsid w:val="09197048"/>
    <w:rsid w:val="09355CA2"/>
    <w:rsid w:val="09477B81"/>
    <w:rsid w:val="095756F6"/>
    <w:rsid w:val="09B35358"/>
    <w:rsid w:val="09B91FC6"/>
    <w:rsid w:val="09D022BD"/>
    <w:rsid w:val="0A0A4193"/>
    <w:rsid w:val="0A0F6170"/>
    <w:rsid w:val="0A273616"/>
    <w:rsid w:val="0A661417"/>
    <w:rsid w:val="0A6F29C8"/>
    <w:rsid w:val="0A737D86"/>
    <w:rsid w:val="0A820A57"/>
    <w:rsid w:val="0AA93F16"/>
    <w:rsid w:val="0ACC6317"/>
    <w:rsid w:val="0AF31D07"/>
    <w:rsid w:val="0AF95911"/>
    <w:rsid w:val="0B2E1BC4"/>
    <w:rsid w:val="0B433F4F"/>
    <w:rsid w:val="0B817E1A"/>
    <w:rsid w:val="0B8A64C6"/>
    <w:rsid w:val="0B9A5F6D"/>
    <w:rsid w:val="0BC77921"/>
    <w:rsid w:val="0BC81BCE"/>
    <w:rsid w:val="0BE34556"/>
    <w:rsid w:val="0BF00629"/>
    <w:rsid w:val="0C222C8F"/>
    <w:rsid w:val="0C43759A"/>
    <w:rsid w:val="0C874EE1"/>
    <w:rsid w:val="0CAF37DC"/>
    <w:rsid w:val="0CD13550"/>
    <w:rsid w:val="0CD8520D"/>
    <w:rsid w:val="0CF06F2A"/>
    <w:rsid w:val="0CF65D9B"/>
    <w:rsid w:val="0CFE4883"/>
    <w:rsid w:val="0D3A16EE"/>
    <w:rsid w:val="0D4C0D26"/>
    <w:rsid w:val="0D5C213C"/>
    <w:rsid w:val="0D935F66"/>
    <w:rsid w:val="0D941C45"/>
    <w:rsid w:val="0D9A164F"/>
    <w:rsid w:val="0DB9644B"/>
    <w:rsid w:val="0DC32506"/>
    <w:rsid w:val="0DC92092"/>
    <w:rsid w:val="0DE227A7"/>
    <w:rsid w:val="0DE50647"/>
    <w:rsid w:val="0E001B35"/>
    <w:rsid w:val="0E1934E5"/>
    <w:rsid w:val="0E2C00D8"/>
    <w:rsid w:val="0E3C69AD"/>
    <w:rsid w:val="0E7D3D60"/>
    <w:rsid w:val="0E7F2182"/>
    <w:rsid w:val="0E7F7894"/>
    <w:rsid w:val="0E9E5FF0"/>
    <w:rsid w:val="0EC5372E"/>
    <w:rsid w:val="0ECD6DEE"/>
    <w:rsid w:val="0F050912"/>
    <w:rsid w:val="0F133D71"/>
    <w:rsid w:val="0F2017E7"/>
    <w:rsid w:val="0F4B594B"/>
    <w:rsid w:val="0F5C617E"/>
    <w:rsid w:val="0F6C6610"/>
    <w:rsid w:val="0F793C4C"/>
    <w:rsid w:val="0FBC30F4"/>
    <w:rsid w:val="0FCD36F7"/>
    <w:rsid w:val="0FD47C49"/>
    <w:rsid w:val="0FF40F16"/>
    <w:rsid w:val="10264A11"/>
    <w:rsid w:val="105570A4"/>
    <w:rsid w:val="1074577C"/>
    <w:rsid w:val="10757746"/>
    <w:rsid w:val="1081248F"/>
    <w:rsid w:val="10C52D56"/>
    <w:rsid w:val="1137627A"/>
    <w:rsid w:val="11451875"/>
    <w:rsid w:val="114E3D8C"/>
    <w:rsid w:val="114F6097"/>
    <w:rsid w:val="1175349A"/>
    <w:rsid w:val="117E59D5"/>
    <w:rsid w:val="118916FB"/>
    <w:rsid w:val="11AB26C9"/>
    <w:rsid w:val="11D551F2"/>
    <w:rsid w:val="11D631FF"/>
    <w:rsid w:val="12113088"/>
    <w:rsid w:val="1232777B"/>
    <w:rsid w:val="12B44E7E"/>
    <w:rsid w:val="12B60F72"/>
    <w:rsid w:val="12C5050C"/>
    <w:rsid w:val="12E0359D"/>
    <w:rsid w:val="12E74B78"/>
    <w:rsid w:val="12ED7D8E"/>
    <w:rsid w:val="12FB231D"/>
    <w:rsid w:val="1307354D"/>
    <w:rsid w:val="13233499"/>
    <w:rsid w:val="133A6A95"/>
    <w:rsid w:val="13452CAA"/>
    <w:rsid w:val="13547AE7"/>
    <w:rsid w:val="13DE1612"/>
    <w:rsid w:val="13E37843"/>
    <w:rsid w:val="13E5410D"/>
    <w:rsid w:val="13F9392A"/>
    <w:rsid w:val="14103A0E"/>
    <w:rsid w:val="144006A0"/>
    <w:rsid w:val="144A4AAD"/>
    <w:rsid w:val="14700951"/>
    <w:rsid w:val="147246C9"/>
    <w:rsid w:val="14A1674E"/>
    <w:rsid w:val="14FB7672"/>
    <w:rsid w:val="1545236E"/>
    <w:rsid w:val="156D040C"/>
    <w:rsid w:val="15814D74"/>
    <w:rsid w:val="158726CA"/>
    <w:rsid w:val="15C54A71"/>
    <w:rsid w:val="15CE392C"/>
    <w:rsid w:val="15D373E9"/>
    <w:rsid w:val="15E33C6A"/>
    <w:rsid w:val="15FC2623"/>
    <w:rsid w:val="16060FCC"/>
    <w:rsid w:val="16183CA4"/>
    <w:rsid w:val="16490A3E"/>
    <w:rsid w:val="16591D98"/>
    <w:rsid w:val="16816220"/>
    <w:rsid w:val="16876E02"/>
    <w:rsid w:val="16A14DF1"/>
    <w:rsid w:val="16A42238"/>
    <w:rsid w:val="16B87DD8"/>
    <w:rsid w:val="16B96931"/>
    <w:rsid w:val="16C42472"/>
    <w:rsid w:val="16E10493"/>
    <w:rsid w:val="16EF3DAF"/>
    <w:rsid w:val="172D0FF3"/>
    <w:rsid w:val="17451C21"/>
    <w:rsid w:val="174C1B02"/>
    <w:rsid w:val="176C296C"/>
    <w:rsid w:val="17712A16"/>
    <w:rsid w:val="179354B6"/>
    <w:rsid w:val="17A10C25"/>
    <w:rsid w:val="17B73DAD"/>
    <w:rsid w:val="17CF3BE0"/>
    <w:rsid w:val="17DD6268"/>
    <w:rsid w:val="17EA32B4"/>
    <w:rsid w:val="17F8314A"/>
    <w:rsid w:val="180970F2"/>
    <w:rsid w:val="18135CD2"/>
    <w:rsid w:val="18343371"/>
    <w:rsid w:val="18441ED8"/>
    <w:rsid w:val="186D58D3"/>
    <w:rsid w:val="18A26DAE"/>
    <w:rsid w:val="18B25605"/>
    <w:rsid w:val="18B97A2D"/>
    <w:rsid w:val="18C41964"/>
    <w:rsid w:val="18CB6CAD"/>
    <w:rsid w:val="18F91063"/>
    <w:rsid w:val="190910B8"/>
    <w:rsid w:val="19364733"/>
    <w:rsid w:val="19412035"/>
    <w:rsid w:val="19436333"/>
    <w:rsid w:val="198B500E"/>
    <w:rsid w:val="198C6964"/>
    <w:rsid w:val="19A22CA1"/>
    <w:rsid w:val="19B61BA7"/>
    <w:rsid w:val="19F641CB"/>
    <w:rsid w:val="1A2872AF"/>
    <w:rsid w:val="1A4A4523"/>
    <w:rsid w:val="1A571A95"/>
    <w:rsid w:val="1A582963"/>
    <w:rsid w:val="1A72291C"/>
    <w:rsid w:val="1A8A592E"/>
    <w:rsid w:val="1A911621"/>
    <w:rsid w:val="1A945167"/>
    <w:rsid w:val="1AA26F42"/>
    <w:rsid w:val="1AC50B8E"/>
    <w:rsid w:val="1AC96C82"/>
    <w:rsid w:val="1AD25BCD"/>
    <w:rsid w:val="1AFE3A36"/>
    <w:rsid w:val="1B07275E"/>
    <w:rsid w:val="1B097409"/>
    <w:rsid w:val="1B1160A2"/>
    <w:rsid w:val="1B27767C"/>
    <w:rsid w:val="1B474EFB"/>
    <w:rsid w:val="1B4E6E96"/>
    <w:rsid w:val="1B8C604A"/>
    <w:rsid w:val="1BAB04C0"/>
    <w:rsid w:val="1BC752F6"/>
    <w:rsid w:val="1BE27814"/>
    <w:rsid w:val="1BF33971"/>
    <w:rsid w:val="1BF956CF"/>
    <w:rsid w:val="1C021E81"/>
    <w:rsid w:val="1C0D3E94"/>
    <w:rsid w:val="1C5627A3"/>
    <w:rsid w:val="1C6074FD"/>
    <w:rsid w:val="1C6B24DB"/>
    <w:rsid w:val="1C75322F"/>
    <w:rsid w:val="1C7676DC"/>
    <w:rsid w:val="1C7B41D3"/>
    <w:rsid w:val="1C7E6C28"/>
    <w:rsid w:val="1C8B27CB"/>
    <w:rsid w:val="1CB45AAF"/>
    <w:rsid w:val="1CB95920"/>
    <w:rsid w:val="1D2713C1"/>
    <w:rsid w:val="1D280D96"/>
    <w:rsid w:val="1D433568"/>
    <w:rsid w:val="1D6D2C9F"/>
    <w:rsid w:val="1D7930E5"/>
    <w:rsid w:val="1DCB6BF8"/>
    <w:rsid w:val="1DD526F6"/>
    <w:rsid w:val="1E2E4331"/>
    <w:rsid w:val="1E306BEE"/>
    <w:rsid w:val="1E3576CC"/>
    <w:rsid w:val="1E952A60"/>
    <w:rsid w:val="1EA57449"/>
    <w:rsid w:val="1EA82603"/>
    <w:rsid w:val="1EA83979"/>
    <w:rsid w:val="1EB703E4"/>
    <w:rsid w:val="1EBF3812"/>
    <w:rsid w:val="1EC61194"/>
    <w:rsid w:val="1EC64A9D"/>
    <w:rsid w:val="1F420151"/>
    <w:rsid w:val="1F811C64"/>
    <w:rsid w:val="1F967FC1"/>
    <w:rsid w:val="1F9E4534"/>
    <w:rsid w:val="1FD32910"/>
    <w:rsid w:val="2009466C"/>
    <w:rsid w:val="200D1749"/>
    <w:rsid w:val="200E2BF2"/>
    <w:rsid w:val="20546BAB"/>
    <w:rsid w:val="2080160F"/>
    <w:rsid w:val="20804831"/>
    <w:rsid w:val="20921244"/>
    <w:rsid w:val="20A26874"/>
    <w:rsid w:val="20B120D5"/>
    <w:rsid w:val="20E82D66"/>
    <w:rsid w:val="21005DC9"/>
    <w:rsid w:val="21032FB2"/>
    <w:rsid w:val="210668C5"/>
    <w:rsid w:val="214112EC"/>
    <w:rsid w:val="216B2093"/>
    <w:rsid w:val="21A77E4B"/>
    <w:rsid w:val="21DC405A"/>
    <w:rsid w:val="21FE6D4C"/>
    <w:rsid w:val="220F17A9"/>
    <w:rsid w:val="221506DE"/>
    <w:rsid w:val="221955A6"/>
    <w:rsid w:val="22581AF9"/>
    <w:rsid w:val="2261700F"/>
    <w:rsid w:val="2283427E"/>
    <w:rsid w:val="228B1256"/>
    <w:rsid w:val="22B6558B"/>
    <w:rsid w:val="22B97967"/>
    <w:rsid w:val="22BB775B"/>
    <w:rsid w:val="22CE5765"/>
    <w:rsid w:val="22D72495"/>
    <w:rsid w:val="22F75A87"/>
    <w:rsid w:val="23540E78"/>
    <w:rsid w:val="23686FE7"/>
    <w:rsid w:val="23690F67"/>
    <w:rsid w:val="23717576"/>
    <w:rsid w:val="239964B9"/>
    <w:rsid w:val="23A779BC"/>
    <w:rsid w:val="23B00117"/>
    <w:rsid w:val="23E97326"/>
    <w:rsid w:val="242031CA"/>
    <w:rsid w:val="243D258E"/>
    <w:rsid w:val="245B5A1D"/>
    <w:rsid w:val="2483022C"/>
    <w:rsid w:val="24902446"/>
    <w:rsid w:val="24AC44EA"/>
    <w:rsid w:val="24B45DD2"/>
    <w:rsid w:val="24BA228E"/>
    <w:rsid w:val="24E93BB9"/>
    <w:rsid w:val="25070E67"/>
    <w:rsid w:val="254479BB"/>
    <w:rsid w:val="25551670"/>
    <w:rsid w:val="255F1361"/>
    <w:rsid w:val="25620E65"/>
    <w:rsid w:val="257765DE"/>
    <w:rsid w:val="25843625"/>
    <w:rsid w:val="259C04BD"/>
    <w:rsid w:val="25C15E4F"/>
    <w:rsid w:val="25CF6CFF"/>
    <w:rsid w:val="261B6C6A"/>
    <w:rsid w:val="26283A2B"/>
    <w:rsid w:val="266A3452"/>
    <w:rsid w:val="26A74C39"/>
    <w:rsid w:val="26AD1590"/>
    <w:rsid w:val="26BE71FB"/>
    <w:rsid w:val="27090EBD"/>
    <w:rsid w:val="270A6CE2"/>
    <w:rsid w:val="27277595"/>
    <w:rsid w:val="272C4F9F"/>
    <w:rsid w:val="2778624A"/>
    <w:rsid w:val="27845B5E"/>
    <w:rsid w:val="27B174E5"/>
    <w:rsid w:val="27EB4D61"/>
    <w:rsid w:val="27F12FC1"/>
    <w:rsid w:val="27F15337"/>
    <w:rsid w:val="28245409"/>
    <w:rsid w:val="286A7ABE"/>
    <w:rsid w:val="28730538"/>
    <w:rsid w:val="287D7E0D"/>
    <w:rsid w:val="288C23E7"/>
    <w:rsid w:val="29115D1D"/>
    <w:rsid w:val="29121D1E"/>
    <w:rsid w:val="29136748"/>
    <w:rsid w:val="292D0E4D"/>
    <w:rsid w:val="29527A9E"/>
    <w:rsid w:val="2955005F"/>
    <w:rsid w:val="2968480D"/>
    <w:rsid w:val="297C5EFE"/>
    <w:rsid w:val="297D4FA3"/>
    <w:rsid w:val="29824D64"/>
    <w:rsid w:val="29AC1266"/>
    <w:rsid w:val="29B06430"/>
    <w:rsid w:val="29EA0025"/>
    <w:rsid w:val="2A256943"/>
    <w:rsid w:val="2A4F36E5"/>
    <w:rsid w:val="2A8A1566"/>
    <w:rsid w:val="2A9A4734"/>
    <w:rsid w:val="2ADC780C"/>
    <w:rsid w:val="2AE73560"/>
    <w:rsid w:val="2AEA3419"/>
    <w:rsid w:val="2B050858"/>
    <w:rsid w:val="2B0F380B"/>
    <w:rsid w:val="2B2B2888"/>
    <w:rsid w:val="2B2F0968"/>
    <w:rsid w:val="2B3C7A75"/>
    <w:rsid w:val="2B47137D"/>
    <w:rsid w:val="2B575721"/>
    <w:rsid w:val="2B6366C1"/>
    <w:rsid w:val="2BFD5127"/>
    <w:rsid w:val="2C033D1C"/>
    <w:rsid w:val="2C167BD8"/>
    <w:rsid w:val="2C256C01"/>
    <w:rsid w:val="2C3748C0"/>
    <w:rsid w:val="2C5C41C6"/>
    <w:rsid w:val="2C996C94"/>
    <w:rsid w:val="2CA84639"/>
    <w:rsid w:val="2CB07294"/>
    <w:rsid w:val="2CBB61FC"/>
    <w:rsid w:val="2CBB7AF3"/>
    <w:rsid w:val="2CBD13CB"/>
    <w:rsid w:val="2CFF6927"/>
    <w:rsid w:val="2D0E602C"/>
    <w:rsid w:val="2D0E6A11"/>
    <w:rsid w:val="2D1D1FF9"/>
    <w:rsid w:val="2D39680F"/>
    <w:rsid w:val="2D3C13DC"/>
    <w:rsid w:val="2D462F1C"/>
    <w:rsid w:val="2D654708"/>
    <w:rsid w:val="2D665F14"/>
    <w:rsid w:val="2D6A1B50"/>
    <w:rsid w:val="2D99286E"/>
    <w:rsid w:val="2DC52C14"/>
    <w:rsid w:val="2DD3503D"/>
    <w:rsid w:val="2DE75388"/>
    <w:rsid w:val="2DF8414E"/>
    <w:rsid w:val="2DFF5EE4"/>
    <w:rsid w:val="2E114A6D"/>
    <w:rsid w:val="2E3F1D62"/>
    <w:rsid w:val="2E585D84"/>
    <w:rsid w:val="2E900C3A"/>
    <w:rsid w:val="2EA31D50"/>
    <w:rsid w:val="2EEC7E75"/>
    <w:rsid w:val="2EF4224A"/>
    <w:rsid w:val="2F070C99"/>
    <w:rsid w:val="2F0D6FD5"/>
    <w:rsid w:val="2F2A278F"/>
    <w:rsid w:val="2F4A783B"/>
    <w:rsid w:val="2F6E03AE"/>
    <w:rsid w:val="2F9227DF"/>
    <w:rsid w:val="2FA87F74"/>
    <w:rsid w:val="2FD443DA"/>
    <w:rsid w:val="2FF10CF5"/>
    <w:rsid w:val="2FF20411"/>
    <w:rsid w:val="2FFA609E"/>
    <w:rsid w:val="305660E8"/>
    <w:rsid w:val="30696528"/>
    <w:rsid w:val="30D57B6E"/>
    <w:rsid w:val="30E73BC6"/>
    <w:rsid w:val="30ED78F0"/>
    <w:rsid w:val="30F93D50"/>
    <w:rsid w:val="30FF7C77"/>
    <w:rsid w:val="310426F5"/>
    <w:rsid w:val="3104789F"/>
    <w:rsid w:val="31106937"/>
    <w:rsid w:val="311E46E3"/>
    <w:rsid w:val="31375272"/>
    <w:rsid w:val="313F1782"/>
    <w:rsid w:val="31472DF9"/>
    <w:rsid w:val="314C18DD"/>
    <w:rsid w:val="315076E8"/>
    <w:rsid w:val="315471D8"/>
    <w:rsid w:val="31B864B1"/>
    <w:rsid w:val="31C4397C"/>
    <w:rsid w:val="320C7AB3"/>
    <w:rsid w:val="3210328B"/>
    <w:rsid w:val="32274521"/>
    <w:rsid w:val="322F2600"/>
    <w:rsid w:val="324B444D"/>
    <w:rsid w:val="327361A9"/>
    <w:rsid w:val="328867D4"/>
    <w:rsid w:val="328E67BB"/>
    <w:rsid w:val="32A20C65"/>
    <w:rsid w:val="32E46BBA"/>
    <w:rsid w:val="32EA0830"/>
    <w:rsid w:val="330E3685"/>
    <w:rsid w:val="331B347F"/>
    <w:rsid w:val="335E60EC"/>
    <w:rsid w:val="33774F14"/>
    <w:rsid w:val="33DE2D48"/>
    <w:rsid w:val="34177700"/>
    <w:rsid w:val="34371509"/>
    <w:rsid w:val="348222AE"/>
    <w:rsid w:val="34C7787F"/>
    <w:rsid w:val="34D13368"/>
    <w:rsid w:val="34D758F4"/>
    <w:rsid w:val="34F85E59"/>
    <w:rsid w:val="352338BE"/>
    <w:rsid w:val="3527508E"/>
    <w:rsid w:val="353525F2"/>
    <w:rsid w:val="353A075E"/>
    <w:rsid w:val="354C5D14"/>
    <w:rsid w:val="35913D73"/>
    <w:rsid w:val="35AE2C2F"/>
    <w:rsid w:val="35D408E8"/>
    <w:rsid w:val="35E82DEC"/>
    <w:rsid w:val="35FB18FD"/>
    <w:rsid w:val="360C2E91"/>
    <w:rsid w:val="36251E0F"/>
    <w:rsid w:val="3632340E"/>
    <w:rsid w:val="364610BA"/>
    <w:rsid w:val="364818D0"/>
    <w:rsid w:val="367354CC"/>
    <w:rsid w:val="367F6F15"/>
    <w:rsid w:val="369557EE"/>
    <w:rsid w:val="369E2CA4"/>
    <w:rsid w:val="36AB1F22"/>
    <w:rsid w:val="36AC4126"/>
    <w:rsid w:val="36B9252B"/>
    <w:rsid w:val="36BF1C6D"/>
    <w:rsid w:val="36D861B6"/>
    <w:rsid w:val="36DA0180"/>
    <w:rsid w:val="36DA1F2E"/>
    <w:rsid w:val="36DE0097"/>
    <w:rsid w:val="36EE087C"/>
    <w:rsid w:val="370216F9"/>
    <w:rsid w:val="37245757"/>
    <w:rsid w:val="37304CAD"/>
    <w:rsid w:val="37512BCD"/>
    <w:rsid w:val="376A2622"/>
    <w:rsid w:val="377F02FC"/>
    <w:rsid w:val="37B90885"/>
    <w:rsid w:val="37C019E9"/>
    <w:rsid w:val="37E40420"/>
    <w:rsid w:val="37E94002"/>
    <w:rsid w:val="37E979B0"/>
    <w:rsid w:val="38066480"/>
    <w:rsid w:val="38295FD7"/>
    <w:rsid w:val="383C671D"/>
    <w:rsid w:val="38416D9D"/>
    <w:rsid w:val="387A3AA1"/>
    <w:rsid w:val="388E57B5"/>
    <w:rsid w:val="38DF3AF8"/>
    <w:rsid w:val="38F40A60"/>
    <w:rsid w:val="390C2D65"/>
    <w:rsid w:val="392D773B"/>
    <w:rsid w:val="39431BEB"/>
    <w:rsid w:val="396207E4"/>
    <w:rsid w:val="396351E4"/>
    <w:rsid w:val="399809AE"/>
    <w:rsid w:val="39CE1FD1"/>
    <w:rsid w:val="39DD7084"/>
    <w:rsid w:val="39DE6C18"/>
    <w:rsid w:val="39E47923"/>
    <w:rsid w:val="39E92488"/>
    <w:rsid w:val="39FD1F05"/>
    <w:rsid w:val="3A046706"/>
    <w:rsid w:val="3A1608AA"/>
    <w:rsid w:val="3A194A12"/>
    <w:rsid w:val="3A2C0540"/>
    <w:rsid w:val="3A2D3157"/>
    <w:rsid w:val="3A4576BA"/>
    <w:rsid w:val="3A6925FB"/>
    <w:rsid w:val="3A9E214A"/>
    <w:rsid w:val="3AB64A60"/>
    <w:rsid w:val="3AC31915"/>
    <w:rsid w:val="3AD869C7"/>
    <w:rsid w:val="3AE16FBA"/>
    <w:rsid w:val="3AE1747E"/>
    <w:rsid w:val="3AFE1F63"/>
    <w:rsid w:val="3AFF7502"/>
    <w:rsid w:val="3B4B22FD"/>
    <w:rsid w:val="3B565CD5"/>
    <w:rsid w:val="3B5C4E35"/>
    <w:rsid w:val="3B5D5890"/>
    <w:rsid w:val="3BAF793D"/>
    <w:rsid w:val="3BB75A86"/>
    <w:rsid w:val="3BC851C0"/>
    <w:rsid w:val="3BCC6BE5"/>
    <w:rsid w:val="3BCE3BF3"/>
    <w:rsid w:val="3BD5509C"/>
    <w:rsid w:val="3BD93680"/>
    <w:rsid w:val="3BE5746E"/>
    <w:rsid w:val="3C031B48"/>
    <w:rsid w:val="3C0535FB"/>
    <w:rsid w:val="3C187054"/>
    <w:rsid w:val="3C19502E"/>
    <w:rsid w:val="3C2561E2"/>
    <w:rsid w:val="3C2B4FD9"/>
    <w:rsid w:val="3C636521"/>
    <w:rsid w:val="3C6A011A"/>
    <w:rsid w:val="3C726F62"/>
    <w:rsid w:val="3C8D69B7"/>
    <w:rsid w:val="3CA1529C"/>
    <w:rsid w:val="3CBD2155"/>
    <w:rsid w:val="3CBD2C09"/>
    <w:rsid w:val="3CD10630"/>
    <w:rsid w:val="3D1336A5"/>
    <w:rsid w:val="3D13736E"/>
    <w:rsid w:val="3D17331F"/>
    <w:rsid w:val="3D5278D3"/>
    <w:rsid w:val="3D5B441A"/>
    <w:rsid w:val="3D6C528D"/>
    <w:rsid w:val="3D844235"/>
    <w:rsid w:val="3DB43055"/>
    <w:rsid w:val="3DC56D68"/>
    <w:rsid w:val="3DE45B0D"/>
    <w:rsid w:val="3DE6740A"/>
    <w:rsid w:val="3DF41EA3"/>
    <w:rsid w:val="3E043F91"/>
    <w:rsid w:val="3E221317"/>
    <w:rsid w:val="3E32264F"/>
    <w:rsid w:val="3E3A1D60"/>
    <w:rsid w:val="3E4F09C2"/>
    <w:rsid w:val="3E535328"/>
    <w:rsid w:val="3E7B0DDB"/>
    <w:rsid w:val="3E7F6E52"/>
    <w:rsid w:val="3E894239"/>
    <w:rsid w:val="3E9272D9"/>
    <w:rsid w:val="3E9B1DE8"/>
    <w:rsid w:val="3E9F580B"/>
    <w:rsid w:val="3ED83C5B"/>
    <w:rsid w:val="3ED9041D"/>
    <w:rsid w:val="3EEB27FE"/>
    <w:rsid w:val="3F025F6D"/>
    <w:rsid w:val="3F0C1519"/>
    <w:rsid w:val="3F2134F9"/>
    <w:rsid w:val="3F4F16E6"/>
    <w:rsid w:val="3F61339C"/>
    <w:rsid w:val="3F7B55BE"/>
    <w:rsid w:val="3FA550A3"/>
    <w:rsid w:val="3FDC4493"/>
    <w:rsid w:val="3FFA58E1"/>
    <w:rsid w:val="400C5122"/>
    <w:rsid w:val="40233F26"/>
    <w:rsid w:val="40AF3A86"/>
    <w:rsid w:val="40E76F23"/>
    <w:rsid w:val="411918A4"/>
    <w:rsid w:val="41192937"/>
    <w:rsid w:val="412F363C"/>
    <w:rsid w:val="4134048C"/>
    <w:rsid w:val="41360AE5"/>
    <w:rsid w:val="41702D17"/>
    <w:rsid w:val="41706657"/>
    <w:rsid w:val="41921F1E"/>
    <w:rsid w:val="41B23FFF"/>
    <w:rsid w:val="41DC6703"/>
    <w:rsid w:val="41E3222F"/>
    <w:rsid w:val="42000D07"/>
    <w:rsid w:val="423D4402"/>
    <w:rsid w:val="424F0D2E"/>
    <w:rsid w:val="42676E57"/>
    <w:rsid w:val="42775019"/>
    <w:rsid w:val="429C0C25"/>
    <w:rsid w:val="42A91726"/>
    <w:rsid w:val="42B41F8B"/>
    <w:rsid w:val="42BA2C13"/>
    <w:rsid w:val="42C65B2B"/>
    <w:rsid w:val="42CA6607"/>
    <w:rsid w:val="42D9125A"/>
    <w:rsid w:val="42DD18BC"/>
    <w:rsid w:val="42DF77E8"/>
    <w:rsid w:val="42FB3958"/>
    <w:rsid w:val="43106AB2"/>
    <w:rsid w:val="43192021"/>
    <w:rsid w:val="434F5A51"/>
    <w:rsid w:val="43730F7D"/>
    <w:rsid w:val="43784FA8"/>
    <w:rsid w:val="4385529C"/>
    <w:rsid w:val="43855C84"/>
    <w:rsid w:val="438751EB"/>
    <w:rsid w:val="439B0903"/>
    <w:rsid w:val="43AD7ACA"/>
    <w:rsid w:val="43B71DA7"/>
    <w:rsid w:val="43E5283C"/>
    <w:rsid w:val="4412181E"/>
    <w:rsid w:val="441A3B50"/>
    <w:rsid w:val="44307631"/>
    <w:rsid w:val="44580936"/>
    <w:rsid w:val="44603943"/>
    <w:rsid w:val="4472143A"/>
    <w:rsid w:val="44B262BA"/>
    <w:rsid w:val="44D6056B"/>
    <w:rsid w:val="44DD0E3B"/>
    <w:rsid w:val="44ED5522"/>
    <w:rsid w:val="450C0912"/>
    <w:rsid w:val="450C624D"/>
    <w:rsid w:val="452611CE"/>
    <w:rsid w:val="453B7333"/>
    <w:rsid w:val="455D36C2"/>
    <w:rsid w:val="45667082"/>
    <w:rsid w:val="45777162"/>
    <w:rsid w:val="457D4D4C"/>
    <w:rsid w:val="458208EA"/>
    <w:rsid w:val="45B35833"/>
    <w:rsid w:val="45B6116A"/>
    <w:rsid w:val="45BA3ABD"/>
    <w:rsid w:val="45FA0A9B"/>
    <w:rsid w:val="4611605E"/>
    <w:rsid w:val="461504B1"/>
    <w:rsid w:val="461969FA"/>
    <w:rsid w:val="464C44CA"/>
    <w:rsid w:val="464D1129"/>
    <w:rsid w:val="46655565"/>
    <w:rsid w:val="46A0501B"/>
    <w:rsid w:val="46B87BFB"/>
    <w:rsid w:val="46CC46BC"/>
    <w:rsid w:val="46D0726F"/>
    <w:rsid w:val="47205577"/>
    <w:rsid w:val="47284AFF"/>
    <w:rsid w:val="47290471"/>
    <w:rsid w:val="47401F74"/>
    <w:rsid w:val="475936D9"/>
    <w:rsid w:val="47606608"/>
    <w:rsid w:val="476409BB"/>
    <w:rsid w:val="476A5284"/>
    <w:rsid w:val="477E6275"/>
    <w:rsid w:val="479938B9"/>
    <w:rsid w:val="47C167F2"/>
    <w:rsid w:val="47F066EA"/>
    <w:rsid w:val="481D6F22"/>
    <w:rsid w:val="48397836"/>
    <w:rsid w:val="484D776F"/>
    <w:rsid w:val="486A50DB"/>
    <w:rsid w:val="48814B9C"/>
    <w:rsid w:val="488167F4"/>
    <w:rsid w:val="48895696"/>
    <w:rsid w:val="488D69A7"/>
    <w:rsid w:val="489B6314"/>
    <w:rsid w:val="48B92970"/>
    <w:rsid w:val="48CB7DC3"/>
    <w:rsid w:val="48D03457"/>
    <w:rsid w:val="48DB1977"/>
    <w:rsid w:val="48F50063"/>
    <w:rsid w:val="491B3A12"/>
    <w:rsid w:val="49476493"/>
    <w:rsid w:val="494930E8"/>
    <w:rsid w:val="494D5934"/>
    <w:rsid w:val="49584AC1"/>
    <w:rsid w:val="496A06AB"/>
    <w:rsid w:val="49717D98"/>
    <w:rsid w:val="498626B5"/>
    <w:rsid w:val="49943A56"/>
    <w:rsid w:val="49A130FD"/>
    <w:rsid w:val="49B02C31"/>
    <w:rsid w:val="49C150FF"/>
    <w:rsid w:val="49C65E16"/>
    <w:rsid w:val="49D33578"/>
    <w:rsid w:val="49D91C9C"/>
    <w:rsid w:val="49DC3DB7"/>
    <w:rsid w:val="4A037CD3"/>
    <w:rsid w:val="4A0A0529"/>
    <w:rsid w:val="4A0B47F8"/>
    <w:rsid w:val="4A4C397B"/>
    <w:rsid w:val="4A4F432D"/>
    <w:rsid w:val="4A64531E"/>
    <w:rsid w:val="4A7E6896"/>
    <w:rsid w:val="4A9F106C"/>
    <w:rsid w:val="4AE404CC"/>
    <w:rsid w:val="4AEF5BB6"/>
    <w:rsid w:val="4AF36972"/>
    <w:rsid w:val="4AF63325"/>
    <w:rsid w:val="4B223A4B"/>
    <w:rsid w:val="4B2C3BD9"/>
    <w:rsid w:val="4B637202"/>
    <w:rsid w:val="4B6E042F"/>
    <w:rsid w:val="4B7665ED"/>
    <w:rsid w:val="4B931A7D"/>
    <w:rsid w:val="4B9F101C"/>
    <w:rsid w:val="4BA57EAC"/>
    <w:rsid w:val="4BAF578A"/>
    <w:rsid w:val="4BB21D5C"/>
    <w:rsid w:val="4BB27232"/>
    <w:rsid w:val="4BC02672"/>
    <w:rsid w:val="4BC53925"/>
    <w:rsid w:val="4BDC05A7"/>
    <w:rsid w:val="4BF74B8E"/>
    <w:rsid w:val="4C040885"/>
    <w:rsid w:val="4C841F96"/>
    <w:rsid w:val="4C8B169F"/>
    <w:rsid w:val="4C995F8F"/>
    <w:rsid w:val="4CAF130F"/>
    <w:rsid w:val="4CE42766"/>
    <w:rsid w:val="4CFB562C"/>
    <w:rsid w:val="4D000BB2"/>
    <w:rsid w:val="4D001B6A"/>
    <w:rsid w:val="4D051074"/>
    <w:rsid w:val="4D255E1A"/>
    <w:rsid w:val="4D9C7AE5"/>
    <w:rsid w:val="4D9F1FEE"/>
    <w:rsid w:val="4DA859FF"/>
    <w:rsid w:val="4DD97B58"/>
    <w:rsid w:val="4E0222DE"/>
    <w:rsid w:val="4E023DB9"/>
    <w:rsid w:val="4E125D94"/>
    <w:rsid w:val="4E1346E9"/>
    <w:rsid w:val="4E1D4315"/>
    <w:rsid w:val="4E223617"/>
    <w:rsid w:val="4E266AF8"/>
    <w:rsid w:val="4E32142E"/>
    <w:rsid w:val="4E5C5889"/>
    <w:rsid w:val="4E637653"/>
    <w:rsid w:val="4E817CF0"/>
    <w:rsid w:val="4EA0576C"/>
    <w:rsid w:val="4F22401A"/>
    <w:rsid w:val="4F224C09"/>
    <w:rsid w:val="4F242CD6"/>
    <w:rsid w:val="4F295820"/>
    <w:rsid w:val="4F343362"/>
    <w:rsid w:val="4F4A5390"/>
    <w:rsid w:val="4F8B02EF"/>
    <w:rsid w:val="4FA47173"/>
    <w:rsid w:val="4FAE1D52"/>
    <w:rsid w:val="4FB94B15"/>
    <w:rsid w:val="4FE065BB"/>
    <w:rsid w:val="4FF81F96"/>
    <w:rsid w:val="500E3EA7"/>
    <w:rsid w:val="504B2A7F"/>
    <w:rsid w:val="505C684E"/>
    <w:rsid w:val="505F71F7"/>
    <w:rsid w:val="50664F02"/>
    <w:rsid w:val="507E24C9"/>
    <w:rsid w:val="50870BFA"/>
    <w:rsid w:val="50877FAF"/>
    <w:rsid w:val="50B94712"/>
    <w:rsid w:val="50BC311F"/>
    <w:rsid w:val="50D313DF"/>
    <w:rsid w:val="50EC0534"/>
    <w:rsid w:val="50F8372A"/>
    <w:rsid w:val="51150B1C"/>
    <w:rsid w:val="513A072D"/>
    <w:rsid w:val="51453FF0"/>
    <w:rsid w:val="514A78B3"/>
    <w:rsid w:val="515C3D14"/>
    <w:rsid w:val="517D7C2E"/>
    <w:rsid w:val="51A44D7B"/>
    <w:rsid w:val="51DF0B8E"/>
    <w:rsid w:val="51E41313"/>
    <w:rsid w:val="51F76BD3"/>
    <w:rsid w:val="52010184"/>
    <w:rsid w:val="52332AE9"/>
    <w:rsid w:val="52336C01"/>
    <w:rsid w:val="523C53F3"/>
    <w:rsid w:val="52453A54"/>
    <w:rsid w:val="52690BEA"/>
    <w:rsid w:val="52C803DD"/>
    <w:rsid w:val="52CF0E04"/>
    <w:rsid w:val="52D0108A"/>
    <w:rsid w:val="52E729C8"/>
    <w:rsid w:val="52E8557B"/>
    <w:rsid w:val="52E94EB2"/>
    <w:rsid w:val="53057E76"/>
    <w:rsid w:val="53250A20"/>
    <w:rsid w:val="53422F2F"/>
    <w:rsid w:val="53447076"/>
    <w:rsid w:val="5361028A"/>
    <w:rsid w:val="53A424DF"/>
    <w:rsid w:val="53BE1CF2"/>
    <w:rsid w:val="53D61877"/>
    <w:rsid w:val="53D8739D"/>
    <w:rsid w:val="53EF7B49"/>
    <w:rsid w:val="54011555"/>
    <w:rsid w:val="541001AB"/>
    <w:rsid w:val="5422450D"/>
    <w:rsid w:val="545A2A0D"/>
    <w:rsid w:val="54613836"/>
    <w:rsid w:val="54677E25"/>
    <w:rsid w:val="54801237"/>
    <w:rsid w:val="548935EA"/>
    <w:rsid w:val="549403B5"/>
    <w:rsid w:val="549A5AC7"/>
    <w:rsid w:val="54A1217D"/>
    <w:rsid w:val="54A31759"/>
    <w:rsid w:val="54C543E3"/>
    <w:rsid w:val="54DA5BD6"/>
    <w:rsid w:val="54DF0062"/>
    <w:rsid w:val="54E72413"/>
    <w:rsid w:val="54F226E1"/>
    <w:rsid w:val="551408FE"/>
    <w:rsid w:val="552C1609"/>
    <w:rsid w:val="55332757"/>
    <w:rsid w:val="55433917"/>
    <w:rsid w:val="55B41360"/>
    <w:rsid w:val="55E95892"/>
    <w:rsid w:val="55F0654E"/>
    <w:rsid w:val="56057658"/>
    <w:rsid w:val="561D001E"/>
    <w:rsid w:val="561E78CA"/>
    <w:rsid w:val="56245281"/>
    <w:rsid w:val="562C4601"/>
    <w:rsid w:val="565113F7"/>
    <w:rsid w:val="56A32EAC"/>
    <w:rsid w:val="56B52498"/>
    <w:rsid w:val="56CC2BE8"/>
    <w:rsid w:val="56D54594"/>
    <w:rsid w:val="56DE05C6"/>
    <w:rsid w:val="56FF6A2D"/>
    <w:rsid w:val="57093743"/>
    <w:rsid w:val="572139EB"/>
    <w:rsid w:val="57253997"/>
    <w:rsid w:val="573B3FF8"/>
    <w:rsid w:val="574E11B8"/>
    <w:rsid w:val="576B3741"/>
    <w:rsid w:val="57944AFB"/>
    <w:rsid w:val="57AE50AB"/>
    <w:rsid w:val="57CF2865"/>
    <w:rsid w:val="57E9560D"/>
    <w:rsid w:val="57F674D1"/>
    <w:rsid w:val="586229A0"/>
    <w:rsid w:val="587153AE"/>
    <w:rsid w:val="587B479B"/>
    <w:rsid w:val="58824D43"/>
    <w:rsid w:val="58834FF8"/>
    <w:rsid w:val="589867DC"/>
    <w:rsid w:val="58A26F42"/>
    <w:rsid w:val="58AD364F"/>
    <w:rsid w:val="58AE65E7"/>
    <w:rsid w:val="58D42829"/>
    <w:rsid w:val="58D73923"/>
    <w:rsid w:val="58D81BED"/>
    <w:rsid w:val="58DD0FB2"/>
    <w:rsid w:val="58F47977"/>
    <w:rsid w:val="59013753"/>
    <w:rsid w:val="591E672B"/>
    <w:rsid w:val="592F73FA"/>
    <w:rsid w:val="59364EB9"/>
    <w:rsid w:val="59374B66"/>
    <w:rsid w:val="593E6074"/>
    <w:rsid w:val="5941171B"/>
    <w:rsid w:val="596C15B4"/>
    <w:rsid w:val="59A0211B"/>
    <w:rsid w:val="59A95F16"/>
    <w:rsid w:val="59B03EEA"/>
    <w:rsid w:val="59CD3D6F"/>
    <w:rsid w:val="59E720E8"/>
    <w:rsid w:val="59F57264"/>
    <w:rsid w:val="5A046C2B"/>
    <w:rsid w:val="5A3906F2"/>
    <w:rsid w:val="5A407A4A"/>
    <w:rsid w:val="5A5A7FA8"/>
    <w:rsid w:val="5A604C8E"/>
    <w:rsid w:val="5A6E65A4"/>
    <w:rsid w:val="5A6F62EC"/>
    <w:rsid w:val="5AA44D16"/>
    <w:rsid w:val="5AB354B1"/>
    <w:rsid w:val="5ADB6B99"/>
    <w:rsid w:val="5AE66D78"/>
    <w:rsid w:val="5AF70A51"/>
    <w:rsid w:val="5AF86411"/>
    <w:rsid w:val="5B054DA7"/>
    <w:rsid w:val="5B1030B4"/>
    <w:rsid w:val="5B1B0092"/>
    <w:rsid w:val="5B3B0EA1"/>
    <w:rsid w:val="5B75592D"/>
    <w:rsid w:val="5BEC7930"/>
    <w:rsid w:val="5BF9360D"/>
    <w:rsid w:val="5C152146"/>
    <w:rsid w:val="5C2A38D0"/>
    <w:rsid w:val="5C3C4DB4"/>
    <w:rsid w:val="5C4D5540"/>
    <w:rsid w:val="5C4F0492"/>
    <w:rsid w:val="5C757984"/>
    <w:rsid w:val="5CB37D77"/>
    <w:rsid w:val="5CC00052"/>
    <w:rsid w:val="5CE91295"/>
    <w:rsid w:val="5CF6342C"/>
    <w:rsid w:val="5D107BA8"/>
    <w:rsid w:val="5D1D27AA"/>
    <w:rsid w:val="5D204B7F"/>
    <w:rsid w:val="5D2F4333"/>
    <w:rsid w:val="5D346BD0"/>
    <w:rsid w:val="5D4929E3"/>
    <w:rsid w:val="5D9203BB"/>
    <w:rsid w:val="5D964908"/>
    <w:rsid w:val="5D981410"/>
    <w:rsid w:val="5DAF5613"/>
    <w:rsid w:val="5DC65EB1"/>
    <w:rsid w:val="5DFE664A"/>
    <w:rsid w:val="5E081D91"/>
    <w:rsid w:val="5E19698E"/>
    <w:rsid w:val="5E213F6A"/>
    <w:rsid w:val="5E305477"/>
    <w:rsid w:val="5E332C24"/>
    <w:rsid w:val="5E3414F4"/>
    <w:rsid w:val="5E397514"/>
    <w:rsid w:val="5E6945DB"/>
    <w:rsid w:val="5E767790"/>
    <w:rsid w:val="5E8C4747"/>
    <w:rsid w:val="5E8D7450"/>
    <w:rsid w:val="5E91152D"/>
    <w:rsid w:val="5E9A34D8"/>
    <w:rsid w:val="5EAE1487"/>
    <w:rsid w:val="5EB1504F"/>
    <w:rsid w:val="5EBE3861"/>
    <w:rsid w:val="5EBE6FEB"/>
    <w:rsid w:val="5EC154BF"/>
    <w:rsid w:val="5EC923F3"/>
    <w:rsid w:val="5ED33641"/>
    <w:rsid w:val="5EEC210A"/>
    <w:rsid w:val="5EEC3228"/>
    <w:rsid w:val="5EFD0600"/>
    <w:rsid w:val="5F0C7DC6"/>
    <w:rsid w:val="5F3F29C6"/>
    <w:rsid w:val="5F612667"/>
    <w:rsid w:val="5F9E32B2"/>
    <w:rsid w:val="5FBF1847"/>
    <w:rsid w:val="5FD54C27"/>
    <w:rsid w:val="5FEB66AA"/>
    <w:rsid w:val="602633B5"/>
    <w:rsid w:val="603D3843"/>
    <w:rsid w:val="605A62E2"/>
    <w:rsid w:val="605D58BF"/>
    <w:rsid w:val="60A416D3"/>
    <w:rsid w:val="60BC6B5F"/>
    <w:rsid w:val="60C433BE"/>
    <w:rsid w:val="60D508AC"/>
    <w:rsid w:val="60E43117"/>
    <w:rsid w:val="60E87C5F"/>
    <w:rsid w:val="61043D72"/>
    <w:rsid w:val="61323AC9"/>
    <w:rsid w:val="615953C7"/>
    <w:rsid w:val="6161693E"/>
    <w:rsid w:val="616A6C55"/>
    <w:rsid w:val="6171554B"/>
    <w:rsid w:val="618532C5"/>
    <w:rsid w:val="61B76844"/>
    <w:rsid w:val="61CA4429"/>
    <w:rsid w:val="61D16F77"/>
    <w:rsid w:val="61F70C36"/>
    <w:rsid w:val="620A1763"/>
    <w:rsid w:val="622B22D5"/>
    <w:rsid w:val="623D7264"/>
    <w:rsid w:val="624F47FA"/>
    <w:rsid w:val="62540D8F"/>
    <w:rsid w:val="626F41B4"/>
    <w:rsid w:val="6277148A"/>
    <w:rsid w:val="627C5B24"/>
    <w:rsid w:val="62BF2FBB"/>
    <w:rsid w:val="62C10175"/>
    <w:rsid w:val="62D57465"/>
    <w:rsid w:val="62FC080B"/>
    <w:rsid w:val="63080300"/>
    <w:rsid w:val="630A5099"/>
    <w:rsid w:val="632504DD"/>
    <w:rsid w:val="63314546"/>
    <w:rsid w:val="634F4894"/>
    <w:rsid w:val="636429FB"/>
    <w:rsid w:val="636C7DD6"/>
    <w:rsid w:val="63C1568D"/>
    <w:rsid w:val="640E431A"/>
    <w:rsid w:val="6418735B"/>
    <w:rsid w:val="64280897"/>
    <w:rsid w:val="64334FF3"/>
    <w:rsid w:val="643460A9"/>
    <w:rsid w:val="6456470E"/>
    <w:rsid w:val="645F6298"/>
    <w:rsid w:val="64612CF2"/>
    <w:rsid w:val="647629E6"/>
    <w:rsid w:val="64774682"/>
    <w:rsid w:val="64850E7B"/>
    <w:rsid w:val="64DA08A4"/>
    <w:rsid w:val="64DC6AB0"/>
    <w:rsid w:val="64E9263F"/>
    <w:rsid w:val="64F451FF"/>
    <w:rsid w:val="6511270F"/>
    <w:rsid w:val="652137ED"/>
    <w:rsid w:val="6523023D"/>
    <w:rsid w:val="653F0AD8"/>
    <w:rsid w:val="655E41EB"/>
    <w:rsid w:val="659F41BF"/>
    <w:rsid w:val="65A54855"/>
    <w:rsid w:val="65A80D7F"/>
    <w:rsid w:val="65BB57A1"/>
    <w:rsid w:val="65C942F3"/>
    <w:rsid w:val="65D37A6A"/>
    <w:rsid w:val="65DF6369"/>
    <w:rsid w:val="660D1128"/>
    <w:rsid w:val="66486604"/>
    <w:rsid w:val="66986FDC"/>
    <w:rsid w:val="66AB0941"/>
    <w:rsid w:val="66EA459E"/>
    <w:rsid w:val="66ED4AB6"/>
    <w:rsid w:val="67053F1F"/>
    <w:rsid w:val="670D69F8"/>
    <w:rsid w:val="671120A5"/>
    <w:rsid w:val="672A1020"/>
    <w:rsid w:val="672D73C6"/>
    <w:rsid w:val="674B075F"/>
    <w:rsid w:val="678F48A3"/>
    <w:rsid w:val="679661C2"/>
    <w:rsid w:val="67AC64B5"/>
    <w:rsid w:val="67BA2739"/>
    <w:rsid w:val="67BC23DD"/>
    <w:rsid w:val="67E2487F"/>
    <w:rsid w:val="680127E5"/>
    <w:rsid w:val="68060525"/>
    <w:rsid w:val="680E2F36"/>
    <w:rsid w:val="680E5D78"/>
    <w:rsid w:val="681D7A8B"/>
    <w:rsid w:val="68397CBD"/>
    <w:rsid w:val="683A6A22"/>
    <w:rsid w:val="683D0C12"/>
    <w:rsid w:val="684E2E18"/>
    <w:rsid w:val="6853303E"/>
    <w:rsid w:val="687733CB"/>
    <w:rsid w:val="689D284A"/>
    <w:rsid w:val="68A10A88"/>
    <w:rsid w:val="68ED3493"/>
    <w:rsid w:val="69021ABD"/>
    <w:rsid w:val="69034A64"/>
    <w:rsid w:val="69497BC7"/>
    <w:rsid w:val="694F4083"/>
    <w:rsid w:val="6963652B"/>
    <w:rsid w:val="696F5C56"/>
    <w:rsid w:val="697917BC"/>
    <w:rsid w:val="69823662"/>
    <w:rsid w:val="69945766"/>
    <w:rsid w:val="69964652"/>
    <w:rsid w:val="699845F9"/>
    <w:rsid w:val="69CB5455"/>
    <w:rsid w:val="69D668B1"/>
    <w:rsid w:val="6A29220A"/>
    <w:rsid w:val="6A4647A0"/>
    <w:rsid w:val="6A5A33AD"/>
    <w:rsid w:val="6A6B5B6D"/>
    <w:rsid w:val="6AA73D9C"/>
    <w:rsid w:val="6AA87672"/>
    <w:rsid w:val="6AEF4DEA"/>
    <w:rsid w:val="6AF12836"/>
    <w:rsid w:val="6B205F56"/>
    <w:rsid w:val="6B2667E8"/>
    <w:rsid w:val="6B3D19C8"/>
    <w:rsid w:val="6B446643"/>
    <w:rsid w:val="6B5C34DE"/>
    <w:rsid w:val="6B713EA2"/>
    <w:rsid w:val="6B930322"/>
    <w:rsid w:val="6B9D4230"/>
    <w:rsid w:val="6BBD714D"/>
    <w:rsid w:val="6BD97D27"/>
    <w:rsid w:val="6C2B67AC"/>
    <w:rsid w:val="6C524219"/>
    <w:rsid w:val="6C5A3079"/>
    <w:rsid w:val="6C7E5F2E"/>
    <w:rsid w:val="6CB93A95"/>
    <w:rsid w:val="6CBE4FC0"/>
    <w:rsid w:val="6CE80B2B"/>
    <w:rsid w:val="6CF41FD9"/>
    <w:rsid w:val="6CF81882"/>
    <w:rsid w:val="6D116205"/>
    <w:rsid w:val="6D3B6CD9"/>
    <w:rsid w:val="6D601ACA"/>
    <w:rsid w:val="6DA01075"/>
    <w:rsid w:val="6DB22848"/>
    <w:rsid w:val="6DEC6BCD"/>
    <w:rsid w:val="6DF361CB"/>
    <w:rsid w:val="6E071C62"/>
    <w:rsid w:val="6E082238"/>
    <w:rsid w:val="6E160D96"/>
    <w:rsid w:val="6E1D3ED3"/>
    <w:rsid w:val="6E2E2057"/>
    <w:rsid w:val="6E35338C"/>
    <w:rsid w:val="6E5A3F24"/>
    <w:rsid w:val="6ED74EEB"/>
    <w:rsid w:val="6EDE1784"/>
    <w:rsid w:val="6F200C25"/>
    <w:rsid w:val="6F297190"/>
    <w:rsid w:val="6F307B80"/>
    <w:rsid w:val="6F58761C"/>
    <w:rsid w:val="6F6A261A"/>
    <w:rsid w:val="6F6D7A9A"/>
    <w:rsid w:val="6F8F5967"/>
    <w:rsid w:val="6FB51E87"/>
    <w:rsid w:val="6FD902CD"/>
    <w:rsid w:val="6FDD2684"/>
    <w:rsid w:val="6FE3114C"/>
    <w:rsid w:val="6FEB7999"/>
    <w:rsid w:val="702435B8"/>
    <w:rsid w:val="70422C4E"/>
    <w:rsid w:val="70425E72"/>
    <w:rsid w:val="7073593C"/>
    <w:rsid w:val="708729DF"/>
    <w:rsid w:val="70A7087F"/>
    <w:rsid w:val="70A71BC5"/>
    <w:rsid w:val="70D250B6"/>
    <w:rsid w:val="70DA7783"/>
    <w:rsid w:val="70E539FF"/>
    <w:rsid w:val="70EE77BD"/>
    <w:rsid w:val="70EF5A72"/>
    <w:rsid w:val="70F16444"/>
    <w:rsid w:val="70F32FCF"/>
    <w:rsid w:val="710637D8"/>
    <w:rsid w:val="711C341A"/>
    <w:rsid w:val="715448AF"/>
    <w:rsid w:val="715F5B4B"/>
    <w:rsid w:val="71645FB8"/>
    <w:rsid w:val="71717B21"/>
    <w:rsid w:val="71726800"/>
    <w:rsid w:val="717A0332"/>
    <w:rsid w:val="71810C1C"/>
    <w:rsid w:val="71930F61"/>
    <w:rsid w:val="71CD74AE"/>
    <w:rsid w:val="72241FAA"/>
    <w:rsid w:val="72325795"/>
    <w:rsid w:val="723410A7"/>
    <w:rsid w:val="7242215A"/>
    <w:rsid w:val="726E2B70"/>
    <w:rsid w:val="72CF4F79"/>
    <w:rsid w:val="73043513"/>
    <w:rsid w:val="731218D8"/>
    <w:rsid w:val="7322264A"/>
    <w:rsid w:val="733A1083"/>
    <w:rsid w:val="733F5B45"/>
    <w:rsid w:val="735E31D3"/>
    <w:rsid w:val="73665B4F"/>
    <w:rsid w:val="73AC1598"/>
    <w:rsid w:val="73E35BA9"/>
    <w:rsid w:val="740809A4"/>
    <w:rsid w:val="74161AF0"/>
    <w:rsid w:val="744152B5"/>
    <w:rsid w:val="7459513C"/>
    <w:rsid w:val="745D347C"/>
    <w:rsid w:val="749D7B1B"/>
    <w:rsid w:val="74AB79FE"/>
    <w:rsid w:val="74BF1387"/>
    <w:rsid w:val="74E0519F"/>
    <w:rsid w:val="74E552B3"/>
    <w:rsid w:val="74E83355"/>
    <w:rsid w:val="75144B8A"/>
    <w:rsid w:val="752C70F1"/>
    <w:rsid w:val="75411531"/>
    <w:rsid w:val="754803C8"/>
    <w:rsid w:val="754D6550"/>
    <w:rsid w:val="755622E7"/>
    <w:rsid w:val="75583313"/>
    <w:rsid w:val="755C18C6"/>
    <w:rsid w:val="75623EA3"/>
    <w:rsid w:val="75792336"/>
    <w:rsid w:val="757D780A"/>
    <w:rsid w:val="758D48EC"/>
    <w:rsid w:val="75980C1F"/>
    <w:rsid w:val="75B81A76"/>
    <w:rsid w:val="75C8506C"/>
    <w:rsid w:val="75D91271"/>
    <w:rsid w:val="75E15D86"/>
    <w:rsid w:val="75E669E3"/>
    <w:rsid w:val="75ED19D9"/>
    <w:rsid w:val="76054FC9"/>
    <w:rsid w:val="76067942"/>
    <w:rsid w:val="76077154"/>
    <w:rsid w:val="7618421E"/>
    <w:rsid w:val="763E656A"/>
    <w:rsid w:val="765D6215"/>
    <w:rsid w:val="766A7FC6"/>
    <w:rsid w:val="768448AF"/>
    <w:rsid w:val="76B708F5"/>
    <w:rsid w:val="76CA3A3B"/>
    <w:rsid w:val="76E80800"/>
    <w:rsid w:val="76EB1F12"/>
    <w:rsid w:val="77027434"/>
    <w:rsid w:val="77232290"/>
    <w:rsid w:val="774E5F3B"/>
    <w:rsid w:val="77503B08"/>
    <w:rsid w:val="77784870"/>
    <w:rsid w:val="777E263C"/>
    <w:rsid w:val="779162ED"/>
    <w:rsid w:val="779C1AFD"/>
    <w:rsid w:val="77A05C24"/>
    <w:rsid w:val="77A31CB9"/>
    <w:rsid w:val="77A92C7B"/>
    <w:rsid w:val="77E31BEF"/>
    <w:rsid w:val="784E0DA2"/>
    <w:rsid w:val="7869012D"/>
    <w:rsid w:val="78706C88"/>
    <w:rsid w:val="787E1107"/>
    <w:rsid w:val="78882890"/>
    <w:rsid w:val="788C0ABC"/>
    <w:rsid w:val="789B6A68"/>
    <w:rsid w:val="78B45372"/>
    <w:rsid w:val="78B80C57"/>
    <w:rsid w:val="78D75792"/>
    <w:rsid w:val="79095F2D"/>
    <w:rsid w:val="79096578"/>
    <w:rsid w:val="790A7749"/>
    <w:rsid w:val="792F5E21"/>
    <w:rsid w:val="79415008"/>
    <w:rsid w:val="79425135"/>
    <w:rsid w:val="79594DEF"/>
    <w:rsid w:val="797333D2"/>
    <w:rsid w:val="797354DD"/>
    <w:rsid w:val="79872B48"/>
    <w:rsid w:val="799A4A05"/>
    <w:rsid w:val="79C618C2"/>
    <w:rsid w:val="79C8520F"/>
    <w:rsid w:val="79F54CF9"/>
    <w:rsid w:val="79F57E0C"/>
    <w:rsid w:val="79FA7B9F"/>
    <w:rsid w:val="7A2C7975"/>
    <w:rsid w:val="7A306894"/>
    <w:rsid w:val="7A4B1B6C"/>
    <w:rsid w:val="7A520D9A"/>
    <w:rsid w:val="7A592736"/>
    <w:rsid w:val="7A7125E4"/>
    <w:rsid w:val="7A9D6AC7"/>
    <w:rsid w:val="7B0C1557"/>
    <w:rsid w:val="7B462B5E"/>
    <w:rsid w:val="7B541BA8"/>
    <w:rsid w:val="7B632DE1"/>
    <w:rsid w:val="7B6B5BAF"/>
    <w:rsid w:val="7B775519"/>
    <w:rsid w:val="7B8D4383"/>
    <w:rsid w:val="7BA50ADE"/>
    <w:rsid w:val="7BC85FDE"/>
    <w:rsid w:val="7BDD6172"/>
    <w:rsid w:val="7BE602FA"/>
    <w:rsid w:val="7C052A67"/>
    <w:rsid w:val="7C113CF3"/>
    <w:rsid w:val="7C11792A"/>
    <w:rsid w:val="7C3C72C8"/>
    <w:rsid w:val="7C3E4599"/>
    <w:rsid w:val="7C563588"/>
    <w:rsid w:val="7C84565A"/>
    <w:rsid w:val="7C9E08D4"/>
    <w:rsid w:val="7CB616DE"/>
    <w:rsid w:val="7CDA5CEB"/>
    <w:rsid w:val="7CE65EEF"/>
    <w:rsid w:val="7D3048FA"/>
    <w:rsid w:val="7D34532C"/>
    <w:rsid w:val="7D496A92"/>
    <w:rsid w:val="7D6A16D9"/>
    <w:rsid w:val="7D857245"/>
    <w:rsid w:val="7D9D1510"/>
    <w:rsid w:val="7DE054DF"/>
    <w:rsid w:val="7E02572C"/>
    <w:rsid w:val="7E171136"/>
    <w:rsid w:val="7E2A4031"/>
    <w:rsid w:val="7E2B6A19"/>
    <w:rsid w:val="7E3A4C4A"/>
    <w:rsid w:val="7E6D0603"/>
    <w:rsid w:val="7E712E37"/>
    <w:rsid w:val="7EA36B6E"/>
    <w:rsid w:val="7EBC0E1A"/>
    <w:rsid w:val="7EC3036F"/>
    <w:rsid w:val="7EC829CD"/>
    <w:rsid w:val="7ED34749"/>
    <w:rsid w:val="7EDE769E"/>
    <w:rsid w:val="7EEE71D8"/>
    <w:rsid w:val="7EEE7DAC"/>
    <w:rsid w:val="7EEF2FE1"/>
    <w:rsid w:val="7F33570C"/>
    <w:rsid w:val="7F3361BC"/>
    <w:rsid w:val="7F3F4A7D"/>
    <w:rsid w:val="7F7346C2"/>
    <w:rsid w:val="7F7D79F0"/>
    <w:rsid w:val="7F8B221C"/>
    <w:rsid w:val="7F941984"/>
    <w:rsid w:val="7FDE0558"/>
    <w:rsid w:val="7FE90B3C"/>
    <w:rsid w:val="7FEF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4">
    <w:name w:val="heading 1"/>
    <w:basedOn w:val="1"/>
    <w:next w:val="1"/>
    <w:qFormat/>
    <w:uiPriority w:val="0"/>
    <w:pPr>
      <w:keepNext/>
      <w:keepLines/>
      <w:spacing w:line="360" w:lineRule="auto"/>
      <w:outlineLvl w:val="0"/>
    </w:pPr>
    <w:rPr>
      <w:b/>
      <w:bCs/>
      <w:kern w:val="44"/>
      <w:sz w:val="32"/>
      <w:szCs w:val="44"/>
    </w:rPr>
  </w:style>
  <w:style w:type="paragraph" w:styleId="5">
    <w:name w:val="heading 2"/>
    <w:basedOn w:val="1"/>
    <w:next w:val="1"/>
    <w:unhideWhenUsed/>
    <w:qFormat/>
    <w:uiPriority w:val="0"/>
    <w:pPr>
      <w:keepNext/>
      <w:keepLines/>
      <w:spacing w:line="360" w:lineRule="auto"/>
      <w:outlineLvl w:val="1"/>
    </w:pPr>
    <w:rPr>
      <w:b/>
      <w:bCs/>
      <w:sz w:val="30"/>
      <w:szCs w:val="32"/>
    </w:rPr>
  </w:style>
  <w:style w:type="paragraph" w:styleId="6">
    <w:name w:val="heading 3"/>
    <w:basedOn w:val="1"/>
    <w:next w:val="1"/>
    <w:link w:val="28"/>
    <w:unhideWhenUsed/>
    <w:qFormat/>
    <w:uiPriority w:val="0"/>
    <w:pPr>
      <w:keepNext/>
      <w:keepLines/>
      <w:spacing w:line="360" w:lineRule="auto"/>
      <w:outlineLvl w:val="2"/>
    </w:pPr>
    <w:rPr>
      <w:b/>
      <w:bCs/>
      <w:sz w:val="28"/>
      <w:szCs w:val="32"/>
    </w:rPr>
  </w:style>
  <w:style w:type="paragraph" w:styleId="7">
    <w:name w:val="heading 4"/>
    <w:basedOn w:val="1"/>
    <w:next w:val="1"/>
    <w:unhideWhenUsed/>
    <w:qFormat/>
    <w:uiPriority w:val="0"/>
    <w:pPr>
      <w:keepNext/>
      <w:keepLines/>
      <w:tabs>
        <w:tab w:val="left" w:pos="864"/>
      </w:tabs>
      <w:spacing w:line="360" w:lineRule="auto"/>
      <w:ind w:left="862" w:hanging="862"/>
      <w:outlineLvl w:val="3"/>
    </w:pPr>
    <w:rPr>
      <w:b/>
      <w:bCs/>
      <w:kern w:val="0"/>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宋体" w:hAnsi="宋体"/>
      <w:sz w:val="28"/>
    </w:rPr>
  </w:style>
  <w:style w:type="paragraph" w:styleId="3">
    <w:name w:val="List Bullet 5"/>
    <w:basedOn w:val="1"/>
    <w:qFormat/>
    <w:uiPriority w:val="0"/>
    <w:pPr>
      <w:numPr>
        <w:ilvl w:val="0"/>
        <w:numId w:val="1"/>
      </w:numPr>
    </w:pPr>
  </w:style>
  <w:style w:type="paragraph" w:styleId="8">
    <w:name w:val="Normal Indent"/>
    <w:basedOn w:val="1"/>
    <w:qFormat/>
    <w:uiPriority w:val="0"/>
    <w:pPr>
      <w:ind w:firstLine="420" w:firstLineChars="200"/>
    </w:pPr>
  </w:style>
  <w:style w:type="paragraph" w:styleId="9">
    <w:name w:val="annotation text"/>
    <w:basedOn w:val="1"/>
    <w:link w:val="34"/>
    <w:qFormat/>
    <w:uiPriority w:val="0"/>
    <w:pPr>
      <w:jc w:val="left"/>
    </w:pPr>
  </w:style>
  <w:style w:type="paragraph" w:styleId="10">
    <w:name w:val="Body Text Indent"/>
    <w:basedOn w:val="1"/>
    <w:next w:val="1"/>
    <w:qFormat/>
    <w:uiPriority w:val="0"/>
    <w:pPr>
      <w:spacing w:after="120"/>
      <w:ind w:left="420" w:leftChars="200"/>
    </w:pPr>
  </w:style>
  <w:style w:type="paragraph" w:styleId="11">
    <w:name w:val="Balloon Text"/>
    <w:basedOn w:val="1"/>
    <w:link w:val="33"/>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等线" w:eastAsia="等线"/>
      <w:b/>
      <w:bCs/>
      <w:caps/>
      <w:sz w:val="20"/>
      <w:szCs w:val="20"/>
    </w:rPr>
  </w:style>
  <w:style w:type="paragraph" w:styleId="15">
    <w:name w:val="toc 2"/>
    <w:basedOn w:val="1"/>
    <w:next w:val="1"/>
    <w:link w:val="41"/>
    <w:qFormat/>
    <w:uiPriority w:val="39"/>
    <w:pPr>
      <w:ind w:left="240"/>
      <w:jc w:val="left"/>
    </w:pPr>
    <w:rPr>
      <w:rFonts w:ascii="等线" w:eastAsia="等线"/>
      <w:smallCaps/>
      <w:sz w:val="20"/>
      <w:szCs w:val="20"/>
    </w:rPr>
  </w:style>
  <w:style w:type="paragraph" w:styleId="16">
    <w:name w:val="Normal (Web)"/>
    <w:basedOn w:val="1"/>
    <w:qFormat/>
    <w:uiPriority w:val="0"/>
  </w:style>
  <w:style w:type="paragraph" w:styleId="17">
    <w:name w:val="annotation subject"/>
    <w:basedOn w:val="9"/>
    <w:next w:val="9"/>
    <w:link w:val="35"/>
    <w:qFormat/>
    <w:uiPriority w:val="0"/>
    <w:rPr>
      <w:b/>
      <w:bCs/>
    </w:rPr>
  </w:style>
  <w:style w:type="paragraph" w:styleId="18">
    <w:name w:val="Body Text First Indent"/>
    <w:basedOn w:val="2"/>
    <w:next w:val="1"/>
    <w:qFormat/>
    <w:uiPriority w:val="0"/>
    <w:pPr>
      <w:spacing w:after="120"/>
      <w:ind w:firstLine="420" w:firstLineChars="100"/>
    </w:pPr>
    <w:rPr>
      <w:rFonts w:ascii="Calibri" w:hAnsi="Calibri"/>
      <w:sz w:val="21"/>
    </w:rPr>
  </w:style>
  <w:style w:type="paragraph" w:styleId="19">
    <w:name w:val="Body Text First Indent 2"/>
    <w:basedOn w:val="10"/>
    <w:next w:val="18"/>
    <w:qFormat/>
    <w:uiPriority w:val="0"/>
    <w:pPr>
      <w:ind w:firstLine="420" w:firstLineChars="200"/>
    </w:pPr>
    <w:rPr>
      <w:sz w:val="21"/>
      <w:szCs w:val="2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22"/>
    <w:rPr>
      <w:b/>
      <w:bCs/>
    </w:rPr>
  </w:style>
  <w:style w:type="character" w:styleId="24">
    <w:name w:val="page number"/>
    <w:basedOn w:val="22"/>
    <w:qFormat/>
    <w:uiPriority w:val="0"/>
  </w:style>
  <w:style w:type="character" w:styleId="25">
    <w:name w:val="annotation reference"/>
    <w:basedOn w:val="22"/>
    <w:qFormat/>
    <w:uiPriority w:val="0"/>
    <w:rPr>
      <w:sz w:val="21"/>
      <w:szCs w:val="21"/>
    </w:rPr>
  </w:style>
  <w:style w:type="paragraph" w:customStyle="1" w:styleId="26">
    <w:name w:val="Default"/>
    <w:basedOn w:val="27"/>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28">
    <w:name w:val="Heading 3 Char"/>
    <w:link w:val="6"/>
    <w:qFormat/>
    <w:uiPriority w:val="0"/>
    <w:rPr>
      <w:rFonts w:ascii="Times New Roman" w:hAnsi="Times New Roman" w:eastAsia="宋体" w:cs="Times New Roman"/>
      <w:b/>
      <w:sz w:val="28"/>
    </w:rPr>
  </w:style>
  <w:style w:type="paragraph" w:customStyle="1" w:styleId="29">
    <w:name w:val="常用正文样式"/>
    <w:basedOn w:val="1"/>
    <w:qFormat/>
    <w:uiPriority w:val="0"/>
    <w:pPr>
      <w:spacing w:line="360" w:lineRule="auto"/>
      <w:ind w:firstLine="480" w:firstLineChars="200"/>
    </w:pPr>
    <w:rPr>
      <w:rFonts w:ascii="宋体" w:hAnsi="宋体"/>
      <w:bCs/>
      <w:kern w:val="28"/>
      <w:szCs w:val="20"/>
    </w:rPr>
  </w:style>
  <w:style w:type="paragraph" w:customStyle="1" w:styleId="30">
    <w:name w:val="常用表头样式"/>
    <w:qFormat/>
    <w:uiPriority w:val="0"/>
    <w:pPr>
      <w:overflowPunct w:val="0"/>
      <w:autoSpaceDE w:val="0"/>
      <w:autoSpaceDN w:val="0"/>
      <w:adjustRightInd w:val="0"/>
      <w:ind w:firstLine="360"/>
      <w:jc w:val="center"/>
      <w:textAlignment w:val="baseline"/>
    </w:pPr>
    <w:rPr>
      <w:rFonts w:ascii="Times New Roman" w:hAnsi="Times New Roman" w:eastAsia="宋体" w:cs="Times New Roman"/>
      <w:b/>
      <w:bCs/>
      <w:color w:val="0000FF"/>
      <w:kern w:val="2"/>
      <w:sz w:val="24"/>
      <w:szCs w:val="24"/>
      <w:lang w:val="en-US" w:eastAsia="zh-CN" w:bidi="ar-SA"/>
    </w:rPr>
  </w:style>
  <w:style w:type="paragraph" w:customStyle="1" w:styleId="31">
    <w:name w:val="常用表格样式"/>
    <w:basedOn w:val="29"/>
    <w:next w:val="29"/>
    <w:qFormat/>
    <w:uiPriority w:val="0"/>
    <w:pPr>
      <w:spacing w:line="240" w:lineRule="auto"/>
      <w:ind w:firstLine="0" w:firstLineChars="0"/>
      <w:jc w:val="center"/>
    </w:pPr>
    <w:rPr>
      <w:rFonts w:hAnsi="Calibri" w:eastAsia="仿宋"/>
      <w:bCs w:val="0"/>
      <w:spacing w:val="2"/>
      <w:kern w:val="2"/>
      <w:sz w:val="18"/>
      <w:szCs w:val="24"/>
    </w:rPr>
  </w:style>
  <w:style w:type="paragraph" w:styleId="32">
    <w:name w:val="No Spacing"/>
    <w:qFormat/>
    <w:uiPriority w:val="0"/>
    <w:pPr>
      <w:widowControl w:val="0"/>
      <w:jc w:val="both"/>
    </w:pPr>
    <w:rPr>
      <w:rFonts w:ascii="Times New Roman" w:hAnsi="Times New Roman" w:eastAsia="仿宋_GB2312" w:cs="Times New Roman"/>
      <w:kern w:val="2"/>
      <w:sz w:val="24"/>
      <w:szCs w:val="24"/>
      <w:lang w:val="en-US" w:eastAsia="zh-CN" w:bidi="ar-SA"/>
    </w:rPr>
  </w:style>
  <w:style w:type="character" w:customStyle="1" w:styleId="33">
    <w:name w:val="Balloon Text Char"/>
    <w:basedOn w:val="22"/>
    <w:link w:val="11"/>
    <w:qFormat/>
    <w:uiPriority w:val="0"/>
    <w:rPr>
      <w:rFonts w:ascii="Times New Roman" w:hAnsi="Times New Roman"/>
      <w:kern w:val="2"/>
      <w:sz w:val="18"/>
      <w:szCs w:val="18"/>
    </w:rPr>
  </w:style>
  <w:style w:type="character" w:customStyle="1" w:styleId="34">
    <w:name w:val="Comment Text Char"/>
    <w:basedOn w:val="22"/>
    <w:link w:val="9"/>
    <w:qFormat/>
    <w:uiPriority w:val="0"/>
    <w:rPr>
      <w:rFonts w:ascii="Times New Roman" w:hAnsi="Times New Roman"/>
      <w:kern w:val="2"/>
      <w:sz w:val="24"/>
      <w:szCs w:val="24"/>
    </w:rPr>
  </w:style>
  <w:style w:type="character" w:customStyle="1" w:styleId="35">
    <w:name w:val="Comment Subject Char"/>
    <w:basedOn w:val="34"/>
    <w:link w:val="17"/>
    <w:qFormat/>
    <w:uiPriority w:val="0"/>
    <w:rPr>
      <w:rFonts w:ascii="Times New Roman" w:hAnsi="Times New Roman"/>
      <w:b/>
      <w:bCs/>
      <w:kern w:val="2"/>
      <w:sz w:val="24"/>
      <w:szCs w:val="24"/>
    </w:rPr>
  </w:style>
  <w:style w:type="paragraph" w:customStyle="1" w:styleId="36">
    <w:name w:val="Table Paragraph"/>
    <w:basedOn w:val="1"/>
    <w:qFormat/>
    <w:uiPriority w:val="1"/>
    <w:rPr>
      <w:rFonts w:ascii="仿宋" w:hAnsi="仿宋" w:eastAsia="仿宋" w:cs="仿宋"/>
    </w:rPr>
  </w:style>
  <w:style w:type="paragraph" w:styleId="37">
    <w:name w:val="List Paragraph"/>
    <w:basedOn w:val="1"/>
    <w:qFormat/>
    <w:uiPriority w:val="1"/>
    <w:pPr>
      <w:ind w:left="586" w:firstLine="561"/>
    </w:pPr>
    <w:rPr>
      <w:rFonts w:ascii="仿宋" w:hAnsi="仿宋" w:eastAsia="仿宋" w:cs="仿宋"/>
    </w:rPr>
  </w:style>
  <w:style w:type="paragraph" w:customStyle="1" w:styleId="38">
    <w:name w:val="5正文"/>
    <w:basedOn w:val="1"/>
    <w:qFormat/>
    <w:uiPriority w:val="0"/>
    <w:pPr>
      <w:snapToGrid w:val="0"/>
      <w:spacing w:line="360" w:lineRule="auto"/>
      <w:ind w:firstLine="200" w:firstLineChars="200"/>
    </w:pPr>
    <w:rPr>
      <w:szCs w:val="28"/>
    </w:rPr>
  </w:style>
  <w:style w:type="paragraph" w:customStyle="1" w:styleId="39">
    <w:name w:val="表头"/>
    <w:basedOn w:val="1"/>
    <w:qFormat/>
    <w:uiPriority w:val="0"/>
    <w:pPr>
      <w:adjustRightInd w:val="0"/>
      <w:snapToGrid w:val="0"/>
      <w:spacing w:line="360" w:lineRule="auto"/>
      <w:jc w:val="center"/>
    </w:pPr>
    <w:rPr>
      <w:rFonts w:eastAsia="仿宋" w:cs="宋体"/>
      <w:b/>
      <w:bCs/>
      <w:snapToGrid w:val="0"/>
      <w:kern w:val="0"/>
      <w:sz w:val="28"/>
      <w:szCs w:val="20"/>
    </w:rPr>
  </w:style>
  <w:style w:type="paragraph" w:customStyle="1" w:styleId="40">
    <w:name w:val="表格内文字"/>
    <w:basedOn w:val="1"/>
    <w:qFormat/>
    <w:uiPriority w:val="0"/>
    <w:pPr>
      <w:tabs>
        <w:tab w:val="left" w:pos="0"/>
      </w:tabs>
      <w:adjustRightInd w:val="0"/>
      <w:snapToGrid w:val="0"/>
      <w:jc w:val="center"/>
    </w:pPr>
    <w:rPr>
      <w:rFonts w:eastAsia="仿宋_GB2312"/>
    </w:rPr>
  </w:style>
  <w:style w:type="character" w:customStyle="1" w:styleId="41">
    <w:name w:val="TOC 2 Char"/>
    <w:link w:val="15"/>
    <w:qFormat/>
    <w:uiPriority w:val="39"/>
    <w:rPr>
      <w:rFonts w:ascii="等线" w:eastAsia="等线"/>
      <w:smallCaps/>
      <w:sz w:val="20"/>
      <w:szCs w:val="20"/>
    </w:rPr>
  </w:style>
  <w:style w:type="paragraph" w:customStyle="1" w:styleId="42">
    <w:name w:val="Revision1"/>
    <w:hidden/>
    <w:unhideWhenUsed/>
    <w:qFormat/>
    <w:uiPriority w:val="99"/>
    <w:rPr>
      <w:rFonts w:ascii="Times New Roman" w:hAnsi="Times New Roman" w:eastAsia="宋体" w:cs="Times New Roman"/>
      <w:kern w:val="2"/>
      <w:sz w:val="24"/>
      <w:szCs w:val="24"/>
      <w:lang w:val="en-US" w:eastAsia="zh-CN" w:bidi="ar-SA"/>
    </w:rPr>
  </w:style>
  <w:style w:type="paragraph" w:customStyle="1" w:styleId="43">
    <w:name w:val="p0"/>
    <w:basedOn w:val="1"/>
    <w:next w:val="1"/>
    <w:qFormat/>
    <w:uiPriority w:val="0"/>
    <w:pPr>
      <w:widowControl/>
    </w:pPr>
    <w:rPr>
      <w:rFonts w:ascii="宋体"/>
      <w:kern w:val="0"/>
      <w:szCs w:val="21"/>
    </w:rPr>
  </w:style>
  <w:style w:type="paragraph" w:customStyle="1" w:styleId="44">
    <w:name w:val="样式 首行缩进:  2 字符"/>
    <w:basedOn w:val="1"/>
    <w:qFormat/>
    <w:uiPriority w:val="0"/>
    <w:pPr>
      <w:adjustRightInd w:val="0"/>
      <w:snapToGrid w:val="0"/>
      <w:spacing w:line="360" w:lineRule="auto"/>
      <w:ind w:firstLine="567"/>
    </w:pPr>
    <w:rPr>
      <w:rFonts w:ascii="宋体" w:hAnsi="宋体"/>
      <w:kern w:val="0"/>
      <w:szCs w:val="28"/>
    </w:rPr>
  </w:style>
  <w:style w:type="paragraph" w:customStyle="1" w:styleId="45">
    <w:name w:val="表格"/>
    <w:basedOn w:val="1"/>
    <w:qFormat/>
    <w:uiPriority w:val="0"/>
    <w:pPr>
      <w:jc w:val="center"/>
    </w:pPr>
  </w:style>
  <w:style w:type="paragraph" w:customStyle="1" w:styleId="46">
    <w:name w:val="Revision"/>
    <w:hidden/>
    <w:semiHidden/>
    <w:qFormat/>
    <w:uiPriority w:val="99"/>
    <w:rPr>
      <w:rFonts w:ascii="Times New Roman" w:hAnsi="Times New Roman" w:eastAsia="宋体" w:cs="Times New Roman"/>
      <w:kern w:val="2"/>
      <w:sz w:val="24"/>
      <w:szCs w:val="24"/>
      <w:lang w:val="en-US" w:eastAsia="zh-CN" w:bidi="ar-SA"/>
    </w:rPr>
  </w:style>
  <w:style w:type="paragraph" w:customStyle="1" w:styleId="47">
    <w:name w:val="表格内容"/>
    <w:basedOn w:val="1"/>
    <w:qFormat/>
    <w:uiPriority w:val="0"/>
    <w:pPr>
      <w:adjustRightInd w:val="0"/>
      <w:snapToGrid w:val="0"/>
    </w:pPr>
    <w:rPr>
      <w:rFonts w:ascii="仿宋_GB2312" w:hAnsi="宋体" w:eastAsia="仿宋_GB2312"/>
      <w:sz w:val="24"/>
    </w:rPr>
  </w:style>
  <w:style w:type="paragraph" w:customStyle="1" w:styleId="48">
    <w:name w:val="表格文字"/>
    <w:basedOn w:val="1"/>
    <w:qFormat/>
    <w:uiPriority w:val="0"/>
    <w:pPr>
      <w:jc w:val="center"/>
    </w:pPr>
    <w:rPr>
      <w:rFonts w:ascii="仿宋_GB2312" w:hAnsi="Arial Black" w:eastAsia="仿宋_GB2312"/>
      <w:kern w:val="44"/>
      <w:szCs w:val="20"/>
    </w:rPr>
  </w:style>
  <w:style w:type="paragraph" w:customStyle="1" w:styleId="49">
    <w:name w:val="表格的文字"/>
    <w:basedOn w:val="50"/>
    <w:qFormat/>
    <w:uiPriority w:val="99"/>
    <w:pPr>
      <w:tabs>
        <w:tab w:val="left" w:pos="277"/>
        <w:tab w:val="left" w:pos="600"/>
        <w:tab w:val="left" w:pos="780"/>
        <w:tab w:val="left" w:pos="2517"/>
      </w:tabs>
      <w:spacing w:line="240" w:lineRule="auto"/>
      <w:ind w:firstLine="0" w:firstLineChars="0"/>
    </w:pPr>
  </w:style>
  <w:style w:type="paragraph" w:customStyle="1" w:styleId="50">
    <w:name w:val="表格文字2"/>
    <w:basedOn w:val="1"/>
    <w:qFormat/>
    <w:uiPriority w:val="0"/>
    <w:pPr>
      <w:tabs>
        <w:tab w:val="left" w:pos="277"/>
        <w:tab w:val="left" w:pos="600"/>
        <w:tab w:val="left" w:pos="780"/>
        <w:tab w:val="left" w:pos="2517"/>
      </w:tabs>
      <w:adjustRightInd w:val="0"/>
      <w:spacing w:before="60"/>
      <w:jc w:val="center"/>
      <w:textAlignment w:val="baseline"/>
    </w:pPr>
    <w:rPr>
      <w:kern w:val="0"/>
      <w:szCs w:val="20"/>
    </w:rPr>
  </w:style>
  <w:style w:type="paragraph" w:customStyle="1" w:styleId="51">
    <w:name w:val="！！"/>
    <w:basedOn w:val="49"/>
    <w:qFormat/>
    <w:uiPriority w:val="0"/>
  </w:style>
  <w:style w:type="character" w:customStyle="1" w:styleId="52">
    <w:name w:val="font11"/>
    <w:basedOn w:val="22"/>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7248__x672c_ xmlns="78e97c16-4456-401b-978c-7a3c401bd9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文档" ma:contentTypeID="0x010100EA3D1970AE89C646AC756518E167FCBE" ma:contentTypeVersion="14" ma:contentTypeDescription="新建文档。" ma:contentTypeScope="" ma:versionID="5971906e8f2d827fe4e5a32a5b789e41">
  <xsd:schema xmlns:xsd="http://www.w3.org/2001/XMLSchema" xmlns:xs="http://www.w3.org/2001/XMLSchema" xmlns:p="http://schemas.microsoft.com/office/2006/metadata/properties" xmlns:ns2="78e97c16-4456-401b-978c-7a3c401bd997" xmlns:ns3="a92b59c4-b0d3-4f15-97b3-e82d512a5439" targetNamespace="http://schemas.microsoft.com/office/2006/metadata/properties" ma:root="true" ma:fieldsID="68185e600938f7eb56765c7f9560e8d0" ns2:_="" ns3:_="">
    <xsd:import namespace="78e97c16-4456-401b-978c-7a3c401bd997"/>
    <xsd:import namespace="a92b59c4-b0d3-4f15-97b3-e82d512a5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_x7248__x672c_"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7c16-4456-401b-978c-7a3c401bd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x7248__x672c_" ma:index="18" nillable="true" ma:displayName="版本" ma:internalName="_x7248__x672c_">
      <xsd:simpleType>
        <xsd:restriction base="dms:Number"/>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2b59c4-b0d3-4f15-97b3-e82d512a5439" elementFormDefault="qualified">
    <xsd:import namespace="http://schemas.microsoft.com/office/2006/documentManagement/types"/>
    <xsd:import namespace="http://schemas.microsoft.com/office/infopath/2007/PartnerControls"/>
    <xsd:element name="SharedWithUsers" ma:index="19"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1"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b8ce77a0-e67f-416b-bd02-45cda2d68ae0"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23C22C-EE63-44A0-A2D9-3C8F9B7928C3}">
  <ds:schemaRefs/>
</ds:datastoreItem>
</file>

<file path=customXml/itemProps3.xml><?xml version="1.0" encoding="utf-8"?>
<ds:datastoreItem xmlns:ds="http://schemas.openxmlformats.org/officeDocument/2006/customXml" ds:itemID="{88FC5371-7069-4D87-BCDB-B96019344435}">
  <ds:schemaRefs/>
</ds:datastoreItem>
</file>

<file path=customXml/itemProps4.xml><?xml version="1.0" encoding="utf-8"?>
<ds:datastoreItem xmlns:ds="http://schemas.openxmlformats.org/officeDocument/2006/customXml" ds:itemID="{974A367A-1850-4D11-AD30-F8CC0DBB03CF}">
  <ds:schemaRefs/>
</ds:datastoreItem>
</file>

<file path=customXml/itemProps5.xml><?xml version="1.0" encoding="utf-8"?>
<ds:datastoreItem xmlns:ds="http://schemas.openxmlformats.org/officeDocument/2006/customXml" ds:itemID="{3D652E09-B55C-440A-B434-076618B30C20}">
  <ds:schemaRefs/>
</ds:datastoreItem>
</file>

<file path=customXml/itemProps6.xml><?xml version="1.0" encoding="utf-8"?>
<ds:datastoreItem xmlns:ds="http://schemas.openxmlformats.org/officeDocument/2006/customXml" ds:itemID="{7FEAB012-08E6-4756-B17A-E6593B970421}">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54679</Words>
  <Characters>57914</Characters>
  <Lines>620</Lines>
  <Paragraphs>174</Paragraphs>
  <TotalTime>19</TotalTime>
  <ScaleCrop>false</ScaleCrop>
  <LinksUpToDate>false</LinksUpToDate>
  <CharactersWithSpaces>58408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2020-08-27T07:36:00Z</dcterms:created>
  <dc:creator>Print li°</dc:creator>
  <cp:lastModifiedBy>吴淑梅</cp:lastModifiedBy>
  <cp:lastPrinted>2023-04-19T08:03:33Z</cp:lastPrinted>
  <dcterms:modified xsi:type="dcterms:W3CDTF">2023-04-19T08:05:14Z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297C1913C03E4A4DB725FFF498A277C4</vt:lpwstr>
  </property>
  <property fmtid="{D5CDD505-2E9C-101B-9397-08002B2CF9AE}" pid="4" name="ContentTypeId">
    <vt:lpwstr>0x010100EA3D1970AE89C646AC756518E167FCBE</vt:lpwstr>
  </property>
</Properties>
</file>