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4A9B30">
      <w:pPr>
        <w:adjustRightInd w:val="0"/>
        <w:snapToGrid w:val="0"/>
        <w:jc w:val="center"/>
        <w:outlineLvl w:val="9"/>
        <w:rPr>
          <w:rFonts w:hint="eastAsia" w:ascii="Times New Roman" w:hAnsi="Times New Roman" w:eastAsia="宋体" w:cs="宋体"/>
          <w:bCs/>
          <w:color w:val="auto"/>
          <w:sz w:val="72"/>
          <w:szCs w:val="72"/>
          <w:highlight w:val="none"/>
          <w:lang w:eastAsia="zh-CN"/>
        </w:rPr>
      </w:pPr>
      <w:bookmarkStart w:id="0" w:name="_Toc18017"/>
    </w:p>
    <w:p w14:paraId="7AD23275">
      <w:pPr>
        <w:adjustRightInd w:val="0"/>
        <w:snapToGrid w:val="0"/>
        <w:jc w:val="center"/>
        <w:outlineLvl w:val="9"/>
        <w:rPr>
          <w:rFonts w:hint="eastAsia" w:ascii="Times New Roman" w:hAnsi="Times New Roman" w:eastAsia="宋体" w:cs="宋体"/>
          <w:bCs/>
          <w:color w:val="auto"/>
          <w:sz w:val="72"/>
          <w:szCs w:val="72"/>
          <w:highlight w:val="none"/>
        </w:rPr>
      </w:pPr>
    </w:p>
    <w:p w14:paraId="682B5BB1">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宋体"/>
          <w:bCs/>
          <w:color w:val="auto"/>
          <w:sz w:val="72"/>
          <w:szCs w:val="72"/>
          <w:highlight w:val="none"/>
        </w:rPr>
      </w:pPr>
      <w:r>
        <w:rPr>
          <w:rFonts w:hint="eastAsia" w:ascii="Times New Roman" w:hAnsi="Times New Roman" w:eastAsia="宋体" w:cs="宋体"/>
          <w:bCs/>
          <w:color w:val="auto"/>
          <w:sz w:val="72"/>
          <w:szCs w:val="72"/>
          <w:highlight w:val="none"/>
        </w:rPr>
        <w:t>建设项目环境影响报告表</w:t>
      </w:r>
      <w:bookmarkEnd w:id="0"/>
    </w:p>
    <w:p w14:paraId="3BC3A00E">
      <w:pPr>
        <w:adjustRightInd w:val="0"/>
        <w:snapToGrid w:val="0"/>
        <w:spacing w:before="192" w:beforeLines="80"/>
        <w:jc w:val="center"/>
        <w:rPr>
          <w:rFonts w:hint="eastAsia" w:ascii="Times New Roman" w:hAnsi="Times New Roman" w:eastAsia="宋体" w:cs="宋体"/>
          <w:bCs/>
          <w:color w:val="auto"/>
          <w:sz w:val="48"/>
          <w:szCs w:val="48"/>
          <w:highlight w:val="none"/>
        </w:rPr>
      </w:pPr>
      <w:r>
        <w:rPr>
          <w:rFonts w:hint="eastAsia" w:ascii="Times New Roman" w:hAnsi="Times New Roman" w:eastAsia="宋体" w:cs="宋体"/>
          <w:bCs/>
          <w:color w:val="auto"/>
          <w:sz w:val="48"/>
          <w:szCs w:val="48"/>
          <w:highlight w:val="none"/>
        </w:rPr>
        <w:t>（污染影响类）</w:t>
      </w:r>
    </w:p>
    <w:p w14:paraId="151294D9">
      <w:pPr>
        <w:adjustRightInd w:val="0"/>
        <w:snapToGrid w:val="0"/>
        <w:spacing w:line="288" w:lineRule="auto"/>
        <w:jc w:val="center"/>
        <w:rPr>
          <w:rFonts w:hint="eastAsia" w:ascii="Times New Roman" w:hAnsi="Times New Roman" w:eastAsia="宋体" w:cs="宋体"/>
          <w:color w:val="auto"/>
          <w:kern w:val="44"/>
          <w:sz w:val="44"/>
          <w:szCs w:val="44"/>
          <w:highlight w:val="none"/>
        </w:rPr>
      </w:pPr>
    </w:p>
    <w:p w14:paraId="09442428">
      <w:pPr>
        <w:jc w:val="center"/>
        <w:rPr>
          <w:rFonts w:hint="eastAsia" w:ascii="Times New Roman" w:hAnsi="Times New Roman" w:eastAsia="宋体" w:cs="宋体"/>
          <w:color w:val="auto"/>
          <w:sz w:val="52"/>
          <w:szCs w:val="52"/>
          <w:highlight w:val="none"/>
        </w:rPr>
      </w:pPr>
    </w:p>
    <w:p w14:paraId="1AFF17D7">
      <w:pPr>
        <w:ind w:firstLine="1040"/>
        <w:rPr>
          <w:rFonts w:hint="eastAsia" w:ascii="Times New Roman" w:hAnsi="Times New Roman" w:eastAsia="宋体" w:cs="宋体"/>
          <w:color w:val="auto"/>
          <w:sz w:val="44"/>
          <w:szCs w:val="44"/>
          <w:highlight w:val="none"/>
        </w:rPr>
      </w:pPr>
    </w:p>
    <w:p w14:paraId="7812203F">
      <w:pPr>
        <w:ind w:firstLine="1040"/>
        <w:rPr>
          <w:rFonts w:hint="eastAsia" w:ascii="Times New Roman" w:hAnsi="Times New Roman" w:eastAsia="宋体" w:cs="宋体"/>
          <w:color w:val="auto"/>
          <w:sz w:val="44"/>
          <w:szCs w:val="44"/>
          <w:highlight w:val="none"/>
        </w:rPr>
      </w:pPr>
    </w:p>
    <w:p w14:paraId="609DFB2F">
      <w:pPr>
        <w:ind w:firstLine="1040"/>
        <w:rPr>
          <w:rFonts w:hint="eastAsia" w:ascii="Times New Roman" w:hAnsi="Times New Roman" w:eastAsia="宋体" w:cs="宋体"/>
          <w:color w:val="auto"/>
          <w:sz w:val="44"/>
          <w:szCs w:val="44"/>
          <w:highlight w:val="none"/>
        </w:rPr>
      </w:pPr>
    </w:p>
    <w:p w14:paraId="69C66FBF">
      <w:pPr>
        <w:adjustRightInd w:val="0"/>
        <w:snapToGrid w:val="0"/>
        <w:spacing w:line="360" w:lineRule="auto"/>
        <w:ind w:left="1600" w:hanging="1600" w:hangingChars="500"/>
        <w:jc w:val="left"/>
        <w:rPr>
          <w:rFonts w:hint="default" w:ascii="Times New Roman" w:hAnsi="Times New Roman" w:eastAsia="宋体" w:cs="宋体"/>
          <w:color w:val="auto"/>
          <w:sz w:val="32"/>
          <w:szCs w:val="32"/>
          <w:highlight w:val="none"/>
          <w:u w:val="single"/>
          <w:lang w:val="en-US" w:eastAsia="zh-CN"/>
        </w:rPr>
      </w:pPr>
      <w:r>
        <w:rPr>
          <w:rFonts w:hint="eastAsia" w:ascii="Times New Roman" w:hAnsi="Times New Roman" w:eastAsia="宋体" w:cs="宋体"/>
          <w:color w:val="auto"/>
          <w:sz w:val="32"/>
          <w:szCs w:val="32"/>
          <w:highlight w:val="none"/>
        </w:rPr>
        <w:t>项目名称：</w:t>
      </w:r>
      <w:r>
        <w:rPr>
          <w:rFonts w:hint="eastAsia" w:ascii="Times New Roman" w:hAnsi="Times New Roman" w:eastAsia="宋体" w:cs="宋体"/>
          <w:color w:val="auto"/>
          <w:sz w:val="32"/>
          <w:szCs w:val="32"/>
          <w:highlight w:val="none"/>
          <w:u w:val="single"/>
          <w:lang w:val="en-US" w:eastAsia="zh-CN"/>
        </w:rPr>
        <w:t xml:space="preserve">            无锡奕拓医药实验室新建项目      </w:t>
      </w:r>
    </w:p>
    <w:p w14:paraId="202F631D">
      <w:pPr>
        <w:adjustRightInd w:val="0"/>
        <w:snapToGrid w:val="0"/>
        <w:spacing w:line="360" w:lineRule="auto"/>
        <w:jc w:val="left"/>
        <w:rPr>
          <w:rFonts w:hint="default" w:ascii="Times New Roman" w:hAnsi="Times New Roman" w:eastAsia="宋体" w:cs="宋体"/>
          <w:color w:val="auto"/>
          <w:sz w:val="32"/>
          <w:szCs w:val="32"/>
          <w:highlight w:val="none"/>
          <w:u w:val="single"/>
          <w:lang w:val="en-US" w:eastAsia="zh-CN"/>
        </w:rPr>
      </w:pPr>
      <w:r>
        <w:rPr>
          <w:rFonts w:hint="eastAsia" w:ascii="Times New Roman" w:hAnsi="Times New Roman" w:eastAsia="宋体" w:cs="宋体"/>
          <w:color w:val="auto"/>
          <w:sz w:val="32"/>
          <w:szCs w:val="32"/>
          <w:highlight w:val="none"/>
        </w:rPr>
        <w:t>建设单位（盖章）：</w:t>
      </w:r>
      <w:r>
        <w:rPr>
          <w:rFonts w:hint="eastAsia" w:ascii="Times New Roman" w:hAnsi="Times New Roman" w:eastAsia="宋体" w:cs="宋体"/>
          <w:color w:val="auto"/>
          <w:sz w:val="32"/>
          <w:szCs w:val="32"/>
          <w:highlight w:val="none"/>
          <w:u w:val="single"/>
          <w:lang w:val="en-US" w:eastAsia="zh-CN"/>
        </w:rPr>
        <w:t xml:space="preserve">    无锡奕拓医药</w:t>
      </w:r>
      <w:bookmarkStart w:id="17" w:name="_GoBack"/>
      <w:bookmarkEnd w:id="17"/>
      <w:r>
        <w:rPr>
          <w:rFonts w:hint="eastAsia" w:ascii="Times New Roman" w:hAnsi="Times New Roman" w:eastAsia="宋体" w:cs="宋体"/>
          <w:color w:val="auto"/>
          <w:sz w:val="32"/>
          <w:szCs w:val="32"/>
          <w:highlight w:val="none"/>
          <w:u w:val="single"/>
          <w:lang w:val="en-US" w:eastAsia="zh-CN"/>
        </w:rPr>
        <w:t xml:space="preserve">科技有限责任公司               </w:t>
      </w:r>
    </w:p>
    <w:p w14:paraId="231683FC">
      <w:pPr>
        <w:adjustRightInd w:val="0"/>
        <w:snapToGrid w:val="0"/>
        <w:spacing w:line="360" w:lineRule="auto"/>
        <w:jc w:val="left"/>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2"/>
          <w:szCs w:val="32"/>
          <w:highlight w:val="none"/>
        </w:rPr>
        <w:t>编制日期：</w:t>
      </w:r>
      <w:r>
        <w:rPr>
          <w:rFonts w:hint="default" w:ascii="Times New Roman" w:hAnsi="Times New Roman" w:eastAsia="宋体" w:cs="Times New Roman"/>
          <w:color w:val="auto"/>
          <w:sz w:val="32"/>
          <w:szCs w:val="32"/>
          <w:highlight w:val="none"/>
          <w:u w:val="single"/>
          <w:lang w:val="en-US" w:eastAsia="zh-CN"/>
        </w:rPr>
        <w:t xml:space="preserve">                </w:t>
      </w:r>
      <w:r>
        <w:rPr>
          <w:rFonts w:hint="eastAsia" w:ascii="Times New Roman" w:hAnsi="Times New Roman" w:eastAsia="宋体" w:cs="Times New Roman"/>
          <w:color w:val="auto"/>
          <w:sz w:val="32"/>
          <w:szCs w:val="32"/>
          <w:highlight w:val="none"/>
          <w:u w:val="single"/>
          <w:lang w:val="en-US" w:eastAsia="zh-CN"/>
        </w:rPr>
        <w:t xml:space="preserve">    </w:t>
      </w:r>
      <w:r>
        <w:rPr>
          <w:rFonts w:hint="default" w:ascii="Times New Roman" w:hAnsi="Times New Roman" w:eastAsia="宋体" w:cs="Times New Roman"/>
          <w:color w:val="auto"/>
          <w:sz w:val="32"/>
          <w:szCs w:val="32"/>
          <w:highlight w:val="none"/>
          <w:u w:val="single"/>
          <w:lang w:val="en-US" w:eastAsia="zh-CN"/>
        </w:rPr>
        <w:t>2025</w:t>
      </w:r>
      <w:r>
        <w:rPr>
          <w:rFonts w:hint="default" w:ascii="Times New Roman" w:hAnsi="Times New Roman" w:eastAsia="宋体" w:cs="Times New Roman"/>
          <w:color w:val="auto"/>
          <w:sz w:val="32"/>
          <w:szCs w:val="32"/>
          <w:highlight w:val="none"/>
          <w:u w:val="single"/>
        </w:rPr>
        <w:t>年</w:t>
      </w:r>
      <w:r>
        <w:rPr>
          <w:rFonts w:hint="eastAsia" w:ascii="Times New Roman" w:hAnsi="Times New Roman" w:eastAsia="宋体" w:cs="Times New Roman"/>
          <w:color w:val="auto"/>
          <w:sz w:val="32"/>
          <w:szCs w:val="32"/>
          <w:highlight w:val="none"/>
          <w:u w:val="single"/>
          <w:lang w:val="en-US" w:eastAsia="zh-CN"/>
        </w:rPr>
        <w:t>5</w:t>
      </w:r>
      <w:r>
        <w:rPr>
          <w:rFonts w:hint="default" w:ascii="Times New Roman" w:hAnsi="Times New Roman" w:eastAsia="宋体" w:cs="Times New Roman"/>
          <w:color w:val="auto"/>
          <w:sz w:val="32"/>
          <w:szCs w:val="32"/>
          <w:highlight w:val="none"/>
          <w:u w:val="single"/>
        </w:rPr>
        <w:t>月</w:t>
      </w:r>
      <w:r>
        <w:rPr>
          <w:rFonts w:hint="default" w:ascii="Times New Roman" w:hAnsi="Times New Roman" w:eastAsia="宋体" w:cs="Times New Roman"/>
          <w:color w:val="auto"/>
          <w:sz w:val="32"/>
          <w:szCs w:val="32"/>
          <w:highlight w:val="none"/>
          <w:u w:val="single"/>
          <w:lang w:val="en-US" w:eastAsia="zh-CN"/>
        </w:rPr>
        <w:t xml:space="preserve">                        </w:t>
      </w:r>
    </w:p>
    <w:p w14:paraId="188A1790">
      <w:pPr>
        <w:adjustRightInd w:val="0"/>
        <w:snapToGrid w:val="0"/>
        <w:spacing w:line="288" w:lineRule="auto"/>
        <w:ind w:firstLine="1040"/>
        <w:rPr>
          <w:rFonts w:hint="eastAsia" w:ascii="Times New Roman" w:hAnsi="Times New Roman" w:eastAsia="宋体" w:cs="宋体"/>
          <w:color w:val="auto"/>
          <w:sz w:val="36"/>
          <w:szCs w:val="36"/>
          <w:highlight w:val="none"/>
          <w:u w:val="single"/>
        </w:rPr>
      </w:pPr>
      <w:bookmarkStart w:id="1" w:name="_Hlk57884087"/>
    </w:p>
    <w:p w14:paraId="7C6477FC">
      <w:pPr>
        <w:adjustRightInd w:val="0"/>
        <w:snapToGrid w:val="0"/>
        <w:spacing w:line="288" w:lineRule="auto"/>
        <w:ind w:firstLine="1040"/>
        <w:rPr>
          <w:rFonts w:hint="eastAsia" w:ascii="Times New Roman" w:hAnsi="Times New Roman" w:eastAsia="宋体" w:cs="宋体"/>
          <w:color w:val="auto"/>
          <w:sz w:val="36"/>
          <w:szCs w:val="36"/>
          <w:highlight w:val="none"/>
        </w:rPr>
      </w:pPr>
    </w:p>
    <w:p w14:paraId="2163A6C7">
      <w:pPr>
        <w:adjustRightInd w:val="0"/>
        <w:snapToGrid w:val="0"/>
        <w:spacing w:line="288" w:lineRule="auto"/>
        <w:ind w:firstLine="1040"/>
        <w:rPr>
          <w:rFonts w:hint="eastAsia" w:ascii="Times New Roman" w:hAnsi="Times New Roman" w:eastAsia="宋体" w:cs="宋体"/>
          <w:color w:val="auto"/>
          <w:sz w:val="36"/>
          <w:szCs w:val="36"/>
          <w:highlight w:val="none"/>
        </w:rPr>
      </w:pPr>
    </w:p>
    <w:p w14:paraId="12DD9C89">
      <w:pPr>
        <w:adjustRightInd w:val="0"/>
        <w:snapToGrid w:val="0"/>
        <w:spacing w:line="288" w:lineRule="auto"/>
        <w:ind w:firstLine="1040"/>
        <w:rPr>
          <w:rFonts w:hint="eastAsia" w:ascii="Times New Roman" w:hAnsi="Times New Roman" w:eastAsia="宋体" w:cs="宋体"/>
          <w:color w:val="auto"/>
          <w:sz w:val="36"/>
          <w:szCs w:val="36"/>
          <w:highlight w:val="none"/>
        </w:rPr>
      </w:pPr>
    </w:p>
    <w:bookmarkEnd w:id="1"/>
    <w:p w14:paraId="3CC1C9B6">
      <w:pPr>
        <w:adjustRightInd w:val="0"/>
        <w:snapToGrid w:val="0"/>
        <w:spacing w:line="288" w:lineRule="auto"/>
        <w:jc w:val="center"/>
        <w:rPr>
          <w:rFonts w:hint="eastAsia" w:ascii="Times New Roman" w:hAnsi="Times New Roman" w:eastAsia="宋体" w:cs="宋体"/>
          <w:color w:val="auto"/>
          <w:sz w:val="36"/>
          <w:szCs w:val="36"/>
          <w:highlight w:val="none"/>
        </w:rPr>
      </w:pPr>
      <w:r>
        <w:rPr>
          <w:rFonts w:hint="eastAsia" w:ascii="Times New Roman" w:hAnsi="Times New Roman" w:eastAsia="宋体" w:cs="宋体"/>
          <w:color w:val="auto"/>
          <w:sz w:val="36"/>
          <w:szCs w:val="36"/>
          <w:highlight w:val="none"/>
        </w:rPr>
        <w:t>中华人民共和国生态环境部制</w:t>
      </w:r>
    </w:p>
    <w:p w14:paraId="5E0B958F">
      <w:pPr>
        <w:adjustRightInd w:val="0"/>
        <w:snapToGrid w:val="0"/>
        <w:spacing w:line="288" w:lineRule="auto"/>
        <w:ind w:firstLine="1040"/>
        <w:rPr>
          <w:rFonts w:ascii="Times New Roman" w:hAnsi="Times New Roman" w:eastAsia="宋体"/>
          <w:color w:val="auto"/>
          <w:sz w:val="36"/>
          <w:szCs w:val="36"/>
          <w:highlight w:val="none"/>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14:paraId="2057BD18">
      <w:pPr>
        <w:pStyle w:val="22"/>
        <w:tabs>
          <w:tab w:val="right" w:leader="dot" w:pos="8844"/>
        </w:tabs>
        <w:jc w:val="center"/>
        <w:rPr>
          <w:rFonts w:hint="eastAsia" w:ascii="Times New Roman" w:hAnsi="Times New Roman" w:eastAsia="宋体" w:cs="Times New Roman"/>
          <w:b/>
          <w:bCs/>
          <w:color w:val="auto"/>
          <w:sz w:val="30"/>
          <w:szCs w:val="30"/>
          <w:highlight w:val="none"/>
          <w:lang w:eastAsia="zh-CN"/>
        </w:rPr>
      </w:pPr>
    </w:p>
    <w:p w14:paraId="39D367C6">
      <w:pPr>
        <w:pStyle w:val="22"/>
        <w:tabs>
          <w:tab w:val="right" w:leader="dot" w:pos="8844"/>
        </w:tabs>
        <w:jc w:val="center"/>
        <w:rPr>
          <w:rFonts w:hint="eastAsia" w:ascii="Times New Roman" w:hAnsi="Times New Roman" w:eastAsia="宋体" w:cs="Times New Roman"/>
          <w:b/>
          <w:bCs/>
          <w:color w:val="auto"/>
          <w:sz w:val="30"/>
          <w:szCs w:val="30"/>
          <w:highlight w:val="none"/>
          <w:lang w:eastAsia="zh-CN"/>
        </w:rPr>
      </w:pPr>
      <w:r>
        <w:rPr>
          <w:rFonts w:hint="eastAsia" w:ascii="Times New Roman" w:hAnsi="Times New Roman" w:eastAsia="宋体" w:cs="Times New Roman"/>
          <w:b/>
          <w:bCs/>
          <w:color w:val="auto"/>
          <w:sz w:val="30"/>
          <w:szCs w:val="30"/>
          <w:highlight w:val="none"/>
          <w:lang w:eastAsia="zh-CN"/>
        </w:rPr>
        <w:t>目</w:t>
      </w:r>
      <w:r>
        <w:rPr>
          <w:rFonts w:hint="eastAsia" w:ascii="Times New Roman" w:hAnsi="Times New Roman" w:eastAsia="宋体" w:cs="Times New Roman"/>
          <w:b/>
          <w:bCs/>
          <w:color w:val="auto"/>
          <w:sz w:val="30"/>
          <w:szCs w:val="30"/>
          <w:highlight w:val="none"/>
          <w:lang w:val="en-US" w:eastAsia="zh-CN"/>
        </w:rPr>
        <w:t xml:space="preserve">  </w:t>
      </w:r>
      <w:r>
        <w:rPr>
          <w:rFonts w:hint="eastAsia" w:ascii="Times New Roman" w:hAnsi="Times New Roman" w:eastAsia="宋体" w:cs="Times New Roman"/>
          <w:b/>
          <w:bCs/>
          <w:color w:val="auto"/>
          <w:sz w:val="30"/>
          <w:szCs w:val="30"/>
          <w:highlight w:val="none"/>
          <w:lang w:eastAsia="zh-CN"/>
        </w:rPr>
        <w:t>录</w:t>
      </w:r>
    </w:p>
    <w:p w14:paraId="41AB63E5">
      <w:pPr>
        <w:pStyle w:val="22"/>
        <w:tabs>
          <w:tab w:val="right" w:leader="dot" w:pos="8844"/>
        </w:tabs>
        <w:jc w:val="center"/>
        <w:rPr>
          <w:rFonts w:hint="eastAsia" w:ascii="Times New Roman" w:hAnsi="Times New Roman" w:eastAsia="宋体" w:cs="Times New Roman"/>
          <w:b/>
          <w:bCs/>
          <w:color w:val="auto"/>
          <w:sz w:val="30"/>
          <w:szCs w:val="30"/>
          <w:highlight w:val="none"/>
          <w:lang w:eastAsia="zh-CN"/>
        </w:rPr>
      </w:pPr>
    </w:p>
    <w:p w14:paraId="771E0F6F">
      <w:pPr>
        <w:pStyle w:val="22"/>
        <w:tabs>
          <w:tab w:val="right" w:leader="dot" w:pos="8844"/>
        </w:tabs>
        <w:jc w:val="center"/>
        <w:rPr>
          <w:rFonts w:hint="eastAsia" w:ascii="Times New Roman" w:hAnsi="Times New Roman" w:eastAsia="宋体" w:cs="Times New Roman"/>
          <w:b/>
          <w:bCs/>
          <w:color w:val="auto"/>
          <w:sz w:val="30"/>
          <w:szCs w:val="30"/>
          <w:highlight w:val="none"/>
          <w:lang w:eastAsia="zh-CN"/>
        </w:rPr>
      </w:pPr>
    </w:p>
    <w:p w14:paraId="635A59B7">
      <w:pPr>
        <w:pStyle w:val="22"/>
        <w:tabs>
          <w:tab w:val="right" w:leader="dot" w:pos="8844"/>
        </w:tabs>
        <w:jc w:val="center"/>
        <w:rPr>
          <w:rFonts w:hint="eastAsia" w:ascii="Times New Roman" w:hAnsi="Times New Roman" w:eastAsia="宋体" w:cs="Times New Roman"/>
          <w:b/>
          <w:bCs/>
          <w:color w:val="auto"/>
          <w:sz w:val="30"/>
          <w:szCs w:val="30"/>
          <w:highlight w:val="none"/>
          <w:lang w:eastAsia="zh-CN"/>
        </w:rPr>
      </w:pPr>
    </w:p>
    <w:p w14:paraId="5CB6DB7E">
      <w:pPr>
        <w:pStyle w:val="22"/>
        <w:tabs>
          <w:tab w:val="right" w:leader="dot" w:pos="8844"/>
        </w:tabs>
        <w:spacing w:line="480" w:lineRule="auto"/>
        <w:rPr>
          <w:rFonts w:hint="eastAsia" w:ascii="Times New Roman" w:hAnsi="Times New Roman" w:eastAsia="宋体" w:cs="Times New Roman"/>
          <w:b/>
          <w:bCs/>
          <w:color w:val="auto"/>
          <w:sz w:val="28"/>
          <w:szCs w:val="28"/>
          <w:highlight w:val="none"/>
          <w:lang w:eastAsia="zh-CN"/>
        </w:rPr>
      </w:pPr>
      <w:r>
        <w:rPr>
          <w:rFonts w:hint="eastAsia" w:ascii="Times New Roman" w:hAnsi="Times New Roman" w:eastAsia="宋体" w:cs="Times New Roman"/>
          <w:b/>
          <w:bCs/>
          <w:color w:val="auto"/>
          <w:sz w:val="30"/>
          <w:szCs w:val="30"/>
          <w:highlight w:val="none"/>
          <w:lang w:eastAsia="zh-CN"/>
        </w:rPr>
        <w:fldChar w:fldCharType="begin"/>
      </w:r>
      <w:r>
        <w:rPr>
          <w:rFonts w:hint="eastAsia" w:ascii="Times New Roman" w:hAnsi="Times New Roman" w:eastAsia="宋体" w:cs="Times New Roman"/>
          <w:b/>
          <w:bCs/>
          <w:color w:val="auto"/>
          <w:sz w:val="30"/>
          <w:szCs w:val="30"/>
          <w:highlight w:val="none"/>
          <w:lang w:eastAsia="zh-CN"/>
        </w:rPr>
        <w:instrText xml:space="preserve">TOC \o "1-2" \h \u </w:instrText>
      </w:r>
      <w:r>
        <w:rPr>
          <w:rFonts w:hint="eastAsia" w:ascii="Times New Roman" w:hAnsi="Times New Roman" w:eastAsia="宋体" w:cs="Times New Roman"/>
          <w:b/>
          <w:bCs/>
          <w:color w:val="auto"/>
          <w:sz w:val="30"/>
          <w:szCs w:val="30"/>
          <w:highlight w:val="none"/>
          <w:lang w:eastAsia="zh-CN"/>
        </w:rPr>
        <w:fldChar w:fldCharType="separate"/>
      </w:r>
      <w:r>
        <w:rPr>
          <w:rFonts w:hint="eastAsia" w:ascii="Times New Roman" w:hAnsi="Times New Roman" w:eastAsia="宋体" w:cs="Times New Roman"/>
          <w:b/>
          <w:bCs/>
          <w:color w:val="auto"/>
          <w:sz w:val="28"/>
          <w:szCs w:val="28"/>
          <w:highlight w:val="none"/>
          <w:lang w:eastAsia="zh-CN"/>
        </w:rPr>
        <w:fldChar w:fldCharType="begin"/>
      </w:r>
      <w:r>
        <w:rPr>
          <w:rFonts w:hint="eastAsia" w:ascii="Times New Roman" w:hAnsi="Times New Roman" w:eastAsia="宋体" w:cs="Times New Roman"/>
          <w:b/>
          <w:bCs/>
          <w:color w:val="auto"/>
          <w:sz w:val="28"/>
          <w:szCs w:val="28"/>
          <w:highlight w:val="none"/>
          <w:lang w:eastAsia="zh-CN"/>
        </w:rPr>
        <w:instrText xml:space="preserve"> HYPERLINK \l _Toc14273 </w:instrText>
      </w:r>
      <w:r>
        <w:rPr>
          <w:rFonts w:hint="eastAsia" w:ascii="Times New Roman" w:hAnsi="Times New Roman" w:eastAsia="宋体" w:cs="Times New Roman"/>
          <w:b/>
          <w:bCs/>
          <w:color w:val="auto"/>
          <w:sz w:val="28"/>
          <w:szCs w:val="28"/>
          <w:highlight w:val="none"/>
          <w:lang w:eastAsia="zh-CN"/>
        </w:rPr>
        <w:fldChar w:fldCharType="separate"/>
      </w:r>
      <w:r>
        <w:rPr>
          <w:rFonts w:hint="eastAsia" w:ascii="Times New Roman" w:hAnsi="Times New Roman" w:eastAsia="宋体" w:cs="Times New Roman"/>
          <w:b/>
          <w:bCs/>
          <w:color w:val="auto"/>
          <w:sz w:val="28"/>
          <w:szCs w:val="28"/>
          <w:highlight w:val="none"/>
          <w:lang w:eastAsia="zh-CN"/>
        </w:rPr>
        <w:t>一、建设项目基本情况</w:t>
      </w:r>
      <w:r>
        <w:rPr>
          <w:rFonts w:hint="eastAsia" w:ascii="Times New Roman" w:hAnsi="Times New Roman" w:eastAsia="宋体" w:cs="Times New Roman"/>
          <w:b/>
          <w:bCs/>
          <w:color w:val="auto"/>
          <w:sz w:val="28"/>
          <w:szCs w:val="28"/>
          <w:highlight w:val="none"/>
          <w:lang w:eastAsia="zh-CN"/>
        </w:rPr>
        <w:tab/>
      </w:r>
      <w:r>
        <w:rPr>
          <w:rFonts w:hint="eastAsia" w:ascii="Times New Roman" w:hAnsi="Times New Roman" w:eastAsia="宋体" w:cs="Times New Roman"/>
          <w:b/>
          <w:bCs/>
          <w:color w:val="auto"/>
          <w:sz w:val="28"/>
          <w:szCs w:val="28"/>
          <w:highlight w:val="none"/>
          <w:lang w:eastAsia="zh-CN"/>
        </w:rPr>
        <w:fldChar w:fldCharType="begin"/>
      </w:r>
      <w:r>
        <w:rPr>
          <w:rFonts w:hint="eastAsia" w:ascii="Times New Roman" w:hAnsi="Times New Roman" w:eastAsia="宋体" w:cs="Times New Roman"/>
          <w:b/>
          <w:bCs/>
          <w:color w:val="auto"/>
          <w:sz w:val="28"/>
          <w:szCs w:val="28"/>
          <w:highlight w:val="none"/>
          <w:lang w:eastAsia="zh-CN"/>
        </w:rPr>
        <w:instrText xml:space="preserve"> PAGEREF _Toc14273 \h </w:instrText>
      </w:r>
      <w:r>
        <w:rPr>
          <w:rFonts w:hint="eastAsia" w:ascii="Times New Roman" w:hAnsi="Times New Roman" w:eastAsia="宋体" w:cs="Times New Roman"/>
          <w:b/>
          <w:bCs/>
          <w:color w:val="auto"/>
          <w:sz w:val="28"/>
          <w:szCs w:val="28"/>
          <w:highlight w:val="none"/>
          <w:lang w:eastAsia="zh-CN"/>
        </w:rPr>
        <w:fldChar w:fldCharType="separate"/>
      </w:r>
      <w:r>
        <w:rPr>
          <w:rFonts w:hint="eastAsia" w:ascii="Times New Roman" w:hAnsi="Times New Roman" w:eastAsia="宋体" w:cs="Times New Roman"/>
          <w:b/>
          <w:bCs/>
          <w:color w:val="auto"/>
          <w:sz w:val="28"/>
          <w:szCs w:val="28"/>
          <w:highlight w:val="none"/>
          <w:lang w:eastAsia="zh-CN"/>
        </w:rPr>
        <w:t>1</w:t>
      </w:r>
      <w:r>
        <w:rPr>
          <w:rFonts w:hint="eastAsia" w:ascii="Times New Roman" w:hAnsi="Times New Roman" w:eastAsia="宋体" w:cs="Times New Roman"/>
          <w:b/>
          <w:bCs/>
          <w:color w:val="auto"/>
          <w:sz w:val="28"/>
          <w:szCs w:val="28"/>
          <w:highlight w:val="none"/>
          <w:lang w:eastAsia="zh-CN"/>
        </w:rPr>
        <w:fldChar w:fldCharType="end"/>
      </w:r>
      <w:r>
        <w:rPr>
          <w:rFonts w:hint="eastAsia" w:ascii="Times New Roman" w:hAnsi="Times New Roman" w:eastAsia="宋体" w:cs="Times New Roman"/>
          <w:b/>
          <w:bCs/>
          <w:color w:val="auto"/>
          <w:sz w:val="28"/>
          <w:szCs w:val="28"/>
          <w:highlight w:val="none"/>
          <w:lang w:eastAsia="zh-CN"/>
        </w:rPr>
        <w:fldChar w:fldCharType="end"/>
      </w:r>
    </w:p>
    <w:p w14:paraId="14F672E3">
      <w:pPr>
        <w:pStyle w:val="22"/>
        <w:tabs>
          <w:tab w:val="right" w:leader="dot" w:pos="8844"/>
        </w:tabs>
        <w:spacing w:line="480" w:lineRule="auto"/>
        <w:rPr>
          <w:rFonts w:hint="eastAsia" w:ascii="Times New Roman" w:hAnsi="Times New Roman" w:eastAsia="宋体" w:cs="Times New Roman"/>
          <w:b/>
          <w:bCs/>
          <w:color w:val="auto"/>
          <w:sz w:val="28"/>
          <w:szCs w:val="28"/>
          <w:highlight w:val="none"/>
          <w:lang w:eastAsia="zh-CN"/>
        </w:rPr>
      </w:pPr>
      <w:r>
        <w:rPr>
          <w:rFonts w:hint="eastAsia" w:ascii="Times New Roman" w:hAnsi="Times New Roman" w:eastAsia="宋体" w:cs="Times New Roman"/>
          <w:b/>
          <w:bCs/>
          <w:color w:val="auto"/>
          <w:sz w:val="28"/>
          <w:szCs w:val="28"/>
          <w:highlight w:val="none"/>
          <w:lang w:eastAsia="zh-CN"/>
        </w:rPr>
        <w:fldChar w:fldCharType="begin"/>
      </w:r>
      <w:r>
        <w:rPr>
          <w:rFonts w:hint="eastAsia" w:ascii="Times New Roman" w:hAnsi="Times New Roman" w:eastAsia="宋体" w:cs="Times New Roman"/>
          <w:b/>
          <w:bCs/>
          <w:color w:val="auto"/>
          <w:sz w:val="28"/>
          <w:szCs w:val="28"/>
          <w:highlight w:val="none"/>
          <w:lang w:eastAsia="zh-CN"/>
        </w:rPr>
        <w:instrText xml:space="preserve"> HYPERLINK \l _Toc11677 </w:instrText>
      </w:r>
      <w:r>
        <w:rPr>
          <w:rFonts w:hint="eastAsia" w:ascii="Times New Roman" w:hAnsi="Times New Roman" w:eastAsia="宋体" w:cs="Times New Roman"/>
          <w:b/>
          <w:bCs/>
          <w:color w:val="auto"/>
          <w:sz w:val="28"/>
          <w:szCs w:val="28"/>
          <w:highlight w:val="none"/>
          <w:lang w:eastAsia="zh-CN"/>
        </w:rPr>
        <w:fldChar w:fldCharType="separate"/>
      </w:r>
      <w:r>
        <w:rPr>
          <w:rFonts w:hint="eastAsia" w:ascii="Times New Roman" w:hAnsi="Times New Roman" w:eastAsia="宋体" w:cs="Times New Roman"/>
          <w:b/>
          <w:bCs/>
          <w:color w:val="auto"/>
          <w:sz w:val="28"/>
          <w:szCs w:val="28"/>
          <w:highlight w:val="none"/>
          <w:lang w:eastAsia="zh-CN"/>
        </w:rPr>
        <w:t>二、建设项目工程分析</w:t>
      </w:r>
      <w:r>
        <w:rPr>
          <w:rFonts w:hint="eastAsia" w:ascii="Times New Roman" w:hAnsi="Times New Roman" w:eastAsia="宋体" w:cs="Times New Roman"/>
          <w:b/>
          <w:bCs/>
          <w:color w:val="auto"/>
          <w:sz w:val="28"/>
          <w:szCs w:val="28"/>
          <w:highlight w:val="none"/>
          <w:lang w:eastAsia="zh-CN"/>
        </w:rPr>
        <w:tab/>
      </w:r>
      <w:r>
        <w:rPr>
          <w:rFonts w:hint="eastAsia" w:ascii="Times New Roman" w:hAnsi="Times New Roman" w:eastAsia="宋体" w:cs="Times New Roman"/>
          <w:b/>
          <w:bCs/>
          <w:color w:val="auto"/>
          <w:sz w:val="28"/>
          <w:szCs w:val="28"/>
          <w:highlight w:val="none"/>
          <w:lang w:eastAsia="zh-CN"/>
        </w:rPr>
        <w:fldChar w:fldCharType="begin"/>
      </w:r>
      <w:r>
        <w:rPr>
          <w:rFonts w:hint="eastAsia" w:ascii="Times New Roman" w:hAnsi="Times New Roman" w:eastAsia="宋体" w:cs="Times New Roman"/>
          <w:b/>
          <w:bCs/>
          <w:color w:val="auto"/>
          <w:sz w:val="28"/>
          <w:szCs w:val="28"/>
          <w:highlight w:val="none"/>
          <w:lang w:eastAsia="zh-CN"/>
        </w:rPr>
        <w:instrText xml:space="preserve"> PAGEREF _Toc11677 \h </w:instrText>
      </w:r>
      <w:r>
        <w:rPr>
          <w:rFonts w:hint="eastAsia" w:ascii="Times New Roman" w:hAnsi="Times New Roman" w:eastAsia="宋体" w:cs="Times New Roman"/>
          <w:b/>
          <w:bCs/>
          <w:color w:val="auto"/>
          <w:sz w:val="28"/>
          <w:szCs w:val="28"/>
          <w:highlight w:val="none"/>
          <w:lang w:eastAsia="zh-CN"/>
        </w:rPr>
        <w:fldChar w:fldCharType="separate"/>
      </w:r>
      <w:r>
        <w:rPr>
          <w:rFonts w:hint="eastAsia" w:ascii="Times New Roman" w:hAnsi="Times New Roman" w:eastAsia="宋体" w:cs="Times New Roman"/>
          <w:b/>
          <w:bCs/>
          <w:color w:val="auto"/>
          <w:sz w:val="28"/>
          <w:szCs w:val="28"/>
          <w:highlight w:val="none"/>
          <w:lang w:eastAsia="zh-CN"/>
        </w:rPr>
        <w:t>32</w:t>
      </w:r>
      <w:r>
        <w:rPr>
          <w:rFonts w:hint="eastAsia" w:ascii="Times New Roman" w:hAnsi="Times New Roman" w:eastAsia="宋体" w:cs="Times New Roman"/>
          <w:b/>
          <w:bCs/>
          <w:color w:val="auto"/>
          <w:sz w:val="28"/>
          <w:szCs w:val="28"/>
          <w:highlight w:val="none"/>
          <w:lang w:eastAsia="zh-CN"/>
        </w:rPr>
        <w:fldChar w:fldCharType="end"/>
      </w:r>
      <w:r>
        <w:rPr>
          <w:rFonts w:hint="eastAsia" w:ascii="Times New Roman" w:hAnsi="Times New Roman" w:eastAsia="宋体" w:cs="Times New Roman"/>
          <w:b/>
          <w:bCs/>
          <w:color w:val="auto"/>
          <w:sz w:val="28"/>
          <w:szCs w:val="28"/>
          <w:highlight w:val="none"/>
          <w:lang w:eastAsia="zh-CN"/>
        </w:rPr>
        <w:fldChar w:fldCharType="end"/>
      </w:r>
    </w:p>
    <w:p w14:paraId="4ECAE3E7">
      <w:pPr>
        <w:pStyle w:val="22"/>
        <w:tabs>
          <w:tab w:val="right" w:leader="dot" w:pos="8844"/>
        </w:tabs>
        <w:spacing w:line="480" w:lineRule="auto"/>
        <w:rPr>
          <w:rFonts w:hint="eastAsia" w:ascii="Times New Roman" w:hAnsi="Times New Roman" w:eastAsia="宋体" w:cs="Times New Roman"/>
          <w:b/>
          <w:bCs/>
          <w:color w:val="auto"/>
          <w:sz w:val="28"/>
          <w:szCs w:val="28"/>
          <w:highlight w:val="none"/>
          <w:lang w:eastAsia="zh-CN"/>
        </w:rPr>
      </w:pPr>
      <w:r>
        <w:rPr>
          <w:rFonts w:hint="eastAsia" w:ascii="Times New Roman" w:hAnsi="Times New Roman" w:eastAsia="宋体" w:cs="Times New Roman"/>
          <w:b/>
          <w:bCs/>
          <w:color w:val="auto"/>
          <w:sz w:val="28"/>
          <w:szCs w:val="28"/>
          <w:highlight w:val="none"/>
          <w:lang w:eastAsia="zh-CN"/>
        </w:rPr>
        <w:fldChar w:fldCharType="begin"/>
      </w:r>
      <w:r>
        <w:rPr>
          <w:rFonts w:hint="eastAsia" w:ascii="Times New Roman" w:hAnsi="Times New Roman" w:eastAsia="宋体" w:cs="Times New Roman"/>
          <w:b/>
          <w:bCs/>
          <w:color w:val="auto"/>
          <w:sz w:val="28"/>
          <w:szCs w:val="28"/>
          <w:highlight w:val="none"/>
          <w:lang w:eastAsia="zh-CN"/>
        </w:rPr>
        <w:instrText xml:space="preserve"> HYPERLINK \l _Toc23955 </w:instrText>
      </w:r>
      <w:r>
        <w:rPr>
          <w:rFonts w:hint="eastAsia" w:ascii="Times New Roman" w:hAnsi="Times New Roman" w:eastAsia="宋体" w:cs="Times New Roman"/>
          <w:b/>
          <w:bCs/>
          <w:color w:val="auto"/>
          <w:sz w:val="28"/>
          <w:szCs w:val="28"/>
          <w:highlight w:val="none"/>
          <w:lang w:eastAsia="zh-CN"/>
        </w:rPr>
        <w:fldChar w:fldCharType="separate"/>
      </w:r>
      <w:r>
        <w:rPr>
          <w:rFonts w:hint="eastAsia" w:ascii="Times New Roman" w:hAnsi="Times New Roman" w:eastAsia="宋体" w:cs="Times New Roman"/>
          <w:b/>
          <w:bCs/>
          <w:color w:val="auto"/>
          <w:sz w:val="28"/>
          <w:szCs w:val="28"/>
          <w:highlight w:val="none"/>
          <w:lang w:eastAsia="zh-CN"/>
        </w:rPr>
        <w:t>三、区域环境质量现状、环境保护目标及评价标准</w:t>
      </w:r>
      <w:r>
        <w:rPr>
          <w:rFonts w:hint="eastAsia" w:ascii="Times New Roman" w:hAnsi="Times New Roman" w:eastAsia="宋体" w:cs="Times New Roman"/>
          <w:b/>
          <w:bCs/>
          <w:color w:val="auto"/>
          <w:sz w:val="28"/>
          <w:szCs w:val="28"/>
          <w:highlight w:val="none"/>
          <w:lang w:eastAsia="zh-CN"/>
        </w:rPr>
        <w:tab/>
      </w:r>
      <w:r>
        <w:rPr>
          <w:rFonts w:hint="eastAsia" w:ascii="Times New Roman" w:hAnsi="Times New Roman" w:eastAsia="宋体" w:cs="Times New Roman"/>
          <w:b/>
          <w:bCs/>
          <w:color w:val="auto"/>
          <w:sz w:val="28"/>
          <w:szCs w:val="28"/>
          <w:highlight w:val="none"/>
          <w:lang w:eastAsia="zh-CN"/>
        </w:rPr>
        <w:fldChar w:fldCharType="begin"/>
      </w:r>
      <w:r>
        <w:rPr>
          <w:rFonts w:hint="eastAsia" w:ascii="Times New Roman" w:hAnsi="Times New Roman" w:eastAsia="宋体" w:cs="Times New Roman"/>
          <w:b/>
          <w:bCs/>
          <w:color w:val="auto"/>
          <w:sz w:val="28"/>
          <w:szCs w:val="28"/>
          <w:highlight w:val="none"/>
          <w:lang w:eastAsia="zh-CN"/>
        </w:rPr>
        <w:instrText xml:space="preserve"> PAGEREF _Toc23955 \h </w:instrText>
      </w:r>
      <w:r>
        <w:rPr>
          <w:rFonts w:hint="eastAsia" w:ascii="Times New Roman" w:hAnsi="Times New Roman" w:eastAsia="宋体" w:cs="Times New Roman"/>
          <w:b/>
          <w:bCs/>
          <w:color w:val="auto"/>
          <w:sz w:val="28"/>
          <w:szCs w:val="28"/>
          <w:highlight w:val="none"/>
          <w:lang w:eastAsia="zh-CN"/>
        </w:rPr>
        <w:fldChar w:fldCharType="separate"/>
      </w:r>
      <w:r>
        <w:rPr>
          <w:rFonts w:hint="eastAsia" w:ascii="Times New Roman" w:hAnsi="Times New Roman" w:eastAsia="宋体" w:cs="Times New Roman"/>
          <w:b/>
          <w:bCs/>
          <w:color w:val="auto"/>
          <w:sz w:val="28"/>
          <w:szCs w:val="28"/>
          <w:highlight w:val="none"/>
          <w:lang w:eastAsia="zh-CN"/>
        </w:rPr>
        <w:t>49</w:t>
      </w:r>
      <w:r>
        <w:rPr>
          <w:rFonts w:hint="eastAsia" w:ascii="Times New Roman" w:hAnsi="Times New Roman" w:eastAsia="宋体" w:cs="Times New Roman"/>
          <w:b/>
          <w:bCs/>
          <w:color w:val="auto"/>
          <w:sz w:val="28"/>
          <w:szCs w:val="28"/>
          <w:highlight w:val="none"/>
          <w:lang w:eastAsia="zh-CN"/>
        </w:rPr>
        <w:fldChar w:fldCharType="end"/>
      </w:r>
      <w:r>
        <w:rPr>
          <w:rFonts w:hint="eastAsia" w:ascii="Times New Roman" w:hAnsi="Times New Roman" w:eastAsia="宋体" w:cs="Times New Roman"/>
          <w:b/>
          <w:bCs/>
          <w:color w:val="auto"/>
          <w:sz w:val="28"/>
          <w:szCs w:val="28"/>
          <w:highlight w:val="none"/>
          <w:lang w:eastAsia="zh-CN"/>
        </w:rPr>
        <w:fldChar w:fldCharType="end"/>
      </w:r>
    </w:p>
    <w:p w14:paraId="578C1A43">
      <w:pPr>
        <w:pStyle w:val="22"/>
        <w:tabs>
          <w:tab w:val="right" w:leader="dot" w:pos="8844"/>
        </w:tabs>
        <w:spacing w:line="480" w:lineRule="auto"/>
        <w:rPr>
          <w:rFonts w:hint="eastAsia" w:ascii="Times New Roman" w:hAnsi="Times New Roman" w:eastAsia="宋体" w:cs="Times New Roman"/>
          <w:b/>
          <w:bCs/>
          <w:color w:val="auto"/>
          <w:sz w:val="28"/>
          <w:szCs w:val="28"/>
          <w:highlight w:val="none"/>
          <w:lang w:eastAsia="zh-CN"/>
        </w:rPr>
      </w:pPr>
      <w:r>
        <w:rPr>
          <w:rFonts w:hint="eastAsia" w:ascii="Times New Roman" w:hAnsi="Times New Roman" w:eastAsia="宋体" w:cs="Times New Roman"/>
          <w:b/>
          <w:bCs/>
          <w:color w:val="auto"/>
          <w:sz w:val="28"/>
          <w:szCs w:val="28"/>
          <w:highlight w:val="none"/>
          <w:lang w:eastAsia="zh-CN"/>
        </w:rPr>
        <w:fldChar w:fldCharType="begin"/>
      </w:r>
      <w:r>
        <w:rPr>
          <w:rFonts w:hint="eastAsia" w:ascii="Times New Roman" w:hAnsi="Times New Roman" w:eastAsia="宋体" w:cs="Times New Roman"/>
          <w:b/>
          <w:bCs/>
          <w:color w:val="auto"/>
          <w:sz w:val="28"/>
          <w:szCs w:val="28"/>
          <w:highlight w:val="none"/>
          <w:lang w:eastAsia="zh-CN"/>
        </w:rPr>
        <w:instrText xml:space="preserve"> HYPERLINK \l _Toc6071 </w:instrText>
      </w:r>
      <w:r>
        <w:rPr>
          <w:rFonts w:hint="eastAsia" w:ascii="Times New Roman" w:hAnsi="Times New Roman" w:eastAsia="宋体" w:cs="Times New Roman"/>
          <w:b/>
          <w:bCs/>
          <w:color w:val="auto"/>
          <w:sz w:val="28"/>
          <w:szCs w:val="28"/>
          <w:highlight w:val="none"/>
          <w:lang w:eastAsia="zh-CN"/>
        </w:rPr>
        <w:fldChar w:fldCharType="separate"/>
      </w:r>
      <w:r>
        <w:rPr>
          <w:rFonts w:hint="eastAsia" w:ascii="Times New Roman" w:hAnsi="Times New Roman" w:eastAsia="宋体" w:cs="Times New Roman"/>
          <w:b/>
          <w:bCs/>
          <w:color w:val="auto"/>
          <w:sz w:val="28"/>
          <w:szCs w:val="28"/>
          <w:highlight w:val="none"/>
          <w:lang w:eastAsia="zh-CN"/>
        </w:rPr>
        <w:t>四、主要环境影响和保护措施</w:t>
      </w:r>
      <w:r>
        <w:rPr>
          <w:rFonts w:hint="eastAsia" w:ascii="Times New Roman" w:hAnsi="Times New Roman" w:eastAsia="宋体" w:cs="Times New Roman"/>
          <w:b/>
          <w:bCs/>
          <w:color w:val="auto"/>
          <w:sz w:val="28"/>
          <w:szCs w:val="28"/>
          <w:highlight w:val="none"/>
          <w:lang w:eastAsia="zh-CN"/>
        </w:rPr>
        <w:tab/>
      </w:r>
      <w:r>
        <w:rPr>
          <w:rFonts w:hint="eastAsia" w:ascii="Times New Roman" w:hAnsi="Times New Roman" w:eastAsia="宋体" w:cs="Times New Roman"/>
          <w:b/>
          <w:bCs/>
          <w:color w:val="auto"/>
          <w:sz w:val="28"/>
          <w:szCs w:val="28"/>
          <w:highlight w:val="none"/>
          <w:lang w:eastAsia="zh-CN"/>
        </w:rPr>
        <w:fldChar w:fldCharType="begin"/>
      </w:r>
      <w:r>
        <w:rPr>
          <w:rFonts w:hint="eastAsia" w:ascii="Times New Roman" w:hAnsi="Times New Roman" w:eastAsia="宋体" w:cs="Times New Roman"/>
          <w:b/>
          <w:bCs/>
          <w:color w:val="auto"/>
          <w:sz w:val="28"/>
          <w:szCs w:val="28"/>
          <w:highlight w:val="none"/>
          <w:lang w:eastAsia="zh-CN"/>
        </w:rPr>
        <w:instrText xml:space="preserve"> PAGEREF _Toc6071 \h </w:instrText>
      </w:r>
      <w:r>
        <w:rPr>
          <w:rFonts w:hint="eastAsia" w:ascii="Times New Roman" w:hAnsi="Times New Roman" w:eastAsia="宋体" w:cs="Times New Roman"/>
          <w:b/>
          <w:bCs/>
          <w:color w:val="auto"/>
          <w:sz w:val="28"/>
          <w:szCs w:val="28"/>
          <w:highlight w:val="none"/>
          <w:lang w:eastAsia="zh-CN"/>
        </w:rPr>
        <w:fldChar w:fldCharType="separate"/>
      </w:r>
      <w:r>
        <w:rPr>
          <w:rFonts w:hint="eastAsia" w:ascii="Times New Roman" w:hAnsi="Times New Roman" w:eastAsia="宋体" w:cs="Times New Roman"/>
          <w:b/>
          <w:bCs/>
          <w:color w:val="auto"/>
          <w:sz w:val="28"/>
          <w:szCs w:val="28"/>
          <w:highlight w:val="none"/>
          <w:lang w:eastAsia="zh-CN"/>
        </w:rPr>
        <w:t>59</w:t>
      </w:r>
      <w:r>
        <w:rPr>
          <w:rFonts w:hint="eastAsia" w:ascii="Times New Roman" w:hAnsi="Times New Roman" w:eastAsia="宋体" w:cs="Times New Roman"/>
          <w:b/>
          <w:bCs/>
          <w:color w:val="auto"/>
          <w:sz w:val="28"/>
          <w:szCs w:val="28"/>
          <w:highlight w:val="none"/>
          <w:lang w:eastAsia="zh-CN"/>
        </w:rPr>
        <w:fldChar w:fldCharType="end"/>
      </w:r>
      <w:r>
        <w:rPr>
          <w:rFonts w:hint="eastAsia" w:ascii="Times New Roman" w:hAnsi="Times New Roman" w:eastAsia="宋体" w:cs="Times New Roman"/>
          <w:b/>
          <w:bCs/>
          <w:color w:val="auto"/>
          <w:sz w:val="28"/>
          <w:szCs w:val="28"/>
          <w:highlight w:val="none"/>
          <w:lang w:eastAsia="zh-CN"/>
        </w:rPr>
        <w:fldChar w:fldCharType="end"/>
      </w:r>
    </w:p>
    <w:p w14:paraId="35C289BC">
      <w:pPr>
        <w:pStyle w:val="22"/>
        <w:tabs>
          <w:tab w:val="right" w:leader="dot" w:pos="8844"/>
        </w:tabs>
        <w:spacing w:line="480" w:lineRule="auto"/>
        <w:rPr>
          <w:rFonts w:hint="eastAsia" w:ascii="Times New Roman" w:hAnsi="Times New Roman" w:eastAsia="宋体" w:cs="Times New Roman"/>
          <w:b/>
          <w:bCs/>
          <w:color w:val="auto"/>
          <w:sz w:val="28"/>
          <w:szCs w:val="28"/>
          <w:highlight w:val="none"/>
          <w:lang w:eastAsia="zh-CN"/>
        </w:rPr>
      </w:pPr>
      <w:r>
        <w:rPr>
          <w:rFonts w:hint="eastAsia" w:ascii="Times New Roman" w:hAnsi="Times New Roman" w:eastAsia="宋体" w:cs="Times New Roman"/>
          <w:b/>
          <w:bCs/>
          <w:color w:val="auto"/>
          <w:sz w:val="28"/>
          <w:szCs w:val="28"/>
          <w:highlight w:val="none"/>
          <w:lang w:eastAsia="zh-CN"/>
        </w:rPr>
        <w:fldChar w:fldCharType="begin"/>
      </w:r>
      <w:r>
        <w:rPr>
          <w:rFonts w:hint="eastAsia" w:ascii="Times New Roman" w:hAnsi="Times New Roman" w:eastAsia="宋体" w:cs="Times New Roman"/>
          <w:b/>
          <w:bCs/>
          <w:color w:val="auto"/>
          <w:sz w:val="28"/>
          <w:szCs w:val="28"/>
          <w:highlight w:val="none"/>
          <w:lang w:eastAsia="zh-CN"/>
        </w:rPr>
        <w:instrText xml:space="preserve"> HYPERLINK \l _Toc24968 </w:instrText>
      </w:r>
      <w:r>
        <w:rPr>
          <w:rFonts w:hint="eastAsia" w:ascii="Times New Roman" w:hAnsi="Times New Roman" w:eastAsia="宋体" w:cs="Times New Roman"/>
          <w:b/>
          <w:bCs/>
          <w:color w:val="auto"/>
          <w:sz w:val="28"/>
          <w:szCs w:val="28"/>
          <w:highlight w:val="none"/>
          <w:lang w:eastAsia="zh-CN"/>
        </w:rPr>
        <w:fldChar w:fldCharType="separate"/>
      </w:r>
      <w:r>
        <w:rPr>
          <w:rFonts w:hint="eastAsia" w:ascii="Times New Roman" w:hAnsi="Times New Roman" w:eastAsia="宋体" w:cs="Times New Roman"/>
          <w:b/>
          <w:bCs/>
          <w:color w:val="auto"/>
          <w:sz w:val="28"/>
          <w:szCs w:val="28"/>
          <w:highlight w:val="none"/>
          <w:lang w:eastAsia="zh-CN"/>
        </w:rPr>
        <w:t>五、环境保护措施监督检查清单</w:t>
      </w:r>
      <w:r>
        <w:rPr>
          <w:rFonts w:hint="eastAsia" w:ascii="Times New Roman" w:hAnsi="Times New Roman" w:eastAsia="宋体" w:cs="Times New Roman"/>
          <w:b/>
          <w:bCs/>
          <w:color w:val="auto"/>
          <w:sz w:val="28"/>
          <w:szCs w:val="28"/>
          <w:highlight w:val="none"/>
          <w:lang w:eastAsia="zh-CN"/>
        </w:rPr>
        <w:tab/>
      </w:r>
      <w:r>
        <w:rPr>
          <w:rFonts w:hint="eastAsia" w:ascii="Times New Roman" w:hAnsi="Times New Roman" w:eastAsia="宋体" w:cs="Times New Roman"/>
          <w:b/>
          <w:bCs/>
          <w:color w:val="auto"/>
          <w:sz w:val="28"/>
          <w:szCs w:val="28"/>
          <w:highlight w:val="none"/>
          <w:lang w:eastAsia="zh-CN"/>
        </w:rPr>
        <w:fldChar w:fldCharType="begin"/>
      </w:r>
      <w:r>
        <w:rPr>
          <w:rFonts w:hint="eastAsia" w:ascii="Times New Roman" w:hAnsi="Times New Roman" w:eastAsia="宋体" w:cs="Times New Roman"/>
          <w:b/>
          <w:bCs/>
          <w:color w:val="auto"/>
          <w:sz w:val="28"/>
          <w:szCs w:val="28"/>
          <w:highlight w:val="none"/>
          <w:lang w:eastAsia="zh-CN"/>
        </w:rPr>
        <w:instrText xml:space="preserve"> PAGEREF _Toc24968 \h </w:instrText>
      </w:r>
      <w:r>
        <w:rPr>
          <w:rFonts w:hint="eastAsia" w:ascii="Times New Roman" w:hAnsi="Times New Roman" w:eastAsia="宋体" w:cs="Times New Roman"/>
          <w:b/>
          <w:bCs/>
          <w:color w:val="auto"/>
          <w:sz w:val="28"/>
          <w:szCs w:val="28"/>
          <w:highlight w:val="none"/>
          <w:lang w:eastAsia="zh-CN"/>
        </w:rPr>
        <w:fldChar w:fldCharType="separate"/>
      </w:r>
      <w:r>
        <w:rPr>
          <w:rFonts w:hint="eastAsia" w:ascii="Times New Roman" w:hAnsi="Times New Roman" w:eastAsia="宋体" w:cs="Times New Roman"/>
          <w:b/>
          <w:bCs/>
          <w:color w:val="auto"/>
          <w:sz w:val="28"/>
          <w:szCs w:val="28"/>
          <w:highlight w:val="none"/>
          <w:lang w:eastAsia="zh-CN"/>
        </w:rPr>
        <w:t>101</w:t>
      </w:r>
      <w:r>
        <w:rPr>
          <w:rFonts w:hint="eastAsia" w:ascii="Times New Roman" w:hAnsi="Times New Roman" w:eastAsia="宋体" w:cs="Times New Roman"/>
          <w:b/>
          <w:bCs/>
          <w:color w:val="auto"/>
          <w:sz w:val="28"/>
          <w:szCs w:val="28"/>
          <w:highlight w:val="none"/>
          <w:lang w:eastAsia="zh-CN"/>
        </w:rPr>
        <w:fldChar w:fldCharType="end"/>
      </w:r>
      <w:r>
        <w:rPr>
          <w:rFonts w:hint="eastAsia" w:ascii="Times New Roman" w:hAnsi="Times New Roman" w:eastAsia="宋体" w:cs="Times New Roman"/>
          <w:b/>
          <w:bCs/>
          <w:color w:val="auto"/>
          <w:sz w:val="28"/>
          <w:szCs w:val="28"/>
          <w:highlight w:val="none"/>
          <w:lang w:eastAsia="zh-CN"/>
        </w:rPr>
        <w:fldChar w:fldCharType="end"/>
      </w:r>
    </w:p>
    <w:p w14:paraId="2A0F90C3">
      <w:pPr>
        <w:pStyle w:val="22"/>
        <w:tabs>
          <w:tab w:val="right" w:leader="dot" w:pos="8844"/>
        </w:tabs>
        <w:spacing w:line="480" w:lineRule="auto"/>
        <w:rPr>
          <w:rFonts w:hint="eastAsia" w:ascii="Times New Roman" w:hAnsi="Times New Roman" w:eastAsia="宋体" w:cs="Times New Roman"/>
          <w:b/>
          <w:bCs/>
          <w:color w:val="auto"/>
          <w:sz w:val="30"/>
          <w:szCs w:val="30"/>
          <w:highlight w:val="none"/>
          <w:lang w:eastAsia="zh-CN"/>
        </w:rPr>
      </w:pPr>
      <w:r>
        <w:rPr>
          <w:rFonts w:hint="eastAsia" w:ascii="Times New Roman" w:hAnsi="Times New Roman" w:eastAsia="宋体" w:cs="Times New Roman"/>
          <w:b/>
          <w:bCs/>
          <w:color w:val="auto"/>
          <w:sz w:val="28"/>
          <w:szCs w:val="28"/>
          <w:highlight w:val="none"/>
          <w:lang w:eastAsia="zh-CN"/>
        </w:rPr>
        <w:fldChar w:fldCharType="begin"/>
      </w:r>
      <w:r>
        <w:rPr>
          <w:rFonts w:hint="eastAsia" w:ascii="Times New Roman" w:hAnsi="Times New Roman" w:eastAsia="宋体" w:cs="Times New Roman"/>
          <w:b/>
          <w:bCs/>
          <w:color w:val="auto"/>
          <w:sz w:val="28"/>
          <w:szCs w:val="28"/>
          <w:highlight w:val="none"/>
          <w:lang w:eastAsia="zh-CN"/>
        </w:rPr>
        <w:instrText xml:space="preserve"> HYPERLINK \l _Toc22989 </w:instrText>
      </w:r>
      <w:r>
        <w:rPr>
          <w:rFonts w:hint="eastAsia" w:ascii="Times New Roman" w:hAnsi="Times New Roman" w:eastAsia="宋体" w:cs="Times New Roman"/>
          <w:b/>
          <w:bCs/>
          <w:color w:val="auto"/>
          <w:sz w:val="28"/>
          <w:szCs w:val="28"/>
          <w:highlight w:val="none"/>
          <w:lang w:eastAsia="zh-CN"/>
        </w:rPr>
        <w:fldChar w:fldCharType="separate"/>
      </w:r>
      <w:r>
        <w:rPr>
          <w:rFonts w:hint="eastAsia" w:ascii="Times New Roman" w:hAnsi="Times New Roman" w:eastAsia="宋体" w:cs="Times New Roman"/>
          <w:b/>
          <w:bCs/>
          <w:color w:val="auto"/>
          <w:sz w:val="28"/>
          <w:szCs w:val="28"/>
          <w:highlight w:val="none"/>
          <w:lang w:eastAsia="zh-CN"/>
        </w:rPr>
        <w:t>六、结论</w:t>
      </w:r>
      <w:r>
        <w:rPr>
          <w:rFonts w:hint="eastAsia" w:ascii="Times New Roman" w:hAnsi="Times New Roman" w:eastAsia="宋体" w:cs="Times New Roman"/>
          <w:b/>
          <w:bCs/>
          <w:color w:val="auto"/>
          <w:sz w:val="28"/>
          <w:szCs w:val="28"/>
          <w:highlight w:val="none"/>
          <w:lang w:eastAsia="zh-CN"/>
        </w:rPr>
        <w:tab/>
      </w:r>
      <w:r>
        <w:rPr>
          <w:rFonts w:hint="eastAsia" w:ascii="Times New Roman" w:hAnsi="Times New Roman" w:eastAsia="宋体" w:cs="Times New Roman"/>
          <w:b/>
          <w:bCs/>
          <w:color w:val="auto"/>
          <w:sz w:val="28"/>
          <w:szCs w:val="28"/>
          <w:highlight w:val="none"/>
          <w:lang w:eastAsia="zh-CN"/>
        </w:rPr>
        <w:fldChar w:fldCharType="begin"/>
      </w:r>
      <w:r>
        <w:rPr>
          <w:rFonts w:hint="eastAsia" w:ascii="Times New Roman" w:hAnsi="Times New Roman" w:eastAsia="宋体" w:cs="Times New Roman"/>
          <w:b/>
          <w:bCs/>
          <w:color w:val="auto"/>
          <w:sz w:val="28"/>
          <w:szCs w:val="28"/>
          <w:highlight w:val="none"/>
          <w:lang w:eastAsia="zh-CN"/>
        </w:rPr>
        <w:instrText xml:space="preserve"> PAGEREF _Toc22989 \h </w:instrText>
      </w:r>
      <w:r>
        <w:rPr>
          <w:rFonts w:hint="eastAsia" w:ascii="Times New Roman" w:hAnsi="Times New Roman" w:eastAsia="宋体" w:cs="Times New Roman"/>
          <w:b/>
          <w:bCs/>
          <w:color w:val="auto"/>
          <w:sz w:val="28"/>
          <w:szCs w:val="28"/>
          <w:highlight w:val="none"/>
          <w:lang w:eastAsia="zh-CN"/>
        </w:rPr>
        <w:fldChar w:fldCharType="separate"/>
      </w:r>
      <w:r>
        <w:rPr>
          <w:rFonts w:hint="eastAsia" w:ascii="Times New Roman" w:hAnsi="Times New Roman" w:eastAsia="宋体" w:cs="Times New Roman"/>
          <w:b/>
          <w:bCs/>
          <w:color w:val="auto"/>
          <w:sz w:val="28"/>
          <w:szCs w:val="28"/>
          <w:highlight w:val="none"/>
          <w:lang w:eastAsia="zh-CN"/>
        </w:rPr>
        <w:t>103</w:t>
      </w:r>
      <w:r>
        <w:rPr>
          <w:rFonts w:hint="eastAsia" w:ascii="Times New Roman" w:hAnsi="Times New Roman" w:eastAsia="宋体" w:cs="Times New Roman"/>
          <w:b/>
          <w:bCs/>
          <w:color w:val="auto"/>
          <w:sz w:val="28"/>
          <w:szCs w:val="28"/>
          <w:highlight w:val="none"/>
          <w:lang w:eastAsia="zh-CN"/>
        </w:rPr>
        <w:fldChar w:fldCharType="end"/>
      </w:r>
      <w:r>
        <w:rPr>
          <w:rFonts w:hint="eastAsia" w:ascii="Times New Roman" w:hAnsi="Times New Roman" w:eastAsia="宋体" w:cs="Times New Roman"/>
          <w:b/>
          <w:bCs/>
          <w:color w:val="auto"/>
          <w:sz w:val="28"/>
          <w:szCs w:val="28"/>
          <w:highlight w:val="none"/>
          <w:lang w:eastAsia="zh-CN"/>
        </w:rPr>
        <w:fldChar w:fldCharType="end"/>
      </w:r>
    </w:p>
    <w:p w14:paraId="201BC323">
      <w:pPr>
        <w:pStyle w:val="22"/>
        <w:tabs>
          <w:tab w:val="right" w:leader="dot" w:pos="8844"/>
        </w:tabs>
        <w:jc w:val="center"/>
        <w:rPr>
          <w:rFonts w:hint="eastAsia" w:ascii="Times New Roman" w:hAnsi="Times New Roman" w:eastAsia="宋体" w:cs="Times New Roman"/>
          <w:b/>
          <w:bCs/>
          <w:color w:val="auto"/>
          <w:sz w:val="30"/>
          <w:szCs w:val="30"/>
          <w:highlight w:val="none"/>
          <w:lang w:eastAsia="zh-CN"/>
        </w:rPr>
      </w:pPr>
    </w:p>
    <w:p w14:paraId="477B8578">
      <w:pPr>
        <w:pStyle w:val="22"/>
        <w:tabs>
          <w:tab w:val="right" w:leader="dot" w:pos="8844"/>
        </w:tabs>
        <w:jc w:val="center"/>
        <w:rPr>
          <w:rFonts w:ascii="Times New Roman" w:hAnsi="Times New Roman" w:eastAsia="宋体"/>
          <w:color w:val="auto"/>
          <w:highlight w:val="none"/>
        </w:rPr>
      </w:pPr>
      <w:r>
        <w:rPr>
          <w:rFonts w:hint="eastAsia" w:ascii="Times New Roman" w:hAnsi="Times New Roman" w:eastAsia="宋体" w:cs="Times New Roman"/>
          <w:b/>
          <w:bCs/>
          <w:color w:val="auto"/>
          <w:sz w:val="30"/>
          <w:szCs w:val="30"/>
          <w:highlight w:val="none"/>
          <w:lang w:eastAsia="zh-CN"/>
        </w:rPr>
        <w:fldChar w:fldCharType="end"/>
      </w:r>
    </w:p>
    <w:p w14:paraId="48E2EC7B">
      <w:pPr>
        <w:pStyle w:val="22"/>
        <w:tabs>
          <w:tab w:val="right" w:leader="dot" w:pos="8844"/>
        </w:tabs>
        <w:rPr>
          <w:rFonts w:ascii="Times New Roman" w:hAnsi="Times New Roman" w:eastAsia="宋体"/>
          <w:color w:val="auto"/>
          <w:highlight w:val="none"/>
        </w:rPr>
      </w:pPr>
    </w:p>
    <w:p w14:paraId="1ED8F14F">
      <w:pPr>
        <w:pStyle w:val="13"/>
        <w:numPr>
          <w:ilvl w:val="0"/>
          <w:numId w:val="0"/>
        </w:numPr>
        <w:spacing w:line="480" w:lineRule="auto"/>
        <w:rPr>
          <w:rFonts w:ascii="Times New Roman" w:hAnsi="Times New Roman" w:eastAsia="宋体"/>
          <w:color w:val="auto"/>
          <w:highlight w:val="none"/>
        </w:rPr>
        <w:sectPr>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14:paraId="08FFB4FF">
      <w:pPr>
        <w:pStyle w:val="24"/>
        <w:adjustRightInd w:val="0"/>
        <w:snapToGrid w:val="0"/>
        <w:spacing w:before="0" w:beforeAutospacing="0" w:after="0" w:afterAutospacing="0"/>
        <w:jc w:val="center"/>
        <w:outlineLvl w:val="0"/>
        <w:rPr>
          <w:rFonts w:ascii="Times New Roman" w:hAnsi="Times New Roman" w:eastAsia="宋体"/>
          <w:b/>
          <w:bCs/>
          <w:snapToGrid w:val="0"/>
          <w:color w:val="auto"/>
          <w:sz w:val="30"/>
          <w:szCs w:val="30"/>
        </w:rPr>
      </w:pPr>
      <w:bookmarkStart w:id="2" w:name="_Toc14273"/>
      <w:r>
        <w:rPr>
          <w:rFonts w:ascii="Times New Roman" w:hAnsi="Times New Roman" w:eastAsia="宋体"/>
          <w:b/>
          <w:bCs/>
          <w:snapToGrid w:val="0"/>
          <w:color w:val="auto"/>
          <w:sz w:val="30"/>
          <w:szCs w:val="30"/>
        </w:rPr>
        <w:t>一、建设项目基本情况</w:t>
      </w:r>
      <w:bookmarkEnd w:id="2"/>
    </w:p>
    <w:tbl>
      <w:tblPr>
        <w:tblStyle w:val="25"/>
        <w:tblW w:w="998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93"/>
        <w:gridCol w:w="1236"/>
        <w:gridCol w:w="1937"/>
        <w:gridCol w:w="1854"/>
        <w:gridCol w:w="4463"/>
      </w:tblGrid>
      <w:tr w14:paraId="0B6FC4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9" w:type="dxa"/>
            <w:gridSpan w:val="2"/>
            <w:noWrap w:val="0"/>
            <w:tcMar>
              <w:top w:w="16" w:type="dxa"/>
              <w:left w:w="16" w:type="dxa"/>
              <w:right w:w="16" w:type="dxa"/>
            </w:tcMar>
            <w:vAlign w:val="center"/>
          </w:tcPr>
          <w:p w14:paraId="65E14EF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yellow"/>
              </w:rPr>
            </w:pPr>
            <w:r>
              <w:rPr>
                <w:rFonts w:hint="default" w:ascii="Times New Roman" w:hAnsi="Times New Roman" w:eastAsia="宋体"/>
                <w:color w:val="auto"/>
                <w:sz w:val="24"/>
                <w:highlight w:val="yellow"/>
              </w:rPr>
              <w:t>建设项目名称</w:t>
            </w:r>
          </w:p>
        </w:tc>
        <w:tc>
          <w:tcPr>
            <w:tcW w:w="8254" w:type="dxa"/>
            <w:gridSpan w:val="3"/>
            <w:noWrap w:val="0"/>
            <w:vAlign w:val="center"/>
          </w:tcPr>
          <w:p w14:paraId="7EF419D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yellow"/>
                <w:lang w:val="en-US" w:eastAsia="zh-CN"/>
              </w:rPr>
            </w:pPr>
            <w:r>
              <w:rPr>
                <w:rFonts w:hint="eastAsia" w:ascii="Times New Roman" w:hAnsi="Times New Roman" w:eastAsia="宋体"/>
                <w:color w:val="auto"/>
                <w:sz w:val="24"/>
                <w:highlight w:val="yellow"/>
                <w:lang w:val="en-US" w:eastAsia="zh-CN"/>
              </w:rPr>
              <w:t>无锡奕拓医药实验室新建项目</w:t>
            </w:r>
          </w:p>
        </w:tc>
      </w:tr>
      <w:tr w14:paraId="4F8FBA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9" w:type="dxa"/>
            <w:gridSpan w:val="2"/>
            <w:noWrap w:val="0"/>
            <w:tcMar>
              <w:top w:w="16" w:type="dxa"/>
              <w:left w:w="16" w:type="dxa"/>
              <w:right w:w="16" w:type="dxa"/>
            </w:tcMar>
            <w:vAlign w:val="center"/>
          </w:tcPr>
          <w:p w14:paraId="2958CA8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yellow"/>
              </w:rPr>
            </w:pPr>
            <w:r>
              <w:rPr>
                <w:rFonts w:hint="default" w:ascii="Times New Roman" w:hAnsi="Times New Roman" w:eastAsia="宋体"/>
                <w:color w:val="auto"/>
                <w:sz w:val="24"/>
                <w:highlight w:val="yellow"/>
              </w:rPr>
              <w:t>项目代码</w:t>
            </w:r>
          </w:p>
        </w:tc>
        <w:tc>
          <w:tcPr>
            <w:tcW w:w="8254" w:type="dxa"/>
            <w:gridSpan w:val="3"/>
            <w:noWrap w:val="0"/>
            <w:vAlign w:val="center"/>
          </w:tcPr>
          <w:p w14:paraId="10199F6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yellow"/>
                <w:lang w:val="en-US" w:eastAsia="zh-CN"/>
              </w:rPr>
            </w:pPr>
            <w:r>
              <w:rPr>
                <w:rFonts w:hint="eastAsia"/>
                <w:color w:val="auto"/>
                <w:sz w:val="24"/>
                <w:highlight w:val="yellow"/>
                <w:lang w:val="en-US" w:eastAsia="zh-CN"/>
              </w:rPr>
              <w:t>（备案证还有两个工作日才能下来，后续补上相关信息）</w:t>
            </w:r>
          </w:p>
        </w:tc>
      </w:tr>
      <w:tr w14:paraId="069455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9" w:type="dxa"/>
            <w:gridSpan w:val="2"/>
            <w:noWrap w:val="0"/>
            <w:tcMar>
              <w:top w:w="16" w:type="dxa"/>
              <w:left w:w="16" w:type="dxa"/>
              <w:right w:w="16" w:type="dxa"/>
            </w:tcMar>
            <w:vAlign w:val="center"/>
          </w:tcPr>
          <w:p w14:paraId="29279C5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rPr>
            </w:pPr>
            <w:r>
              <w:rPr>
                <w:rFonts w:hint="default" w:ascii="Times New Roman" w:hAnsi="Times New Roman" w:eastAsia="宋体"/>
                <w:color w:val="auto"/>
                <w:sz w:val="24"/>
              </w:rPr>
              <w:t>建设单位联系人</w:t>
            </w:r>
          </w:p>
        </w:tc>
        <w:tc>
          <w:tcPr>
            <w:tcW w:w="1937" w:type="dxa"/>
            <w:noWrap w:val="0"/>
            <w:vAlign w:val="center"/>
          </w:tcPr>
          <w:p w14:paraId="1DC8FD4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lang w:val="en-US" w:eastAsia="zh-CN"/>
              </w:rPr>
            </w:pPr>
            <w:r>
              <w:rPr>
                <w:rFonts w:hint="eastAsia" w:ascii="Times New Roman" w:hAnsi="Times New Roman" w:eastAsia="宋体"/>
                <w:color w:val="auto"/>
                <w:sz w:val="24"/>
                <w:lang w:val="en-US" w:eastAsia="zh-CN"/>
              </w:rPr>
              <w:t>谢健健</w:t>
            </w:r>
          </w:p>
        </w:tc>
        <w:tc>
          <w:tcPr>
            <w:tcW w:w="1854" w:type="dxa"/>
            <w:noWrap w:val="0"/>
            <w:vAlign w:val="center"/>
          </w:tcPr>
          <w:p w14:paraId="634ABB3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rPr>
            </w:pPr>
            <w:r>
              <w:rPr>
                <w:rFonts w:hint="default" w:ascii="Times New Roman" w:hAnsi="Times New Roman" w:eastAsia="宋体"/>
                <w:color w:val="auto"/>
                <w:sz w:val="24"/>
                <w:highlight w:val="none"/>
              </w:rPr>
              <w:t>联系方式</w:t>
            </w:r>
          </w:p>
        </w:tc>
        <w:tc>
          <w:tcPr>
            <w:tcW w:w="4463" w:type="dxa"/>
            <w:noWrap w:val="0"/>
            <w:vAlign w:val="center"/>
          </w:tcPr>
          <w:p w14:paraId="7B723D3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lang w:val="en-US" w:eastAsia="zh-CN"/>
              </w:rPr>
            </w:pPr>
            <w:r>
              <w:rPr>
                <w:rFonts w:hint="eastAsia" w:ascii="Times New Roman" w:hAnsi="Times New Roman" w:eastAsia="宋体"/>
                <w:color w:val="auto"/>
                <w:sz w:val="24"/>
                <w:lang w:val="en-US" w:eastAsia="zh-CN"/>
              </w:rPr>
              <w:t>15216760173</w:t>
            </w:r>
          </w:p>
        </w:tc>
      </w:tr>
      <w:tr w14:paraId="40DCDA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9" w:type="dxa"/>
            <w:gridSpan w:val="2"/>
            <w:noWrap w:val="0"/>
            <w:tcMar>
              <w:top w:w="16" w:type="dxa"/>
              <w:left w:w="16" w:type="dxa"/>
              <w:right w:w="16" w:type="dxa"/>
            </w:tcMar>
            <w:vAlign w:val="center"/>
          </w:tcPr>
          <w:p w14:paraId="64E7992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rPr>
            </w:pPr>
            <w:r>
              <w:rPr>
                <w:rFonts w:hint="default" w:ascii="Times New Roman" w:hAnsi="Times New Roman" w:eastAsia="宋体"/>
                <w:color w:val="auto"/>
                <w:sz w:val="24"/>
              </w:rPr>
              <w:t>建设地点</w:t>
            </w:r>
          </w:p>
        </w:tc>
        <w:tc>
          <w:tcPr>
            <w:tcW w:w="8254" w:type="dxa"/>
            <w:gridSpan w:val="3"/>
            <w:noWrap w:val="0"/>
            <w:vAlign w:val="center"/>
          </w:tcPr>
          <w:p w14:paraId="555DCD9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lang w:val="en-US" w:eastAsia="zh-CN"/>
              </w:rPr>
            </w:pPr>
            <w:r>
              <w:rPr>
                <w:rFonts w:hint="eastAsia" w:ascii="Times New Roman" w:hAnsi="Times New Roman" w:eastAsia="宋体"/>
                <w:color w:val="auto"/>
                <w:sz w:val="24"/>
                <w:lang w:val="en-US" w:eastAsia="zh-CN"/>
              </w:rPr>
              <w:t>江苏省无锡市新吴区净慧东道196号F楼2楼</w:t>
            </w:r>
          </w:p>
        </w:tc>
      </w:tr>
      <w:tr w14:paraId="4E7D67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9" w:type="dxa"/>
            <w:gridSpan w:val="2"/>
            <w:noWrap w:val="0"/>
            <w:tcMar>
              <w:top w:w="16" w:type="dxa"/>
              <w:left w:w="16" w:type="dxa"/>
              <w:right w:w="16" w:type="dxa"/>
            </w:tcMar>
            <w:vAlign w:val="center"/>
          </w:tcPr>
          <w:p w14:paraId="375CE21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地理坐标</w:t>
            </w:r>
          </w:p>
        </w:tc>
        <w:tc>
          <w:tcPr>
            <w:tcW w:w="8254" w:type="dxa"/>
            <w:gridSpan w:val="3"/>
            <w:noWrap w:val="0"/>
            <w:vAlign w:val="center"/>
          </w:tcPr>
          <w:p w14:paraId="7DA9C8E6">
            <w:pPr>
              <w:keepNext w:val="0"/>
              <w:keepLines w:val="0"/>
              <w:suppressLineNumbers w:val="0"/>
              <w:spacing w:before="0" w:beforeAutospacing="0" w:after="0" w:afterAutospacing="0"/>
              <w:ind w:left="0" w:right="0"/>
              <w:jc w:val="center"/>
              <w:rPr>
                <w:rFonts w:hint="eastAsia" w:ascii="Times New Roman" w:hAnsi="Times New Roman" w:eastAsia="宋体"/>
                <w:color w:val="auto"/>
                <w:sz w:val="24"/>
                <w:highlight w:val="none"/>
                <w:lang w:eastAsia="zh-CN"/>
              </w:rPr>
            </w:pPr>
            <w:r>
              <w:rPr>
                <w:rFonts w:hint="default" w:ascii="Times New Roman" w:hAnsi="Times New Roman" w:eastAsia="宋体"/>
                <w:color w:val="auto"/>
                <w:sz w:val="24"/>
                <w:highlight w:val="none"/>
              </w:rPr>
              <w:t>（</w:t>
            </w:r>
            <w:r>
              <w:rPr>
                <w:rFonts w:hint="eastAsia" w:ascii="Times New Roman" w:hAnsi="Times New Roman" w:eastAsia="宋体"/>
                <w:color w:val="auto"/>
                <w:sz w:val="24"/>
                <w:highlight w:val="none"/>
                <w:u w:val="single"/>
                <w:lang w:val="en-US" w:eastAsia="zh-CN"/>
              </w:rPr>
              <w:t>120</w:t>
            </w:r>
            <w:r>
              <w:rPr>
                <w:rFonts w:hint="default" w:ascii="Times New Roman" w:hAnsi="Times New Roman" w:eastAsia="宋体"/>
                <w:color w:val="auto"/>
                <w:sz w:val="24"/>
                <w:highlight w:val="none"/>
              </w:rPr>
              <w:t>度</w:t>
            </w:r>
            <w:r>
              <w:rPr>
                <w:rFonts w:hint="eastAsia" w:ascii="Times New Roman" w:hAnsi="Times New Roman" w:eastAsia="宋体"/>
                <w:color w:val="auto"/>
                <w:sz w:val="24"/>
                <w:highlight w:val="none"/>
                <w:u w:val="single"/>
                <w:lang w:val="en-US" w:eastAsia="zh-CN"/>
              </w:rPr>
              <w:t>21</w:t>
            </w:r>
            <w:r>
              <w:rPr>
                <w:rFonts w:hint="default" w:ascii="Times New Roman" w:hAnsi="Times New Roman" w:eastAsia="宋体"/>
                <w:color w:val="auto"/>
                <w:sz w:val="24"/>
                <w:highlight w:val="none"/>
              </w:rPr>
              <w:t>分</w:t>
            </w:r>
            <w:r>
              <w:rPr>
                <w:rFonts w:hint="eastAsia" w:ascii="Times New Roman" w:hAnsi="Times New Roman" w:eastAsia="宋体"/>
                <w:color w:val="auto"/>
                <w:sz w:val="24"/>
                <w:highlight w:val="none"/>
                <w:u w:val="single"/>
                <w:lang w:val="en-US" w:eastAsia="zh-CN"/>
              </w:rPr>
              <w:t>11.861</w:t>
            </w:r>
            <w:r>
              <w:rPr>
                <w:rFonts w:hint="default" w:ascii="Times New Roman" w:hAnsi="Times New Roman" w:eastAsia="宋体"/>
                <w:color w:val="auto"/>
                <w:sz w:val="24"/>
                <w:highlight w:val="none"/>
              </w:rPr>
              <w:t>秒，</w:t>
            </w:r>
            <w:r>
              <w:rPr>
                <w:rFonts w:hint="eastAsia" w:ascii="Times New Roman" w:hAnsi="Times New Roman" w:eastAsia="宋体"/>
                <w:color w:val="auto"/>
                <w:sz w:val="24"/>
                <w:highlight w:val="none"/>
                <w:u w:val="single"/>
                <w:lang w:val="en-US" w:eastAsia="zh-CN"/>
              </w:rPr>
              <w:t>31</w:t>
            </w:r>
            <w:r>
              <w:rPr>
                <w:rFonts w:hint="default" w:ascii="Times New Roman" w:hAnsi="Times New Roman" w:eastAsia="宋体"/>
                <w:color w:val="auto"/>
                <w:sz w:val="24"/>
                <w:highlight w:val="none"/>
              </w:rPr>
              <w:t>度</w:t>
            </w:r>
            <w:r>
              <w:rPr>
                <w:rFonts w:hint="eastAsia" w:ascii="Times New Roman" w:hAnsi="Times New Roman" w:eastAsia="宋体"/>
                <w:color w:val="auto"/>
                <w:sz w:val="24"/>
                <w:highlight w:val="none"/>
                <w:u w:val="single"/>
                <w:lang w:val="en-US" w:eastAsia="zh-CN"/>
              </w:rPr>
              <w:t>30</w:t>
            </w:r>
            <w:r>
              <w:rPr>
                <w:rFonts w:hint="default" w:ascii="Times New Roman" w:hAnsi="Times New Roman" w:eastAsia="宋体"/>
                <w:color w:val="auto"/>
                <w:sz w:val="24"/>
                <w:highlight w:val="none"/>
              </w:rPr>
              <w:t>分</w:t>
            </w:r>
            <w:r>
              <w:rPr>
                <w:rFonts w:hint="eastAsia" w:ascii="Times New Roman" w:hAnsi="Times New Roman" w:eastAsia="宋体"/>
                <w:color w:val="auto"/>
                <w:sz w:val="24"/>
                <w:highlight w:val="none"/>
                <w:u w:val="single"/>
                <w:lang w:val="en-US" w:eastAsia="zh-CN"/>
              </w:rPr>
              <w:t>29.692</w:t>
            </w:r>
            <w:r>
              <w:rPr>
                <w:rFonts w:hint="default" w:ascii="Times New Roman" w:hAnsi="Times New Roman" w:eastAsia="宋体"/>
                <w:color w:val="auto"/>
                <w:sz w:val="24"/>
                <w:highlight w:val="none"/>
              </w:rPr>
              <w:t>秒）</w:t>
            </w:r>
          </w:p>
        </w:tc>
      </w:tr>
      <w:tr w14:paraId="65436A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9" w:type="dxa"/>
            <w:gridSpan w:val="2"/>
            <w:noWrap w:val="0"/>
            <w:tcMar>
              <w:top w:w="16" w:type="dxa"/>
              <w:left w:w="16" w:type="dxa"/>
              <w:right w:w="16" w:type="dxa"/>
            </w:tcMar>
            <w:vAlign w:val="center"/>
          </w:tcPr>
          <w:p w14:paraId="4060537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rPr>
            </w:pPr>
            <w:r>
              <w:rPr>
                <w:rFonts w:hint="default" w:ascii="Times New Roman" w:hAnsi="Times New Roman" w:eastAsia="宋体"/>
                <w:color w:val="auto"/>
                <w:sz w:val="24"/>
              </w:rPr>
              <w:t>国民经济</w:t>
            </w:r>
          </w:p>
          <w:p w14:paraId="6896D79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rPr>
            </w:pPr>
            <w:r>
              <w:rPr>
                <w:rFonts w:hint="default" w:ascii="Times New Roman" w:hAnsi="Times New Roman" w:eastAsia="宋体"/>
                <w:color w:val="auto"/>
                <w:sz w:val="24"/>
              </w:rPr>
              <w:t>行业类别</w:t>
            </w:r>
          </w:p>
        </w:tc>
        <w:tc>
          <w:tcPr>
            <w:tcW w:w="1937" w:type="dxa"/>
            <w:noWrap w:val="0"/>
            <w:vAlign w:val="center"/>
          </w:tcPr>
          <w:p w14:paraId="12C9C01E">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olor w:val="auto"/>
                <w:sz w:val="24"/>
                <w:lang w:eastAsia="zh-CN"/>
              </w:rPr>
            </w:pPr>
            <w:r>
              <w:rPr>
                <w:rFonts w:hint="default" w:ascii="Times New Roman" w:hAnsi="Times New Roman" w:eastAsia="宋体"/>
                <w:color w:val="auto"/>
                <w:sz w:val="24"/>
                <w:highlight w:val="none"/>
              </w:rPr>
              <w:t>[</w:t>
            </w:r>
            <w:r>
              <w:rPr>
                <w:rFonts w:hint="eastAsia" w:ascii="Times New Roman" w:hAnsi="Times New Roman" w:eastAsia="宋体"/>
                <w:color w:val="auto"/>
                <w:sz w:val="24"/>
                <w:highlight w:val="none"/>
                <w:lang w:val="en-US" w:eastAsia="zh-CN"/>
              </w:rPr>
              <w:t>M7340</w:t>
            </w:r>
            <w:r>
              <w:rPr>
                <w:rFonts w:hint="default" w:ascii="Times New Roman" w:hAnsi="Times New Roman" w:eastAsia="宋体"/>
                <w:color w:val="auto"/>
                <w:sz w:val="24"/>
                <w:highlight w:val="none"/>
              </w:rPr>
              <w:t>]</w:t>
            </w:r>
            <w:r>
              <w:rPr>
                <w:rFonts w:hint="eastAsia" w:ascii="Times New Roman" w:hAnsi="Times New Roman" w:eastAsia="宋体" w:cs="宋体"/>
                <w:color w:val="auto"/>
                <w:sz w:val="24"/>
                <w:szCs w:val="24"/>
                <w:highlight w:val="none"/>
              </w:rPr>
              <w:t>医学研究和</w:t>
            </w:r>
            <w:r>
              <w:rPr>
                <w:rFonts w:hint="eastAsia" w:ascii="Times New Roman" w:hAnsi="Times New Roman" w:eastAsia="宋体" w:cs="宋体"/>
                <w:color w:val="auto"/>
                <w:sz w:val="24"/>
                <w:szCs w:val="24"/>
                <w:highlight w:val="none"/>
                <w:lang w:eastAsia="zh-CN"/>
              </w:rPr>
              <w:t>试验发展</w:t>
            </w:r>
          </w:p>
        </w:tc>
        <w:tc>
          <w:tcPr>
            <w:tcW w:w="1854" w:type="dxa"/>
            <w:noWrap w:val="0"/>
            <w:vAlign w:val="center"/>
          </w:tcPr>
          <w:p w14:paraId="2F067D3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rPr>
            </w:pPr>
            <w:bookmarkStart w:id="3" w:name="_Hlk49843745"/>
            <w:r>
              <w:rPr>
                <w:rFonts w:hint="default" w:ascii="Times New Roman" w:hAnsi="Times New Roman" w:eastAsia="宋体"/>
                <w:color w:val="auto"/>
                <w:sz w:val="24"/>
              </w:rPr>
              <w:t>建设项目</w:t>
            </w:r>
          </w:p>
          <w:p w14:paraId="04C115F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rPr>
            </w:pPr>
            <w:r>
              <w:rPr>
                <w:rFonts w:hint="default" w:ascii="Times New Roman" w:hAnsi="Times New Roman" w:eastAsia="宋体"/>
                <w:color w:val="auto"/>
                <w:sz w:val="24"/>
              </w:rPr>
              <w:t>行业类别</w:t>
            </w:r>
            <w:bookmarkEnd w:id="3"/>
          </w:p>
        </w:tc>
        <w:tc>
          <w:tcPr>
            <w:tcW w:w="4463" w:type="dxa"/>
            <w:noWrap w:val="0"/>
            <w:vAlign w:val="center"/>
          </w:tcPr>
          <w:p w14:paraId="7A9B1F4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olor w:val="auto"/>
                <w:sz w:val="24"/>
                <w:lang w:eastAsia="zh-CN"/>
              </w:rPr>
            </w:pPr>
            <w:r>
              <w:rPr>
                <w:rFonts w:hint="eastAsia" w:ascii="Times New Roman" w:hAnsi="Times New Roman" w:eastAsia="宋体"/>
                <w:b w:val="0"/>
                <w:bCs w:val="0"/>
                <w:color w:val="auto"/>
                <w:sz w:val="24"/>
                <w:highlight w:val="none"/>
                <w:shd w:val="clear" w:color="auto" w:fill="auto"/>
                <w:lang w:val="en-US" w:eastAsia="zh-CN"/>
              </w:rPr>
              <w:t>四十五、研究和试验发展98-专业实验室、研发（试验）基地，其他（不产生实验废气、废水、危险废物的除外）</w:t>
            </w:r>
          </w:p>
        </w:tc>
      </w:tr>
      <w:tr w14:paraId="2FBFB5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9" w:type="dxa"/>
            <w:gridSpan w:val="2"/>
            <w:noWrap w:val="0"/>
            <w:tcMar>
              <w:top w:w="16" w:type="dxa"/>
              <w:left w:w="16" w:type="dxa"/>
              <w:right w:w="16" w:type="dxa"/>
            </w:tcMar>
            <w:vAlign w:val="center"/>
          </w:tcPr>
          <w:p w14:paraId="5270A52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建设性质</w:t>
            </w:r>
          </w:p>
        </w:tc>
        <w:tc>
          <w:tcPr>
            <w:tcW w:w="1937" w:type="dxa"/>
            <w:noWrap w:val="0"/>
            <w:vAlign w:val="center"/>
          </w:tcPr>
          <w:p w14:paraId="2452240A">
            <w:pPr>
              <w:pStyle w:val="19"/>
              <w:keepNext w:val="0"/>
              <w:keepLines w:val="0"/>
              <w:widowControl/>
              <w:suppressLineNumbers w:val="0"/>
              <w:spacing w:beforeAutospacing="0" w:after="0" w:afterAutospacing="0"/>
              <w:ind w:left="0" w:firstLine="0" w:firstLineChars="0"/>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lang w:eastAsia="zh-CN"/>
              </w:rPr>
              <w:t>☑</w:t>
            </w:r>
            <w:r>
              <w:rPr>
                <w:rFonts w:hint="eastAsia" w:ascii="Times New Roman" w:hAnsi="Times New Roman" w:eastAsia="宋体" w:cs="宋体"/>
                <w:color w:val="auto"/>
                <w:sz w:val="24"/>
                <w:szCs w:val="24"/>
                <w:highlight w:val="none"/>
              </w:rPr>
              <w:t>新建（迁建）</w:t>
            </w:r>
          </w:p>
          <w:p w14:paraId="1236A46A">
            <w:pPr>
              <w:pStyle w:val="19"/>
              <w:keepNext w:val="0"/>
              <w:keepLines w:val="0"/>
              <w:widowControl/>
              <w:suppressLineNumbers w:val="0"/>
              <w:spacing w:beforeAutospacing="0" w:after="0" w:afterAutospacing="0"/>
              <w:ind w:left="0" w:firstLine="0" w:firstLineChars="0"/>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lang w:eastAsia="zh-CN"/>
              </w:rPr>
              <w:t>□</w:t>
            </w:r>
            <w:r>
              <w:rPr>
                <w:rFonts w:hint="eastAsia" w:ascii="Times New Roman" w:hAnsi="Times New Roman" w:eastAsia="宋体" w:cs="宋体"/>
                <w:color w:val="auto"/>
                <w:sz w:val="24"/>
                <w:szCs w:val="24"/>
                <w:highlight w:val="none"/>
              </w:rPr>
              <w:t>改建</w:t>
            </w:r>
          </w:p>
          <w:p w14:paraId="63FF17FA">
            <w:pPr>
              <w:pStyle w:val="19"/>
              <w:keepNext w:val="0"/>
              <w:keepLines w:val="0"/>
              <w:widowControl/>
              <w:suppressLineNumbers w:val="0"/>
              <w:spacing w:beforeAutospacing="0" w:after="0" w:afterAutospacing="0"/>
              <w:ind w:left="0" w:firstLine="0" w:firstLineChars="0"/>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lang w:eastAsia="zh-CN"/>
              </w:rPr>
              <w:t>□</w:t>
            </w:r>
            <w:r>
              <w:rPr>
                <w:rFonts w:hint="eastAsia" w:ascii="Times New Roman" w:hAnsi="Times New Roman" w:eastAsia="宋体" w:cs="宋体"/>
                <w:color w:val="auto"/>
                <w:sz w:val="24"/>
                <w:szCs w:val="24"/>
                <w:highlight w:val="none"/>
              </w:rPr>
              <w:t>扩建</w:t>
            </w:r>
          </w:p>
          <w:p w14:paraId="32ACD06C">
            <w:pPr>
              <w:keepNext w:val="0"/>
              <w:keepLines w:val="0"/>
              <w:suppressLineNumbers w:val="0"/>
              <w:spacing w:before="0" w:beforeAutospacing="0" w:after="0" w:afterAutospacing="0"/>
              <w:ind w:left="0" w:right="0"/>
              <w:jc w:val="left"/>
              <w:rPr>
                <w:rFonts w:hint="default" w:ascii="Times New Roman" w:hAnsi="Times New Roman" w:eastAsia="宋体"/>
                <w:color w:val="auto"/>
                <w:sz w:val="24"/>
                <w:highlight w:val="none"/>
              </w:rPr>
            </w:pPr>
            <w:r>
              <w:rPr>
                <w:rFonts w:hint="eastAsia" w:ascii="Times New Roman" w:hAnsi="Times New Roman" w:eastAsia="宋体" w:cs="宋体"/>
                <w:color w:val="auto"/>
                <w:sz w:val="24"/>
                <w:highlight w:val="none"/>
                <w:lang w:eastAsia="zh-CN"/>
              </w:rPr>
              <w:t>□</w:t>
            </w:r>
            <w:r>
              <w:rPr>
                <w:rFonts w:hint="eastAsia" w:ascii="Times New Roman" w:hAnsi="Times New Roman" w:eastAsia="宋体" w:cs="宋体"/>
                <w:color w:val="auto"/>
                <w:sz w:val="24"/>
                <w:highlight w:val="none"/>
              </w:rPr>
              <w:t>技术改造</w:t>
            </w:r>
          </w:p>
        </w:tc>
        <w:tc>
          <w:tcPr>
            <w:tcW w:w="1854" w:type="dxa"/>
            <w:noWrap w:val="0"/>
            <w:vAlign w:val="center"/>
          </w:tcPr>
          <w:p w14:paraId="160AF90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rPr>
            </w:pPr>
            <w:r>
              <w:rPr>
                <w:rFonts w:hint="default" w:ascii="Times New Roman" w:hAnsi="Times New Roman" w:eastAsia="宋体"/>
                <w:color w:val="auto"/>
                <w:sz w:val="24"/>
              </w:rPr>
              <w:t>建设项目</w:t>
            </w:r>
          </w:p>
          <w:p w14:paraId="465DBD0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rPr>
            </w:pPr>
            <w:r>
              <w:rPr>
                <w:rFonts w:hint="default" w:ascii="Times New Roman" w:hAnsi="Times New Roman" w:eastAsia="宋体"/>
                <w:color w:val="auto"/>
                <w:sz w:val="24"/>
              </w:rPr>
              <w:t>申报情形</w:t>
            </w:r>
          </w:p>
        </w:tc>
        <w:tc>
          <w:tcPr>
            <w:tcW w:w="4463" w:type="dxa"/>
            <w:noWrap w:val="0"/>
            <w:vAlign w:val="center"/>
          </w:tcPr>
          <w:p w14:paraId="23C57A5C">
            <w:pPr>
              <w:pStyle w:val="19"/>
              <w:keepNext w:val="0"/>
              <w:keepLines w:val="0"/>
              <w:widowControl/>
              <w:suppressLineNumbers w:val="0"/>
              <w:spacing w:beforeAutospacing="0" w:after="0" w:afterAutospacing="0"/>
              <w:ind w:left="0" w:firstLine="0" w:firstLineChars="0"/>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lang w:eastAsia="zh-CN"/>
              </w:rPr>
              <w:t>☑</w:t>
            </w:r>
            <w:r>
              <w:rPr>
                <w:rFonts w:hint="eastAsia" w:ascii="Times New Roman" w:hAnsi="Times New Roman" w:eastAsia="宋体" w:cs="宋体"/>
                <w:color w:val="auto"/>
                <w:sz w:val="24"/>
                <w:szCs w:val="24"/>
              </w:rPr>
              <w:t>首次申报项目</w:t>
            </w:r>
          </w:p>
          <w:p w14:paraId="6975A89D">
            <w:pPr>
              <w:pStyle w:val="19"/>
              <w:keepNext w:val="0"/>
              <w:keepLines w:val="0"/>
              <w:widowControl/>
              <w:suppressLineNumbers w:val="0"/>
              <w:spacing w:beforeAutospacing="0" w:after="0" w:afterAutospacing="0"/>
              <w:ind w:left="0" w:firstLine="0" w:firstLineChars="0"/>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□不予批准后再次申报项目</w:t>
            </w:r>
          </w:p>
          <w:p w14:paraId="717B3447">
            <w:pPr>
              <w:pStyle w:val="19"/>
              <w:keepNext w:val="0"/>
              <w:keepLines w:val="0"/>
              <w:widowControl/>
              <w:suppressLineNumbers w:val="0"/>
              <w:spacing w:beforeAutospacing="0" w:after="0" w:afterAutospacing="0"/>
              <w:ind w:left="0" w:firstLine="0" w:firstLineChars="0"/>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rPr>
              <w:t>□超五年重新审核项目</w:t>
            </w:r>
            <w:r>
              <w:rPr>
                <w:rFonts w:hint="eastAsia" w:ascii="Times New Roman" w:hAnsi="Times New Roman" w:eastAsia="宋体" w:cs="宋体"/>
                <w:color w:val="auto"/>
                <w:sz w:val="24"/>
                <w:szCs w:val="24"/>
                <w:lang w:val="en-US" w:eastAsia="zh-CN"/>
              </w:rPr>
              <w:t xml:space="preserve"> </w:t>
            </w:r>
          </w:p>
          <w:p w14:paraId="2274FAA4">
            <w:pPr>
              <w:keepNext w:val="0"/>
              <w:keepLines w:val="0"/>
              <w:suppressLineNumbers w:val="0"/>
              <w:spacing w:before="0" w:beforeAutospacing="0" w:after="0" w:afterAutospacing="0"/>
              <w:ind w:left="0" w:right="0"/>
              <w:jc w:val="left"/>
              <w:rPr>
                <w:rFonts w:hint="default" w:ascii="Times New Roman" w:hAnsi="Times New Roman" w:eastAsia="宋体"/>
                <w:color w:val="auto"/>
                <w:sz w:val="24"/>
              </w:rPr>
            </w:pPr>
            <w:r>
              <w:rPr>
                <w:rFonts w:hint="eastAsia" w:ascii="Times New Roman" w:hAnsi="Times New Roman" w:eastAsia="宋体" w:cs="宋体"/>
                <w:color w:val="auto"/>
                <w:sz w:val="24"/>
              </w:rPr>
              <w:t>□重大变动重新报批项目</w:t>
            </w:r>
          </w:p>
        </w:tc>
      </w:tr>
      <w:tr w14:paraId="710412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9" w:type="dxa"/>
            <w:gridSpan w:val="2"/>
            <w:noWrap w:val="0"/>
            <w:tcMar>
              <w:top w:w="16" w:type="dxa"/>
              <w:left w:w="16" w:type="dxa"/>
              <w:right w:w="16" w:type="dxa"/>
            </w:tcMar>
            <w:vAlign w:val="center"/>
          </w:tcPr>
          <w:p w14:paraId="6C176E3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yellow"/>
              </w:rPr>
            </w:pPr>
            <w:r>
              <w:rPr>
                <w:rFonts w:hint="default" w:ascii="Times New Roman" w:hAnsi="Times New Roman" w:eastAsia="宋体"/>
                <w:color w:val="auto"/>
                <w:sz w:val="24"/>
                <w:highlight w:val="yellow"/>
              </w:rPr>
              <w:t>项目审批（核准/备案）部门（选填）</w:t>
            </w:r>
          </w:p>
        </w:tc>
        <w:tc>
          <w:tcPr>
            <w:tcW w:w="1937" w:type="dxa"/>
            <w:noWrap w:val="0"/>
            <w:vAlign w:val="center"/>
          </w:tcPr>
          <w:p w14:paraId="70AB9B9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yellow"/>
                <w:lang w:val="en-US" w:eastAsia="zh-CN"/>
              </w:rPr>
            </w:pPr>
          </w:p>
        </w:tc>
        <w:tc>
          <w:tcPr>
            <w:tcW w:w="1854" w:type="dxa"/>
            <w:noWrap w:val="0"/>
            <w:vAlign w:val="center"/>
          </w:tcPr>
          <w:p w14:paraId="67B09D0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yellow"/>
              </w:rPr>
            </w:pPr>
            <w:r>
              <w:rPr>
                <w:rFonts w:hint="default" w:ascii="Times New Roman" w:hAnsi="Times New Roman" w:eastAsia="宋体"/>
                <w:color w:val="auto"/>
                <w:sz w:val="24"/>
                <w:highlight w:val="yellow"/>
              </w:rPr>
              <w:t>项目审批（核准/</w:t>
            </w:r>
          </w:p>
          <w:p w14:paraId="394EDFB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yellow"/>
              </w:rPr>
            </w:pPr>
            <w:r>
              <w:rPr>
                <w:rFonts w:hint="default" w:ascii="Times New Roman" w:hAnsi="Times New Roman" w:eastAsia="宋体"/>
                <w:color w:val="auto"/>
                <w:sz w:val="24"/>
                <w:highlight w:val="yellow"/>
              </w:rPr>
              <w:t>备案）文号（选填）</w:t>
            </w:r>
          </w:p>
        </w:tc>
        <w:tc>
          <w:tcPr>
            <w:tcW w:w="4463" w:type="dxa"/>
            <w:noWrap w:val="0"/>
            <w:vAlign w:val="center"/>
          </w:tcPr>
          <w:p w14:paraId="23EBD28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yellow"/>
                <w:lang w:val="en-US" w:eastAsia="zh-CN"/>
              </w:rPr>
            </w:pPr>
          </w:p>
        </w:tc>
      </w:tr>
      <w:tr w14:paraId="28C41E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9" w:type="dxa"/>
            <w:gridSpan w:val="2"/>
            <w:noWrap w:val="0"/>
            <w:tcMar>
              <w:top w:w="16" w:type="dxa"/>
              <w:left w:w="16" w:type="dxa"/>
              <w:right w:w="16" w:type="dxa"/>
            </w:tcMar>
            <w:vAlign w:val="center"/>
          </w:tcPr>
          <w:p w14:paraId="6F3E984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总投资（万元）</w:t>
            </w:r>
          </w:p>
        </w:tc>
        <w:tc>
          <w:tcPr>
            <w:tcW w:w="1937" w:type="dxa"/>
            <w:noWrap w:val="0"/>
            <w:vAlign w:val="center"/>
          </w:tcPr>
          <w:p w14:paraId="5B9623F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2000</w:t>
            </w:r>
          </w:p>
        </w:tc>
        <w:tc>
          <w:tcPr>
            <w:tcW w:w="1854" w:type="dxa"/>
            <w:noWrap w:val="0"/>
            <w:tcMar>
              <w:top w:w="16" w:type="dxa"/>
              <w:left w:w="16" w:type="dxa"/>
              <w:right w:w="16" w:type="dxa"/>
            </w:tcMar>
            <w:vAlign w:val="center"/>
          </w:tcPr>
          <w:p w14:paraId="3F334FA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环保投资（万元）</w:t>
            </w:r>
          </w:p>
        </w:tc>
        <w:tc>
          <w:tcPr>
            <w:tcW w:w="4463" w:type="dxa"/>
            <w:noWrap w:val="0"/>
            <w:vAlign w:val="center"/>
          </w:tcPr>
          <w:p w14:paraId="4138B1C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lang w:val="en-US" w:eastAsia="zh-CN"/>
              </w:rPr>
            </w:pPr>
            <w:r>
              <w:rPr>
                <w:rFonts w:hint="eastAsia"/>
                <w:color w:val="auto"/>
                <w:sz w:val="24"/>
                <w:highlight w:val="none"/>
                <w:lang w:val="en-US" w:eastAsia="zh-CN"/>
              </w:rPr>
              <w:t>20</w:t>
            </w:r>
          </w:p>
        </w:tc>
      </w:tr>
      <w:tr w14:paraId="1BE6A7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9" w:type="dxa"/>
            <w:gridSpan w:val="2"/>
            <w:noWrap w:val="0"/>
            <w:tcMar>
              <w:top w:w="16" w:type="dxa"/>
              <w:left w:w="16" w:type="dxa"/>
              <w:right w:w="16" w:type="dxa"/>
            </w:tcMar>
            <w:vAlign w:val="center"/>
          </w:tcPr>
          <w:p w14:paraId="4AD5062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环保投资占比（%）</w:t>
            </w:r>
          </w:p>
        </w:tc>
        <w:tc>
          <w:tcPr>
            <w:tcW w:w="1937" w:type="dxa"/>
            <w:noWrap w:val="0"/>
            <w:vAlign w:val="center"/>
          </w:tcPr>
          <w:p w14:paraId="7EA98FF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lang w:val="en-US" w:eastAsia="zh-CN"/>
              </w:rPr>
            </w:pPr>
            <w:r>
              <w:rPr>
                <w:rFonts w:hint="eastAsia"/>
                <w:color w:val="auto"/>
                <w:sz w:val="24"/>
                <w:highlight w:val="none"/>
                <w:lang w:val="en-US" w:eastAsia="zh-CN"/>
              </w:rPr>
              <w:t>1%</w:t>
            </w:r>
          </w:p>
        </w:tc>
        <w:tc>
          <w:tcPr>
            <w:tcW w:w="1854" w:type="dxa"/>
            <w:noWrap w:val="0"/>
            <w:tcMar>
              <w:top w:w="16" w:type="dxa"/>
              <w:left w:w="16" w:type="dxa"/>
              <w:right w:w="16" w:type="dxa"/>
            </w:tcMar>
            <w:vAlign w:val="center"/>
          </w:tcPr>
          <w:p w14:paraId="00CB655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施工工期</w:t>
            </w:r>
          </w:p>
        </w:tc>
        <w:tc>
          <w:tcPr>
            <w:tcW w:w="4463" w:type="dxa"/>
            <w:noWrap w:val="0"/>
            <w:vAlign w:val="center"/>
          </w:tcPr>
          <w:p w14:paraId="664DF73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3个月</w:t>
            </w:r>
          </w:p>
        </w:tc>
      </w:tr>
      <w:tr w14:paraId="0C4EEB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9" w:type="dxa"/>
            <w:gridSpan w:val="2"/>
            <w:noWrap w:val="0"/>
            <w:tcMar>
              <w:top w:w="16" w:type="dxa"/>
              <w:left w:w="16" w:type="dxa"/>
              <w:right w:w="16" w:type="dxa"/>
            </w:tcMar>
            <w:vAlign w:val="center"/>
          </w:tcPr>
          <w:p w14:paraId="0F43CC9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rPr>
            </w:pPr>
            <w:r>
              <w:rPr>
                <w:rFonts w:hint="default" w:ascii="Times New Roman" w:hAnsi="Times New Roman" w:eastAsia="宋体"/>
                <w:color w:val="auto"/>
                <w:sz w:val="24"/>
              </w:rPr>
              <w:t>是否开工建设</w:t>
            </w:r>
          </w:p>
        </w:tc>
        <w:tc>
          <w:tcPr>
            <w:tcW w:w="1937" w:type="dxa"/>
            <w:noWrap w:val="0"/>
            <w:vAlign w:val="center"/>
          </w:tcPr>
          <w:p w14:paraId="2A90C59C">
            <w:pPr>
              <w:pStyle w:val="19"/>
              <w:keepNext w:val="0"/>
              <w:keepLines w:val="0"/>
              <w:widowControl/>
              <w:suppressLineNumbers w:val="0"/>
              <w:spacing w:beforeAutospacing="0" w:after="0" w:afterAutospacing="0"/>
              <w:ind w:left="0" w:firstLine="0" w:firstLineChars="0"/>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☑否</w:t>
            </w:r>
          </w:p>
          <w:p w14:paraId="5F7C6B49">
            <w:pPr>
              <w:keepNext w:val="0"/>
              <w:keepLines w:val="0"/>
              <w:suppressLineNumbers w:val="0"/>
              <w:adjustRightInd w:val="0"/>
              <w:snapToGrid w:val="0"/>
              <w:spacing w:before="0" w:beforeAutospacing="0" w:after="0" w:afterAutospacing="0"/>
              <w:ind w:left="0" w:right="0"/>
              <w:rPr>
                <w:rFonts w:hint="default" w:ascii="Times New Roman" w:hAnsi="Times New Roman" w:eastAsia="宋体"/>
                <w:color w:val="auto"/>
                <w:sz w:val="24"/>
              </w:rPr>
            </w:pPr>
            <w:r>
              <w:rPr>
                <w:rFonts w:hint="eastAsia" w:ascii="Times New Roman" w:hAnsi="Times New Roman" w:eastAsia="宋体" w:cs="宋体"/>
                <w:color w:val="auto"/>
                <w:sz w:val="24"/>
              </w:rPr>
              <w:t>□是</w:t>
            </w:r>
            <w:r>
              <w:rPr>
                <w:rFonts w:hint="default" w:ascii="Times New Roman" w:hAnsi="Times New Roman" w:eastAsia="宋体"/>
                <w:color w:val="auto"/>
                <w:sz w:val="24"/>
              </w:rPr>
              <w:t>：</w:t>
            </w:r>
            <w:r>
              <w:rPr>
                <w:rFonts w:hint="default" w:ascii="Times New Roman" w:hAnsi="Times New Roman" w:eastAsia="宋体"/>
                <w:color w:val="auto"/>
                <w:sz w:val="24"/>
                <w:u w:val="single"/>
              </w:rPr>
              <w:t xml:space="preserve">             </w:t>
            </w:r>
          </w:p>
        </w:tc>
        <w:tc>
          <w:tcPr>
            <w:tcW w:w="1854" w:type="dxa"/>
            <w:noWrap w:val="0"/>
            <w:tcMar>
              <w:top w:w="16" w:type="dxa"/>
              <w:left w:w="16" w:type="dxa"/>
              <w:right w:w="16" w:type="dxa"/>
            </w:tcMar>
            <w:vAlign w:val="center"/>
          </w:tcPr>
          <w:p w14:paraId="3F9D02E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pacing w:val="-6"/>
                <w:sz w:val="24"/>
                <w:highlight w:val="none"/>
              </w:rPr>
            </w:pPr>
            <w:r>
              <w:rPr>
                <w:rFonts w:hint="default" w:ascii="Times New Roman" w:hAnsi="Times New Roman" w:eastAsia="宋体"/>
                <w:color w:val="auto"/>
                <w:spacing w:val="-6"/>
                <w:sz w:val="24"/>
                <w:highlight w:val="none"/>
              </w:rPr>
              <w:t>用地（用海）</w:t>
            </w:r>
          </w:p>
          <w:p w14:paraId="7DC88D5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rPr>
            </w:pPr>
            <w:r>
              <w:rPr>
                <w:rFonts w:hint="default" w:ascii="Times New Roman" w:hAnsi="Times New Roman" w:eastAsia="宋体"/>
                <w:color w:val="auto"/>
                <w:spacing w:val="-6"/>
                <w:sz w:val="24"/>
                <w:highlight w:val="none"/>
              </w:rPr>
              <w:t>面积（m</w:t>
            </w:r>
            <w:r>
              <w:rPr>
                <w:rFonts w:hint="default" w:ascii="Times New Roman" w:hAnsi="Times New Roman" w:eastAsia="宋体"/>
                <w:color w:val="auto"/>
                <w:spacing w:val="-6"/>
                <w:sz w:val="24"/>
                <w:highlight w:val="none"/>
                <w:vertAlign w:val="superscript"/>
              </w:rPr>
              <w:t>2</w:t>
            </w:r>
            <w:r>
              <w:rPr>
                <w:rFonts w:hint="default" w:ascii="Times New Roman" w:hAnsi="Times New Roman" w:eastAsia="宋体"/>
                <w:color w:val="auto"/>
                <w:spacing w:val="-6"/>
                <w:sz w:val="24"/>
                <w:highlight w:val="none"/>
              </w:rPr>
              <w:t>）</w:t>
            </w:r>
          </w:p>
        </w:tc>
        <w:tc>
          <w:tcPr>
            <w:tcW w:w="4463" w:type="dxa"/>
            <w:noWrap w:val="0"/>
            <w:vAlign w:val="center"/>
          </w:tcPr>
          <w:p w14:paraId="1FFCB4F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2090.67</w:t>
            </w:r>
          </w:p>
        </w:tc>
      </w:tr>
      <w:tr w14:paraId="6CEECD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29" w:type="dxa"/>
            <w:gridSpan w:val="2"/>
            <w:noWrap w:val="0"/>
            <w:vAlign w:val="center"/>
          </w:tcPr>
          <w:p w14:paraId="30C6A45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kern w:val="0"/>
                <w:sz w:val="24"/>
              </w:rPr>
            </w:pPr>
            <w:r>
              <w:rPr>
                <w:rFonts w:hint="default" w:ascii="Times New Roman" w:hAnsi="Times New Roman" w:eastAsia="宋体"/>
                <w:color w:val="auto"/>
                <w:kern w:val="0"/>
                <w:sz w:val="24"/>
              </w:rPr>
              <w:t>专项评价设置情况</w:t>
            </w:r>
          </w:p>
        </w:tc>
        <w:tc>
          <w:tcPr>
            <w:tcW w:w="8254" w:type="dxa"/>
            <w:gridSpan w:val="3"/>
            <w:noWrap w:val="0"/>
            <w:vAlign w:val="center"/>
          </w:tcPr>
          <w:p w14:paraId="5F5B0090">
            <w:pPr>
              <w:keepNext w:val="0"/>
              <w:keepLines w:val="0"/>
              <w:pageBreakBefore w:val="0"/>
              <w:widowControl/>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textAlignment w:val="auto"/>
              <w:rPr>
                <w:rFonts w:hint="default" w:ascii="Times New Roman" w:hAnsi="Times New Roman" w:eastAsia="宋体"/>
                <w:color w:val="auto"/>
                <w:kern w:val="0"/>
                <w:sz w:val="24"/>
                <w:highlight w:val="none"/>
              </w:rPr>
            </w:pPr>
            <w:r>
              <w:rPr>
                <w:rFonts w:hint="default" w:ascii="Times New Roman" w:hAnsi="Times New Roman" w:eastAsia="宋体" w:cs="Times New Roman"/>
                <w:color w:val="auto"/>
                <w:kern w:val="0"/>
                <w:sz w:val="24"/>
                <w:highlight w:val="none"/>
              </w:rPr>
              <w:t>本项目与《建设项目环境影响报告表编制技术指南》（污染影响类）表1专项评价设置原则表对照情况见下表。</w:t>
            </w:r>
          </w:p>
          <w:p w14:paraId="384312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olor w:val="auto"/>
                <w:kern w:val="0"/>
                <w:sz w:val="24"/>
                <w:highlight w:val="none"/>
              </w:rPr>
            </w:pPr>
            <w:r>
              <w:rPr>
                <w:rFonts w:hint="default" w:ascii="Times New Roman" w:hAnsi="Times New Roman" w:eastAsia="宋体"/>
                <w:b/>
                <w:bCs/>
                <w:color w:val="auto"/>
                <w:kern w:val="0"/>
                <w:sz w:val="24"/>
                <w:highlight w:val="none"/>
              </w:rPr>
              <w:t>表1-1</w:t>
            </w:r>
            <w:r>
              <w:rPr>
                <w:rFonts w:hint="eastAsia" w:ascii="Times New Roman" w:hAnsi="Times New Roman" w:eastAsia="宋体"/>
                <w:b/>
                <w:bCs/>
                <w:color w:val="auto"/>
                <w:kern w:val="0"/>
                <w:sz w:val="24"/>
                <w:highlight w:val="none"/>
                <w:lang w:val="en-US" w:eastAsia="zh-CN"/>
              </w:rPr>
              <w:t xml:space="preserve">  </w:t>
            </w:r>
            <w:r>
              <w:rPr>
                <w:rFonts w:hint="default" w:ascii="Times New Roman" w:hAnsi="Times New Roman" w:eastAsia="宋体"/>
                <w:b/>
                <w:bCs/>
                <w:color w:val="auto"/>
                <w:kern w:val="0"/>
                <w:sz w:val="24"/>
                <w:highlight w:val="none"/>
                <w:lang w:bidi="ar"/>
              </w:rPr>
              <w:t>专项评价设置原则表</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25"/>
              <w:gridCol w:w="3915"/>
              <w:gridCol w:w="2698"/>
            </w:tblGrid>
            <w:tr w14:paraId="5CF7DB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28" w:type="dxa"/>
                  <w:noWrap w:val="0"/>
                  <w:vAlign w:val="center"/>
                </w:tcPr>
                <w:p w14:paraId="652C6EA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bCs/>
                      <w:color w:val="auto"/>
                      <w:sz w:val="21"/>
                      <w:szCs w:val="21"/>
                      <w:highlight w:val="none"/>
                    </w:rPr>
                    <w:t>专项评价的类别</w:t>
                  </w:r>
                </w:p>
              </w:tc>
              <w:tc>
                <w:tcPr>
                  <w:tcW w:w="3373" w:type="dxa"/>
                  <w:noWrap w:val="0"/>
                  <w:tcMar>
                    <w:top w:w="0" w:type="dxa"/>
                    <w:left w:w="0" w:type="dxa"/>
                    <w:bottom w:w="0" w:type="dxa"/>
                    <w:right w:w="0" w:type="dxa"/>
                  </w:tcMar>
                  <w:vAlign w:val="center"/>
                </w:tcPr>
                <w:p w14:paraId="1C461A6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bCs/>
                      <w:color w:val="auto"/>
                      <w:sz w:val="21"/>
                      <w:szCs w:val="21"/>
                      <w:highlight w:val="none"/>
                    </w:rPr>
                    <w:t>涉及项目类别</w:t>
                  </w:r>
                </w:p>
              </w:tc>
              <w:tc>
                <w:tcPr>
                  <w:tcW w:w="2324" w:type="dxa"/>
                  <w:noWrap w:val="0"/>
                  <w:vAlign w:val="center"/>
                </w:tcPr>
                <w:p w14:paraId="2D92456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bCs/>
                      <w:color w:val="auto"/>
                      <w:sz w:val="21"/>
                      <w:szCs w:val="21"/>
                      <w:highlight w:val="none"/>
                    </w:rPr>
                    <w:t>专项设置情况</w:t>
                  </w:r>
                </w:p>
              </w:tc>
            </w:tr>
            <w:tr w14:paraId="1EC359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28" w:type="dxa"/>
                  <w:noWrap w:val="0"/>
                  <w:vAlign w:val="center"/>
                </w:tcPr>
                <w:p w14:paraId="42EFDF3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w:t>
                  </w:r>
                </w:p>
              </w:tc>
              <w:tc>
                <w:tcPr>
                  <w:tcW w:w="3373" w:type="dxa"/>
                  <w:noWrap w:val="0"/>
                  <w:tcMar>
                    <w:top w:w="0" w:type="dxa"/>
                    <w:left w:w="0" w:type="dxa"/>
                    <w:bottom w:w="0" w:type="dxa"/>
                    <w:right w:w="0" w:type="dxa"/>
                  </w:tcMar>
                  <w:vAlign w:val="center"/>
                </w:tcPr>
                <w:p w14:paraId="342ADEFB">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排放废气含有毒有害污染物、二噁英、苯并[</w:t>
                  </w:r>
                  <w:r>
                    <w:rPr>
                      <w:rFonts w:hint="default" w:ascii="Times New Roman" w:hAnsi="Times New Roman" w:eastAsia="宋体" w:cs="Times New Roman"/>
                      <w:i/>
                      <w:iCs/>
                      <w:color w:val="auto"/>
                      <w:kern w:val="0"/>
                      <w:sz w:val="21"/>
                      <w:szCs w:val="21"/>
                      <w:highlight w:val="none"/>
                      <w:lang w:bidi="ar"/>
                    </w:rPr>
                    <w:t>a</w:t>
                  </w:r>
                  <w:r>
                    <w:rPr>
                      <w:rFonts w:hint="default" w:ascii="Times New Roman" w:hAnsi="Times New Roman" w:eastAsia="宋体" w:cs="Times New Roman"/>
                      <w:color w:val="auto"/>
                      <w:kern w:val="0"/>
                      <w:sz w:val="21"/>
                      <w:szCs w:val="21"/>
                      <w:highlight w:val="none"/>
                      <w:lang w:bidi="ar"/>
                    </w:rPr>
                    <w:t>]芘、氰化物、氯气且厂界外500米范围内有环境空气保护目标的建设项目</w:t>
                  </w:r>
                </w:p>
              </w:tc>
              <w:tc>
                <w:tcPr>
                  <w:tcW w:w="2324" w:type="dxa"/>
                  <w:noWrap w:val="0"/>
                  <w:vAlign w:val="center"/>
                </w:tcPr>
                <w:p w14:paraId="47F1574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eastAsia="zh-CN" w:bidi="ar"/>
                    </w:rPr>
                    <w:t>本项目废气</w:t>
                  </w:r>
                  <w:r>
                    <w:rPr>
                      <w:rFonts w:hint="eastAsia" w:ascii="Times New Roman" w:hAnsi="Times New Roman" w:eastAsia="宋体" w:cs="Times New Roman"/>
                      <w:color w:val="auto"/>
                      <w:kern w:val="0"/>
                      <w:sz w:val="21"/>
                      <w:szCs w:val="21"/>
                      <w:highlight w:val="none"/>
                      <w:lang w:val="en-US" w:eastAsia="zh-CN" w:bidi="ar"/>
                    </w:rPr>
                    <w:t>排放不涉及有毒有害物质、二噁英、苯并芘、氰化物、氯气</w:t>
                  </w:r>
                  <w:r>
                    <w:rPr>
                      <w:rFonts w:hint="eastAsia" w:ascii="Times New Roman" w:hAnsi="Times New Roman" w:eastAsia="宋体" w:cs="Times New Roman"/>
                      <w:color w:val="auto"/>
                      <w:kern w:val="0"/>
                      <w:sz w:val="21"/>
                      <w:szCs w:val="21"/>
                      <w:highlight w:val="none"/>
                      <w:lang w:eastAsia="zh-CN" w:bidi="ar"/>
                    </w:rPr>
                    <w:t>，</w:t>
                  </w:r>
                  <w:r>
                    <w:rPr>
                      <w:rFonts w:hint="default" w:ascii="Times New Roman" w:hAnsi="Times New Roman" w:eastAsia="宋体" w:cs="Times New Roman"/>
                      <w:color w:val="auto"/>
                      <w:kern w:val="0"/>
                      <w:sz w:val="21"/>
                      <w:szCs w:val="21"/>
                      <w:highlight w:val="none"/>
                      <w:lang w:bidi="ar"/>
                    </w:rPr>
                    <w:t>厂界外500米范围内</w:t>
                  </w:r>
                  <w:r>
                    <w:rPr>
                      <w:rFonts w:hint="eastAsia" w:ascii="Times New Roman" w:hAnsi="Times New Roman" w:eastAsia="宋体" w:cs="Times New Roman"/>
                      <w:color w:val="auto"/>
                      <w:kern w:val="0"/>
                      <w:sz w:val="21"/>
                      <w:szCs w:val="21"/>
                      <w:highlight w:val="none"/>
                      <w:lang w:eastAsia="zh-CN" w:bidi="ar"/>
                    </w:rPr>
                    <w:t>无</w:t>
                  </w:r>
                  <w:r>
                    <w:rPr>
                      <w:rFonts w:hint="default" w:ascii="Times New Roman" w:hAnsi="Times New Roman" w:eastAsia="宋体" w:cs="Times New Roman"/>
                      <w:color w:val="auto"/>
                      <w:kern w:val="0"/>
                      <w:sz w:val="21"/>
                      <w:szCs w:val="21"/>
                      <w:highlight w:val="none"/>
                      <w:lang w:bidi="ar"/>
                    </w:rPr>
                    <w:t>环境空气保护目标</w:t>
                  </w:r>
                  <w:r>
                    <w:rPr>
                      <w:rFonts w:hint="eastAsia" w:ascii="Times New Roman" w:hAnsi="Times New Roman" w:eastAsia="宋体" w:cs="Times New Roman"/>
                      <w:color w:val="auto"/>
                      <w:kern w:val="0"/>
                      <w:sz w:val="21"/>
                      <w:szCs w:val="21"/>
                      <w:highlight w:val="none"/>
                      <w:lang w:eastAsia="zh-CN" w:bidi="ar"/>
                    </w:rPr>
                    <w:t>，</w:t>
                  </w:r>
                  <w:r>
                    <w:rPr>
                      <w:rFonts w:hint="eastAsia" w:ascii="Times New Roman" w:hAnsi="Times New Roman" w:eastAsia="宋体" w:cs="Times New Roman"/>
                      <w:color w:val="auto"/>
                      <w:kern w:val="0"/>
                      <w:sz w:val="21"/>
                      <w:szCs w:val="21"/>
                      <w:highlight w:val="none"/>
                      <w:lang w:val="en-US" w:eastAsia="zh-CN" w:bidi="ar"/>
                    </w:rPr>
                    <w:t>因此无需设置专项评价</w:t>
                  </w:r>
                </w:p>
              </w:tc>
            </w:tr>
            <w:tr w14:paraId="13F6CB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28" w:type="dxa"/>
                  <w:noWrap w:val="0"/>
                  <w:vAlign w:val="center"/>
                </w:tcPr>
                <w:p w14:paraId="50D4BCE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地表水</w:t>
                  </w:r>
                </w:p>
              </w:tc>
              <w:tc>
                <w:tcPr>
                  <w:tcW w:w="3373" w:type="dxa"/>
                  <w:noWrap w:val="0"/>
                  <w:tcMar>
                    <w:top w:w="0" w:type="dxa"/>
                    <w:left w:w="0" w:type="dxa"/>
                    <w:bottom w:w="0" w:type="dxa"/>
                    <w:right w:w="0" w:type="dxa"/>
                  </w:tcMar>
                  <w:vAlign w:val="center"/>
                </w:tcPr>
                <w:p w14:paraId="3E48F4E3">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bidi="ar"/>
                    </w:rPr>
                    <w:t>新增工业废水直排建设项目（槽罐车外送污水处理厂的除外）；新增废水直排的污水集中处理厂</w:t>
                  </w:r>
                </w:p>
              </w:tc>
              <w:tc>
                <w:tcPr>
                  <w:tcW w:w="2324" w:type="dxa"/>
                  <w:noWrap w:val="0"/>
                  <w:vAlign w:val="center"/>
                </w:tcPr>
                <w:p w14:paraId="4C6B5F2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olor w:val="auto"/>
                      <w:szCs w:val="18"/>
                      <w:highlight w:val="none"/>
                    </w:rPr>
                    <w:t>本项目</w:t>
                  </w:r>
                  <w:r>
                    <w:rPr>
                      <w:rFonts w:hint="default" w:ascii="Times New Roman" w:hAnsi="Times New Roman" w:eastAsia="宋体"/>
                      <w:color w:val="auto"/>
                      <w:szCs w:val="18"/>
                      <w:highlight w:val="none"/>
                    </w:rPr>
                    <w:t>无</w:t>
                  </w:r>
                  <w:r>
                    <w:rPr>
                      <w:rFonts w:hint="eastAsia" w:ascii="Times New Roman" w:hAnsi="Times New Roman" w:eastAsia="宋体"/>
                      <w:color w:val="auto"/>
                      <w:szCs w:val="18"/>
                      <w:highlight w:val="none"/>
                    </w:rPr>
                    <w:t>工业废水直排</w:t>
                  </w:r>
                </w:p>
              </w:tc>
            </w:tr>
            <w:tr w14:paraId="3AFBFB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28" w:type="dxa"/>
                  <w:noWrap w:val="0"/>
                  <w:vAlign w:val="center"/>
                </w:tcPr>
                <w:p w14:paraId="7E73922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环境风险</w:t>
                  </w:r>
                </w:p>
              </w:tc>
              <w:tc>
                <w:tcPr>
                  <w:tcW w:w="3373" w:type="dxa"/>
                  <w:noWrap w:val="0"/>
                  <w:tcMar>
                    <w:top w:w="0" w:type="dxa"/>
                    <w:left w:w="0" w:type="dxa"/>
                    <w:bottom w:w="0" w:type="dxa"/>
                    <w:right w:w="0" w:type="dxa"/>
                  </w:tcMar>
                  <w:vAlign w:val="center"/>
                </w:tcPr>
                <w:p w14:paraId="5ECECCAA">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bidi="ar"/>
                    </w:rPr>
                    <w:t>有毒有害和易燃易爆危险物质存储量超过临界量的建设项目</w:t>
                  </w:r>
                </w:p>
              </w:tc>
              <w:tc>
                <w:tcPr>
                  <w:tcW w:w="2324" w:type="dxa"/>
                  <w:noWrap w:val="0"/>
                  <w:vAlign w:val="center"/>
                </w:tcPr>
                <w:p w14:paraId="4B790E4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olor w:val="auto"/>
                      <w:szCs w:val="18"/>
                      <w:highlight w:val="none"/>
                    </w:rPr>
                    <w:t>本项目有毒有害</w:t>
                  </w:r>
                  <w:r>
                    <w:rPr>
                      <w:rFonts w:hint="default" w:ascii="Times New Roman" w:hAnsi="Times New Roman" w:eastAsia="宋体"/>
                      <w:color w:val="auto"/>
                      <w:szCs w:val="18"/>
                      <w:highlight w:val="none"/>
                    </w:rPr>
                    <w:t>和</w:t>
                  </w:r>
                  <w:r>
                    <w:rPr>
                      <w:rFonts w:hint="eastAsia" w:ascii="Times New Roman" w:hAnsi="Times New Roman" w:eastAsia="宋体"/>
                      <w:color w:val="auto"/>
                      <w:szCs w:val="18"/>
                      <w:highlight w:val="none"/>
                    </w:rPr>
                    <w:t>易燃易爆危险物质存储量未超过临界量</w:t>
                  </w:r>
                </w:p>
              </w:tc>
            </w:tr>
            <w:tr w14:paraId="1D3602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28" w:type="dxa"/>
                  <w:noWrap w:val="0"/>
                  <w:vAlign w:val="center"/>
                </w:tcPr>
                <w:p w14:paraId="3E8CB6A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生态</w:t>
                  </w:r>
                </w:p>
              </w:tc>
              <w:tc>
                <w:tcPr>
                  <w:tcW w:w="3373" w:type="dxa"/>
                  <w:noWrap w:val="0"/>
                  <w:tcMar>
                    <w:top w:w="0" w:type="dxa"/>
                    <w:left w:w="0" w:type="dxa"/>
                    <w:bottom w:w="0" w:type="dxa"/>
                    <w:right w:w="0" w:type="dxa"/>
                  </w:tcMar>
                  <w:vAlign w:val="center"/>
                </w:tcPr>
                <w:p w14:paraId="48BA1759">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bidi="ar"/>
                    </w:rPr>
                    <w:t>取水口下游500米范围内有重要水生生物的自然产卵场、索饵场、越冬场和洄游通道的新增河道取水的污染类建设项目</w:t>
                  </w:r>
                </w:p>
              </w:tc>
              <w:tc>
                <w:tcPr>
                  <w:tcW w:w="2324" w:type="dxa"/>
                  <w:noWrap w:val="0"/>
                  <w:vAlign w:val="center"/>
                </w:tcPr>
                <w:p w14:paraId="6AC5D39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olor w:val="auto"/>
                      <w:szCs w:val="18"/>
                      <w:highlight w:val="none"/>
                    </w:rPr>
                    <w:t>本项目水源</w:t>
                  </w:r>
                  <w:r>
                    <w:rPr>
                      <w:rFonts w:hint="default" w:ascii="Times New Roman" w:hAnsi="Times New Roman" w:eastAsia="宋体"/>
                      <w:color w:val="auto"/>
                      <w:szCs w:val="18"/>
                      <w:highlight w:val="none"/>
                    </w:rPr>
                    <w:t>使用自来水</w:t>
                  </w:r>
                  <w:r>
                    <w:rPr>
                      <w:rFonts w:hint="eastAsia" w:ascii="Times New Roman" w:hAnsi="Times New Roman" w:eastAsia="宋体"/>
                      <w:color w:val="auto"/>
                      <w:szCs w:val="18"/>
                      <w:highlight w:val="none"/>
                    </w:rPr>
                    <w:t>，</w:t>
                  </w:r>
                  <w:r>
                    <w:rPr>
                      <w:rFonts w:hint="default" w:ascii="Times New Roman" w:hAnsi="Times New Roman" w:eastAsia="宋体"/>
                      <w:color w:val="auto"/>
                      <w:szCs w:val="18"/>
                      <w:highlight w:val="none"/>
                    </w:rPr>
                    <w:t>不直接从河道取水</w:t>
                  </w:r>
                </w:p>
              </w:tc>
            </w:tr>
            <w:tr w14:paraId="260508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28" w:type="dxa"/>
                  <w:noWrap w:val="0"/>
                  <w:vAlign w:val="center"/>
                </w:tcPr>
                <w:p w14:paraId="5E66E67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海洋</w:t>
                  </w:r>
                </w:p>
              </w:tc>
              <w:tc>
                <w:tcPr>
                  <w:tcW w:w="3373" w:type="dxa"/>
                  <w:noWrap w:val="0"/>
                  <w:tcMar>
                    <w:top w:w="0" w:type="dxa"/>
                    <w:left w:w="0" w:type="dxa"/>
                    <w:bottom w:w="0" w:type="dxa"/>
                    <w:right w:w="0" w:type="dxa"/>
                  </w:tcMar>
                  <w:vAlign w:val="center"/>
                </w:tcPr>
                <w:p w14:paraId="0F84A8BD">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bidi="ar"/>
                    </w:rPr>
                    <w:t>直接向海排放污染物的海洋工程建设项目</w:t>
                  </w:r>
                </w:p>
              </w:tc>
              <w:tc>
                <w:tcPr>
                  <w:tcW w:w="2324" w:type="dxa"/>
                  <w:noWrap w:val="0"/>
                  <w:vAlign w:val="center"/>
                </w:tcPr>
                <w:p w14:paraId="34F356F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olor w:val="auto"/>
                      <w:szCs w:val="18"/>
                      <w:highlight w:val="none"/>
                    </w:rPr>
                    <w:t>本项目</w:t>
                  </w:r>
                  <w:r>
                    <w:rPr>
                      <w:rFonts w:hint="default" w:ascii="Times New Roman" w:hAnsi="Times New Roman" w:eastAsia="宋体"/>
                      <w:color w:val="auto"/>
                      <w:szCs w:val="18"/>
                      <w:highlight w:val="none"/>
                    </w:rPr>
                    <w:t>不</w:t>
                  </w:r>
                  <w:r>
                    <w:rPr>
                      <w:rFonts w:hint="eastAsia" w:ascii="Times New Roman" w:hAnsi="Times New Roman" w:eastAsia="宋体"/>
                      <w:color w:val="auto"/>
                      <w:szCs w:val="18"/>
                      <w:highlight w:val="none"/>
                    </w:rPr>
                    <w:t>属于直接向海排放污染物的海洋工程建设项目</w:t>
                  </w:r>
                </w:p>
              </w:tc>
            </w:tr>
          </w:tbl>
          <w:p w14:paraId="40A016F2">
            <w:pPr>
              <w:keepNext w:val="0"/>
              <w:keepLines w:val="0"/>
              <w:pageBreakBefore w:val="0"/>
              <w:widowControl/>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textAlignment w:val="auto"/>
              <w:rPr>
                <w:rFonts w:hint="default" w:ascii="Times New Roman" w:hAnsi="Times New Roman" w:eastAsia="宋体"/>
                <w:color w:val="auto"/>
                <w:kern w:val="0"/>
                <w:sz w:val="24"/>
              </w:rPr>
            </w:pPr>
            <w:r>
              <w:rPr>
                <w:rFonts w:hint="eastAsia" w:ascii="Times New Roman" w:hAnsi="Times New Roman" w:eastAsia="宋体" w:cs="Times New Roman"/>
                <w:color w:val="auto"/>
                <w:kern w:val="0"/>
                <w:sz w:val="24"/>
                <w:highlight w:val="none"/>
              </w:rPr>
              <w:t>由上表可知，本项目无需设置大气</w:t>
            </w: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rPr>
              <w:t>地表水、环境风险、生态、海洋环境影响专项评价。</w:t>
            </w:r>
          </w:p>
        </w:tc>
      </w:tr>
      <w:tr w14:paraId="7B8CDC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76" w:hRule="atLeast"/>
          <w:jc w:val="center"/>
        </w:trPr>
        <w:tc>
          <w:tcPr>
            <w:tcW w:w="1729" w:type="dxa"/>
            <w:gridSpan w:val="2"/>
            <w:noWrap w:val="0"/>
            <w:vAlign w:val="center"/>
          </w:tcPr>
          <w:p w14:paraId="62EB0878">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olor w:val="auto"/>
                <w:kern w:val="0"/>
                <w:sz w:val="24"/>
              </w:rPr>
            </w:pPr>
            <w:r>
              <w:rPr>
                <w:rFonts w:hint="default" w:ascii="Times New Roman" w:hAnsi="Times New Roman" w:eastAsia="宋体"/>
                <w:color w:val="auto"/>
                <w:sz w:val="24"/>
              </w:rPr>
              <w:t>规划情况</w:t>
            </w:r>
          </w:p>
        </w:tc>
        <w:tc>
          <w:tcPr>
            <w:tcW w:w="8254" w:type="dxa"/>
            <w:gridSpan w:val="3"/>
            <w:noWrap w:val="0"/>
            <w:vAlign w:val="top"/>
          </w:tcPr>
          <w:p w14:paraId="7F9250C4">
            <w:pPr>
              <w:keepNext w:val="0"/>
              <w:keepLines w:val="0"/>
              <w:suppressLineNumbers w:val="0"/>
              <w:adjustRightInd w:val="0"/>
              <w:snapToGrid w:val="0"/>
              <w:spacing w:before="0" w:beforeAutospacing="0" w:after="0" w:afterAutospacing="0" w:line="360" w:lineRule="auto"/>
              <w:ind w:left="0" w:right="0"/>
              <w:jc w:val="left"/>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规划名称：《无锡（太湖）国际科技园控制性详细规划科创区—孵化区、科创区—研发区管理单元动态更新》</w:t>
            </w:r>
          </w:p>
          <w:p w14:paraId="3973C37A">
            <w:pPr>
              <w:keepNext w:val="0"/>
              <w:keepLines w:val="0"/>
              <w:suppressLineNumbers w:val="0"/>
              <w:adjustRightInd w:val="0"/>
              <w:snapToGrid w:val="0"/>
              <w:spacing w:before="0" w:beforeAutospacing="0" w:after="0" w:afterAutospacing="0" w:line="360" w:lineRule="auto"/>
              <w:ind w:left="0" w:right="0"/>
              <w:jc w:val="left"/>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审批机关：无锡市人民政府</w:t>
            </w:r>
          </w:p>
          <w:p w14:paraId="7E4735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olor w:val="auto"/>
                <w:sz w:val="24"/>
                <w:lang w:val="en-US" w:eastAsia="zh-CN"/>
              </w:rPr>
            </w:pPr>
            <w:r>
              <w:rPr>
                <w:rFonts w:hint="eastAsia" w:ascii="Times New Roman" w:hAnsi="Times New Roman" w:eastAsia="宋体"/>
                <w:color w:val="auto"/>
                <w:sz w:val="24"/>
                <w:highlight w:val="none"/>
                <w:lang w:val="en-US" w:eastAsia="zh-CN"/>
              </w:rPr>
              <w:t>公布时间：2023年9月8日</w:t>
            </w:r>
          </w:p>
        </w:tc>
      </w:tr>
      <w:tr w14:paraId="215DA1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20" w:hRule="atLeast"/>
          <w:jc w:val="center"/>
        </w:trPr>
        <w:tc>
          <w:tcPr>
            <w:tcW w:w="1729" w:type="dxa"/>
            <w:gridSpan w:val="2"/>
            <w:noWrap w:val="0"/>
            <w:vAlign w:val="center"/>
          </w:tcPr>
          <w:p w14:paraId="5BC0B8D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rPr>
            </w:pPr>
            <w:r>
              <w:rPr>
                <w:rFonts w:hint="default" w:ascii="Times New Roman" w:hAnsi="Times New Roman" w:eastAsia="宋体"/>
                <w:color w:val="auto"/>
                <w:sz w:val="24"/>
              </w:rPr>
              <w:t>规划环境影响</w:t>
            </w:r>
          </w:p>
          <w:p w14:paraId="6679094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kern w:val="0"/>
                <w:sz w:val="24"/>
              </w:rPr>
            </w:pPr>
            <w:r>
              <w:rPr>
                <w:rFonts w:hint="default" w:ascii="Times New Roman" w:hAnsi="Times New Roman" w:eastAsia="宋体"/>
                <w:color w:val="auto"/>
                <w:sz w:val="24"/>
              </w:rPr>
              <w:t>评价情况</w:t>
            </w:r>
          </w:p>
        </w:tc>
        <w:tc>
          <w:tcPr>
            <w:tcW w:w="8254" w:type="dxa"/>
            <w:gridSpan w:val="3"/>
            <w:noWrap w:val="0"/>
            <w:vAlign w:val="top"/>
          </w:tcPr>
          <w:p w14:paraId="41EDC970">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规划环评名称：《无锡（太湖）国际科技园环境影响报告书》</w:t>
            </w:r>
          </w:p>
          <w:p w14:paraId="3D900FC4">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审查机关：无锡市环境保护局</w:t>
            </w:r>
          </w:p>
          <w:p w14:paraId="6DE1DE23">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审查文件：《关于无锡（太湖）国际科技园环境影响报告书的批复》</w:t>
            </w:r>
          </w:p>
          <w:p w14:paraId="7AFCFE5D">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审查文号：锡环管</w:t>
            </w:r>
            <w:r>
              <w:rPr>
                <w:rFonts w:hint="eastAsia" w:ascii="Times New Roman" w:hAnsi="Times New Roman" w:eastAsia="宋体" w:cs="Times New Roman"/>
                <w:color w:val="auto"/>
                <w:sz w:val="24"/>
                <w:szCs w:val="24"/>
                <w:highlight w:val="none"/>
                <w:lang w:eastAsia="zh-CN"/>
              </w:rPr>
              <w:t>〔2009〕67号</w:t>
            </w:r>
          </w:p>
          <w:p w14:paraId="13F9AC62">
            <w:pPr>
              <w:keepNext w:val="0"/>
              <w:keepLines w:val="0"/>
              <w:suppressLineNumbers w:val="0"/>
              <w:autoSpaceDE w:val="0"/>
              <w:autoSpaceDN w:val="0"/>
              <w:spacing w:before="0" w:beforeAutospacing="0" w:after="0" w:afterAutospacing="0" w:line="360" w:lineRule="auto"/>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跟踪评价名称：《无锡（太湖）国际科技园规划环境影响跟踪评价报告书》</w:t>
            </w:r>
          </w:p>
          <w:p w14:paraId="4E240E7E">
            <w:pPr>
              <w:keepNext w:val="0"/>
              <w:keepLines w:val="0"/>
              <w:suppressLineNumbers w:val="0"/>
              <w:autoSpaceDE w:val="0"/>
              <w:autoSpaceDN w:val="0"/>
              <w:spacing w:before="0" w:beforeAutospacing="0" w:after="0" w:afterAutospacing="0" w:line="360" w:lineRule="auto"/>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审查机关：无锡高新区（新吴区）安全生产监督管理和环境保护局</w:t>
            </w:r>
          </w:p>
          <w:p w14:paraId="2F49C73D">
            <w:pPr>
              <w:pStyle w:val="12"/>
              <w:keepNext w:val="0"/>
              <w:keepLines w:val="0"/>
              <w:suppressLineNumbers w:val="0"/>
              <w:snapToGrid/>
              <w:spacing w:before="0" w:beforeAutospacing="0" w:after="0" w:afterAutospacing="0" w:line="360" w:lineRule="auto"/>
              <w:ind w:left="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审查文件：《关于无锡（太湖）国际科技园规划环境影响跟踪评价报告书的审核意见》</w:t>
            </w:r>
          </w:p>
          <w:p w14:paraId="73CE83D9">
            <w:pPr>
              <w:pStyle w:val="13"/>
              <w:keepNext w:val="0"/>
              <w:keepLines w:val="0"/>
              <w:numPr>
                <w:ilvl w:val="0"/>
                <w:numId w:val="0"/>
              </w:numPr>
              <w:suppressLineNumbers w:val="0"/>
              <w:spacing w:before="0" w:beforeAutospacing="0" w:after="0" w:afterAutospacing="0" w:line="360" w:lineRule="auto"/>
              <w:ind w:left="0" w:right="0"/>
              <w:rPr>
                <w:rFonts w:hint="default" w:ascii="Times New Roman" w:hAnsi="Times New Roman" w:eastAsia="宋体"/>
                <w:color w:val="auto"/>
                <w:sz w:val="24"/>
              </w:rPr>
            </w:pPr>
            <w:r>
              <w:rPr>
                <w:rFonts w:hint="default" w:ascii="Times New Roman" w:hAnsi="Times New Roman" w:eastAsia="宋体" w:cs="Times New Roman"/>
                <w:color w:val="auto"/>
                <w:sz w:val="24"/>
                <w:szCs w:val="24"/>
                <w:highlight w:val="none"/>
              </w:rPr>
              <w:t>审查文号：锡环管新</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eastAsia="zh-CN"/>
              </w:rPr>
              <w:t>2017</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eastAsia="zh-CN"/>
              </w:rPr>
              <w:t>3号</w:t>
            </w:r>
          </w:p>
        </w:tc>
      </w:tr>
      <w:tr w14:paraId="5F930B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55" w:hRule="atLeast"/>
          <w:jc w:val="center"/>
        </w:trPr>
        <w:tc>
          <w:tcPr>
            <w:tcW w:w="493" w:type="dxa"/>
            <w:tcBorders>
              <w:right w:val="single" w:color="auto" w:sz="4" w:space="0"/>
            </w:tcBorders>
            <w:noWrap w:val="0"/>
            <w:vAlign w:val="center"/>
          </w:tcPr>
          <w:p w14:paraId="0C1763C8">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olor w:val="auto"/>
                <w:kern w:val="0"/>
                <w:sz w:val="24"/>
              </w:rPr>
            </w:pPr>
            <w:r>
              <w:rPr>
                <w:rFonts w:hint="default" w:ascii="Times New Roman" w:hAnsi="Times New Roman" w:eastAsia="宋体"/>
                <w:color w:val="auto"/>
                <w:kern w:val="0"/>
                <w:sz w:val="24"/>
              </w:rPr>
              <w:t>规划及规划环境</w:t>
            </w:r>
          </w:p>
          <w:p w14:paraId="25C52E40">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olor w:val="auto"/>
                <w:kern w:val="0"/>
                <w:sz w:val="24"/>
              </w:rPr>
            </w:pPr>
            <w:r>
              <w:rPr>
                <w:rFonts w:hint="default" w:ascii="Times New Roman" w:hAnsi="Times New Roman" w:eastAsia="宋体"/>
                <w:color w:val="auto"/>
                <w:kern w:val="0"/>
                <w:sz w:val="24"/>
              </w:rPr>
              <w:t>影响评价符合性分析</w:t>
            </w:r>
          </w:p>
        </w:tc>
        <w:tc>
          <w:tcPr>
            <w:tcW w:w="9490" w:type="dxa"/>
            <w:gridSpan w:val="4"/>
            <w:tcBorders>
              <w:left w:val="single" w:color="auto" w:sz="4" w:space="0"/>
            </w:tcBorders>
            <w:noWrap w:val="0"/>
            <w:vAlign w:val="top"/>
          </w:tcPr>
          <w:p w14:paraId="16317E7E">
            <w:pPr>
              <w:keepNext w:val="0"/>
              <w:keepLines w:val="0"/>
              <w:suppressLineNumbers w:val="0"/>
              <w:spacing w:before="0" w:beforeAutospacing="0" w:after="0" w:afterAutospacing="0" w:line="360" w:lineRule="auto"/>
              <w:ind w:left="0" w:right="0"/>
              <w:rPr>
                <w:rFonts w:hint="default" w:ascii="Times New Roman" w:hAnsi="Times New Roman" w:eastAsia="宋体"/>
                <w:color w:val="auto"/>
                <w:sz w:val="24"/>
              </w:rPr>
            </w:pPr>
            <w:r>
              <w:rPr>
                <w:rFonts w:hint="eastAsia" w:ascii="Times New Roman" w:hAnsi="Times New Roman" w:eastAsia="宋体"/>
                <w:b/>
                <w:bCs/>
                <w:color w:val="auto"/>
                <w:sz w:val="24"/>
                <w:lang w:val="en-US" w:eastAsia="zh-CN"/>
              </w:rPr>
              <w:t>1、</w:t>
            </w:r>
            <w:r>
              <w:rPr>
                <w:rFonts w:hint="default" w:ascii="Times New Roman" w:hAnsi="Times New Roman" w:eastAsia="宋体"/>
                <w:b/>
                <w:color w:val="auto"/>
                <w:sz w:val="24"/>
              </w:rPr>
              <w:t>与规划相符性</w:t>
            </w:r>
          </w:p>
          <w:p w14:paraId="1D5393E2">
            <w:pPr>
              <w:keepNext w:val="0"/>
              <w:keepLines w:val="0"/>
              <w:widowControl w:val="0"/>
              <w:numPr>
                <w:ilvl w:val="0"/>
                <w:numId w:val="0"/>
              </w:numPr>
              <w:suppressLineNumbers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位于无锡市新吴区净慧东道196号F楼2楼，属于无锡（太湖）国际科技园科创区—孵化区管理单元，根据《无锡（太湖）国际科技园控制性详细规划科创区—孵化区、科创区—研发区管理单元动态更新》中的“无锡（太湖）国际科技园科创区—孵化区管理单元土地利用规划图”</w:t>
            </w:r>
            <w:r>
              <w:rPr>
                <w:rFonts w:hint="eastAsia" w:ascii="Times New Roman" w:hAnsi="Times New Roman" w:eastAsia="宋体" w:cs="Times New Roman"/>
                <w:color w:val="auto"/>
                <w:kern w:val="2"/>
                <w:sz w:val="24"/>
                <w:szCs w:val="24"/>
                <w:highlight w:val="red"/>
                <w:shd w:val="clear" w:fill="FF0000"/>
                <w:lang w:val="en-US" w:eastAsia="zh-CN" w:bidi="ar-SA"/>
              </w:rPr>
              <w:t>（见附图1）</w:t>
            </w:r>
            <w:r>
              <w:rPr>
                <w:rFonts w:hint="eastAsia" w:ascii="Times New Roman" w:hAnsi="Times New Roman" w:eastAsia="宋体" w:cs="Times New Roman"/>
                <w:color w:val="auto"/>
                <w:kern w:val="2"/>
                <w:sz w:val="24"/>
                <w:szCs w:val="24"/>
                <w:highlight w:val="none"/>
                <w:lang w:val="en-US" w:eastAsia="zh-CN" w:bidi="ar-SA"/>
              </w:rPr>
              <w:t>，本项目所在区域规划为“Ma+B9a生产研发用地</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科研设计用地”；根据本项目出租方：无锡生命科学产业发展有限公司持有的不动产权证，编号：苏（2024）无锡市不动产权第0116356号，项目所在地土地用途：生产研发用地。本项目主要针对小分子抗肿瘤药进行研发及生产</w:t>
            </w:r>
            <w:r>
              <w:rPr>
                <w:rFonts w:hint="eastAsia" w:ascii="Times New Roman" w:hAnsi="Times New Roman" w:eastAsia="宋体"/>
                <w:color w:val="auto"/>
                <w:highlight w:val="none"/>
                <w:lang w:eastAsia="zh-CN"/>
              </w:rPr>
              <w:t>，</w:t>
            </w:r>
            <w:r>
              <w:rPr>
                <w:rFonts w:hint="eastAsia" w:ascii="Times New Roman" w:hAnsi="Times New Roman" w:eastAsia="宋体"/>
                <w:color w:val="auto"/>
                <w:sz w:val="24"/>
                <w:szCs w:val="24"/>
                <w:highlight w:val="none"/>
                <w:lang w:val="en-US" w:eastAsia="zh-CN"/>
              </w:rPr>
              <w:t>因此</w:t>
            </w:r>
            <w:r>
              <w:rPr>
                <w:rFonts w:hint="eastAsia" w:ascii="Times New Roman" w:hAnsi="Times New Roman" w:eastAsia="宋体" w:cs="Times New Roman"/>
                <w:color w:val="auto"/>
                <w:kern w:val="2"/>
                <w:sz w:val="24"/>
                <w:szCs w:val="24"/>
                <w:highlight w:val="none"/>
                <w:lang w:val="en-US" w:eastAsia="zh-CN" w:bidi="ar-SA"/>
              </w:rPr>
              <w:t>符合项目所在地规划。</w:t>
            </w:r>
          </w:p>
          <w:p w14:paraId="36518B17">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b/>
                <w:color w:val="auto"/>
                <w:sz w:val="24"/>
              </w:rPr>
            </w:pPr>
            <w:r>
              <w:rPr>
                <w:rFonts w:hint="eastAsia" w:ascii="Times New Roman" w:hAnsi="Times New Roman" w:eastAsia="宋体" w:cs="Times New Roman"/>
                <w:b/>
                <w:bCs/>
                <w:color w:val="auto"/>
                <w:sz w:val="24"/>
                <w:lang w:val="en-US" w:eastAsia="zh-CN"/>
              </w:rPr>
              <w:t>2、</w:t>
            </w:r>
            <w:r>
              <w:rPr>
                <w:rFonts w:hint="default" w:ascii="Times New Roman" w:hAnsi="Times New Roman" w:eastAsia="宋体"/>
                <w:b/>
                <w:color w:val="auto"/>
                <w:sz w:val="24"/>
              </w:rPr>
              <w:t>与《自然资源部办公厅发文同意江苏省正式启用“三区三线”划定成果》(自然资办函[2022]2207号)相符性分析</w:t>
            </w:r>
          </w:p>
          <w:p w14:paraId="168B61DA">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olor w:val="auto"/>
                <w:lang w:val="en-US" w:eastAsia="zh-CN"/>
              </w:rPr>
              <w:t>根据《无锡市新吴区国土空间总体规划（2021-2035年）》，新吴区发展定位为：将新吴区建成国家级高新技术产业集聚区、苏南国家自主创新示范区重要组成部分，无锡空港枢纽特色副中心。耕地和永久基本农田：到2035年耕地保有量任务数21.3813平方千米；永久基本农田保护任务数8.0000平方千米；生态保护红线：到2035年总面积不低于3.1073平方千米，包括江苏无锡太湖大溪港地方级湿地公园、江苏无锡梁鸿国家级湿地公园；城镇开发边界：扩展倍数为1.3330。</w:t>
            </w:r>
            <w:r>
              <w:rPr>
                <w:rFonts w:hint="eastAsia" w:ascii="Times New Roman" w:hAnsi="Times New Roman" w:eastAsia="宋体"/>
                <w:snapToGrid w:val="0"/>
                <w:color w:val="auto"/>
                <w:kern w:val="0"/>
                <w:sz w:val="24"/>
                <w:szCs w:val="24"/>
                <w:highlight w:val="none"/>
              </w:rPr>
              <w:t>本项目位于</w:t>
            </w:r>
            <w:r>
              <w:rPr>
                <w:rFonts w:hint="eastAsia" w:ascii="Times New Roman" w:hAnsi="Times New Roman" w:eastAsia="宋体"/>
                <w:snapToGrid w:val="0"/>
                <w:color w:val="auto"/>
                <w:kern w:val="0"/>
                <w:sz w:val="24"/>
                <w:szCs w:val="24"/>
                <w:highlight w:val="none"/>
                <w:lang w:val="en-US" w:eastAsia="zh-CN"/>
              </w:rPr>
              <w:t>城镇开发边界范围内</w:t>
            </w:r>
            <w:r>
              <w:rPr>
                <w:rFonts w:hint="eastAsia" w:ascii="Times New Roman" w:hAnsi="Times New Roman" w:eastAsia="宋体"/>
                <w:snapToGrid w:val="0"/>
                <w:color w:val="auto"/>
                <w:kern w:val="0"/>
                <w:sz w:val="24"/>
                <w:szCs w:val="24"/>
                <w:highlight w:val="none"/>
              </w:rPr>
              <w:t>，</w:t>
            </w:r>
            <w:r>
              <w:rPr>
                <w:rFonts w:hint="eastAsia" w:ascii="Times New Roman" w:hAnsi="Times New Roman" w:eastAsia="宋体"/>
                <w:snapToGrid w:val="0"/>
                <w:color w:val="auto"/>
                <w:kern w:val="0"/>
                <w:sz w:val="24"/>
                <w:szCs w:val="24"/>
                <w:highlight w:val="none"/>
                <w:lang w:eastAsia="zh-CN"/>
              </w:rPr>
              <w:t>不占用</w:t>
            </w:r>
            <w:r>
              <w:rPr>
                <w:rFonts w:hint="eastAsia" w:ascii="Times New Roman" w:hAnsi="Times New Roman" w:eastAsia="宋体"/>
                <w:snapToGrid w:val="0"/>
                <w:color w:val="auto"/>
                <w:kern w:val="0"/>
                <w:sz w:val="24"/>
                <w:szCs w:val="24"/>
                <w:highlight w:val="none"/>
                <w:lang w:val="en-US" w:eastAsia="zh-CN"/>
              </w:rPr>
              <w:t>耕地和永久基本农田</w:t>
            </w:r>
            <w:r>
              <w:rPr>
                <w:rFonts w:hint="eastAsia" w:ascii="Times New Roman" w:hAnsi="Times New Roman" w:eastAsia="宋体"/>
                <w:snapToGrid w:val="0"/>
                <w:color w:val="auto"/>
                <w:kern w:val="0"/>
                <w:sz w:val="24"/>
                <w:szCs w:val="24"/>
                <w:highlight w:val="none"/>
                <w:lang w:eastAsia="zh-CN"/>
              </w:rPr>
              <w:t>，也</w:t>
            </w:r>
            <w:r>
              <w:rPr>
                <w:rFonts w:hint="eastAsia" w:ascii="Times New Roman" w:hAnsi="Times New Roman" w:eastAsia="宋体"/>
                <w:snapToGrid w:val="0"/>
                <w:color w:val="auto"/>
                <w:kern w:val="0"/>
                <w:sz w:val="24"/>
                <w:szCs w:val="24"/>
                <w:highlight w:val="none"/>
              </w:rPr>
              <w:t>不涉及</w:t>
            </w:r>
            <w:r>
              <w:rPr>
                <w:rFonts w:hint="eastAsia" w:ascii="Times New Roman" w:hAnsi="Times New Roman" w:eastAsia="宋体"/>
                <w:snapToGrid w:val="0"/>
                <w:color w:val="auto"/>
                <w:kern w:val="0"/>
                <w:sz w:val="24"/>
                <w:szCs w:val="24"/>
                <w:highlight w:val="none"/>
                <w:lang w:eastAsia="zh-CN"/>
              </w:rPr>
              <w:t>新吴</w:t>
            </w:r>
            <w:r>
              <w:rPr>
                <w:rFonts w:hint="eastAsia" w:ascii="Times New Roman" w:hAnsi="Times New Roman" w:eastAsia="宋体"/>
                <w:snapToGrid w:val="0"/>
                <w:color w:val="auto"/>
                <w:kern w:val="0"/>
                <w:sz w:val="24"/>
                <w:szCs w:val="24"/>
                <w:highlight w:val="none"/>
              </w:rPr>
              <w:t>区生态保护红线区域</w:t>
            </w:r>
            <w:r>
              <w:rPr>
                <w:rFonts w:hint="eastAsia" w:ascii="Times New Roman" w:hAnsi="Times New Roman" w:eastAsia="宋体"/>
                <w:snapToGrid w:val="0"/>
                <w:color w:val="auto"/>
                <w:kern w:val="0"/>
                <w:sz w:val="24"/>
                <w:szCs w:val="24"/>
                <w:highlight w:val="none"/>
                <w:lang w:eastAsia="zh-CN"/>
              </w:rPr>
              <w:t>，</w:t>
            </w:r>
            <w:r>
              <w:rPr>
                <w:rFonts w:hint="eastAsia" w:ascii="Times New Roman" w:hAnsi="Times New Roman" w:eastAsia="宋体"/>
                <w:snapToGrid w:val="0"/>
                <w:color w:val="auto"/>
                <w:kern w:val="0"/>
                <w:sz w:val="24"/>
                <w:szCs w:val="24"/>
                <w:highlight w:val="none"/>
                <w:lang w:val="en-US" w:eastAsia="zh-CN"/>
              </w:rPr>
              <w:t>符合“三区三线”的要求。</w:t>
            </w:r>
          </w:p>
          <w:p w14:paraId="25E0F51A">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3、</w:t>
            </w:r>
            <w:r>
              <w:rPr>
                <w:rFonts w:hint="default" w:ascii="Times New Roman" w:hAnsi="Times New Roman" w:eastAsia="宋体" w:cs="Times New Roman"/>
                <w:b/>
                <w:bCs/>
                <w:color w:val="auto"/>
                <w:sz w:val="24"/>
              </w:rPr>
              <w:t>园区产业定位相符性分析</w:t>
            </w:r>
          </w:p>
          <w:p w14:paraId="5E2B24FD">
            <w:pPr>
              <w:keepNext w:val="0"/>
              <w:keepLines w:val="0"/>
              <w:widowControl/>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2"/>
                <w:highlight w:val="none"/>
                <w:lang w:val="en-US" w:eastAsia="zh-CN" w:bidi="ar-SA"/>
              </w:rPr>
            </w:pPr>
            <w:r>
              <w:rPr>
                <w:rFonts w:hint="default" w:ascii="Times New Roman" w:hAnsi="Times New Roman" w:eastAsia="宋体" w:cs="Times New Roman"/>
                <w:color w:val="auto"/>
                <w:kern w:val="0"/>
                <w:sz w:val="24"/>
                <w:szCs w:val="22"/>
                <w:highlight w:val="none"/>
                <w:lang w:val="en-US" w:eastAsia="zh-CN" w:bidi="ar-SA"/>
              </w:rPr>
              <w:t>根据《无锡（太湖）国际科技园规划环境影响跟踪评价报告书》（锡环管新[2017]3号），无锡（太湖）国际科技园规划范围为东至京杭运河、西至华谊路、南至外太湖和环湖大道、北至高浪路。园区产业定位为发展IT设计、软件开发设计、创意产业等自主创新的高科技产业，以及服务于高科技产业的现代服务业。</w:t>
            </w:r>
          </w:p>
          <w:p w14:paraId="15AC67C3">
            <w:pPr>
              <w:keepNext w:val="0"/>
              <w:keepLines w:val="0"/>
              <w:widowControl/>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shd w:val="clear" w:color="auto" w:fill="FFFFFF"/>
              </w:rPr>
            </w:pPr>
            <w:r>
              <w:rPr>
                <w:rFonts w:hint="eastAsia" w:ascii="Times New Roman" w:hAnsi="Times New Roman" w:eastAsia="宋体" w:cs="Times New Roman"/>
                <w:color w:val="auto"/>
                <w:kern w:val="0"/>
                <w:sz w:val="24"/>
                <w:szCs w:val="22"/>
                <w:highlight w:val="none"/>
                <w:lang w:val="en-US" w:eastAsia="zh-CN" w:bidi="ar-SA"/>
              </w:rPr>
              <w:t>企业</w:t>
            </w:r>
            <w:r>
              <w:rPr>
                <w:rFonts w:hint="default" w:ascii="Times New Roman" w:hAnsi="Times New Roman" w:eastAsia="宋体" w:cs="Times New Roman"/>
                <w:color w:val="auto"/>
                <w:kern w:val="0"/>
                <w:sz w:val="24"/>
                <w:szCs w:val="22"/>
                <w:highlight w:val="none"/>
                <w:lang w:val="en-US" w:eastAsia="zh-CN" w:bidi="ar-SA"/>
              </w:rPr>
              <w:t>租赁无锡生命科学产业发展有限公司现有厂房进行</w:t>
            </w:r>
            <w:r>
              <w:rPr>
                <w:rFonts w:hint="eastAsia" w:ascii="Times New Roman" w:hAnsi="Times New Roman" w:eastAsia="宋体" w:cs="Times New Roman"/>
                <w:color w:val="auto"/>
                <w:kern w:val="0"/>
                <w:sz w:val="24"/>
                <w:szCs w:val="22"/>
                <w:highlight w:val="none"/>
                <w:lang w:val="en-US" w:eastAsia="zh-CN" w:bidi="ar-SA"/>
              </w:rPr>
              <w:t>展开建设</w:t>
            </w:r>
            <w:r>
              <w:rPr>
                <w:rFonts w:hint="default" w:ascii="Times New Roman" w:hAnsi="Times New Roman" w:eastAsia="宋体" w:cs="Times New Roman"/>
                <w:color w:val="auto"/>
                <w:kern w:val="0"/>
                <w:sz w:val="24"/>
                <w:szCs w:val="22"/>
                <w:highlight w:val="none"/>
                <w:lang w:val="en-US" w:eastAsia="zh-CN" w:bidi="ar-SA"/>
              </w:rPr>
              <w:t>，建筑面积2090.67平方米。项目总投资2000万元</w:t>
            </w:r>
            <w:r>
              <w:rPr>
                <w:rFonts w:hint="eastAsia" w:ascii="Times New Roman" w:hAnsi="Times New Roman" w:eastAsia="宋体" w:cs="Times New Roman"/>
                <w:color w:val="auto"/>
                <w:kern w:val="0"/>
                <w:sz w:val="24"/>
                <w:szCs w:val="22"/>
                <w:highlight w:val="none"/>
                <w:lang w:val="en-US" w:eastAsia="zh-CN" w:bidi="ar-SA"/>
              </w:rPr>
              <w:t>，</w:t>
            </w:r>
            <w:r>
              <w:rPr>
                <w:rFonts w:hint="default" w:ascii="Times New Roman" w:hAnsi="Times New Roman" w:eastAsia="宋体" w:cs="Times New Roman"/>
                <w:color w:val="auto"/>
                <w:kern w:val="0"/>
                <w:sz w:val="24"/>
                <w:szCs w:val="22"/>
                <w:highlight w:val="none"/>
                <w:lang w:val="en-US" w:eastAsia="zh-CN" w:bidi="ar-SA"/>
              </w:rPr>
              <w:t>引进自动化工作站、显微镜等进口设备共计14台套，购置通风橱、生物安全柜等国产设备17台套。本项目主要内容为小分子抗肿瘤药的早期小试研发</w:t>
            </w:r>
            <w:r>
              <w:rPr>
                <w:rFonts w:hint="eastAsia" w:ascii="Times New Roman" w:hAnsi="Times New Roman" w:eastAsia="宋体" w:cs="Times New Roman"/>
                <w:color w:val="auto"/>
                <w:kern w:val="0"/>
                <w:sz w:val="24"/>
                <w:szCs w:val="22"/>
                <w:highlight w:val="none"/>
                <w:lang w:val="en-US" w:eastAsia="zh-CN" w:bidi="ar-SA"/>
              </w:rPr>
              <w:t>，行业类别属于[M7340]医学研究和试验发展</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0"/>
                <w:sz w:val="24"/>
                <w:szCs w:val="22"/>
                <w:highlight w:val="none"/>
                <w:lang w:val="en-US" w:eastAsia="zh-CN" w:bidi="ar-SA"/>
              </w:rPr>
              <w:t>属于自主创新的高科技产业，符合无锡（太湖）国际科技园的产业定位。</w:t>
            </w:r>
          </w:p>
          <w:p w14:paraId="0FD98E87">
            <w:pPr>
              <w:keepNext w:val="0"/>
              <w:keepLines w:val="0"/>
              <w:suppressLineNumbers w:val="0"/>
              <w:snapToGrid w:val="0"/>
              <w:spacing w:before="0" w:beforeAutospacing="0" w:after="0" w:afterAutospacing="0" w:line="360" w:lineRule="auto"/>
              <w:ind w:left="0" w:right="0"/>
              <w:rPr>
                <w:rFonts w:hint="default"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lang w:val="en-US" w:eastAsia="zh-CN"/>
              </w:rPr>
              <w:t>4</w:t>
            </w:r>
            <w:r>
              <w:rPr>
                <w:rFonts w:hint="eastAsia"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rPr>
              <w:t>规划环评相符性分析</w:t>
            </w:r>
          </w:p>
          <w:p w14:paraId="5D168528">
            <w:pPr>
              <w:keepNext w:val="0"/>
              <w:keepLines w:val="0"/>
              <w:suppressLineNumbers w:val="0"/>
              <w:tabs>
                <w:tab w:val="left" w:pos="0"/>
              </w:tabs>
              <w:snapToGrid w:val="0"/>
              <w:spacing w:before="0" w:beforeAutospacing="0" w:after="0" w:afterAutospacing="0" w:line="360" w:lineRule="auto"/>
              <w:ind w:left="480" w:right="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A.</w:t>
            </w:r>
            <w:r>
              <w:rPr>
                <w:rFonts w:hint="eastAsia" w:ascii="Times New Roman" w:hAnsi="Times New Roman" w:eastAsia="宋体" w:cs="Times New Roman"/>
                <w:b/>
                <w:bCs/>
                <w:color w:val="auto"/>
                <w:sz w:val="24"/>
                <w:highlight w:val="none"/>
                <w:lang w:val="en-US" w:eastAsia="zh-CN"/>
              </w:rPr>
              <w:t>规划环评及审查意见相符性分析</w:t>
            </w:r>
          </w:p>
          <w:p w14:paraId="3CF3A198">
            <w:pPr>
              <w:keepNext w:val="0"/>
              <w:keepLines w:val="0"/>
              <w:suppressLineNumbers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本项目与</w:t>
            </w:r>
            <w:r>
              <w:rPr>
                <w:rFonts w:hint="default" w:ascii="Times New Roman" w:hAnsi="Times New Roman" w:eastAsia="宋体"/>
                <w:color w:val="auto"/>
                <w:sz w:val="24"/>
                <w:highlight w:val="none"/>
              </w:rPr>
              <w:t>无锡（太湖）国际科技园规划环评批复</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锡环管</w:t>
            </w:r>
            <w:r>
              <w:rPr>
                <w:rFonts w:hint="eastAsia" w:ascii="Times New Roman" w:hAnsi="Times New Roman" w:eastAsia="宋体" w:cs="Times New Roman"/>
                <w:color w:val="auto"/>
                <w:sz w:val="24"/>
                <w:highlight w:val="none"/>
                <w:lang w:eastAsia="zh-CN"/>
              </w:rPr>
              <w:t>〔2009〕67号</w:t>
            </w:r>
            <w:r>
              <w:rPr>
                <w:rFonts w:hint="default" w:ascii="Times New Roman" w:hAnsi="Times New Roman" w:eastAsia="宋体" w:cs="Times New Roman"/>
                <w:color w:val="auto"/>
                <w:sz w:val="24"/>
                <w:highlight w:val="none"/>
              </w:rPr>
              <w:t>）相符性分析</w:t>
            </w:r>
            <w:r>
              <w:rPr>
                <w:rFonts w:hint="default" w:ascii="Times New Roman" w:hAnsi="Times New Roman" w:eastAsia="宋体"/>
                <w:color w:val="auto"/>
                <w:sz w:val="24"/>
                <w:highlight w:val="none"/>
              </w:rPr>
              <w:t>详</w:t>
            </w:r>
            <w:r>
              <w:rPr>
                <w:rFonts w:hint="default" w:ascii="Times New Roman" w:hAnsi="Times New Roman" w:eastAsia="宋体" w:cs="Times New Roman"/>
                <w:color w:val="auto"/>
                <w:sz w:val="24"/>
                <w:highlight w:val="none"/>
              </w:rPr>
              <w:t>见</w:t>
            </w:r>
            <w:r>
              <w:rPr>
                <w:rFonts w:hint="eastAsia" w:ascii="Times New Roman" w:hAnsi="Times New Roman" w:eastAsia="宋体" w:cs="Times New Roman"/>
                <w:color w:val="auto"/>
                <w:sz w:val="24"/>
                <w:highlight w:val="none"/>
                <w:lang w:eastAsia="zh-CN"/>
              </w:rPr>
              <w:t>下</w:t>
            </w:r>
            <w:r>
              <w:rPr>
                <w:rFonts w:hint="default" w:ascii="Times New Roman" w:hAnsi="Times New Roman" w:eastAsia="宋体" w:cs="Times New Roman"/>
                <w:color w:val="auto"/>
                <w:sz w:val="24"/>
                <w:highlight w:val="none"/>
              </w:rPr>
              <w:t>表</w:t>
            </w:r>
            <w:r>
              <w:rPr>
                <w:rFonts w:hint="eastAsia" w:ascii="Times New Roman" w:hAnsi="Times New Roman" w:eastAsia="宋体" w:cs="Times New Roman"/>
                <w:color w:val="auto"/>
                <w:sz w:val="24"/>
                <w:highlight w:val="none"/>
                <w:lang w:eastAsia="zh-CN"/>
              </w:rPr>
              <w:t>。</w:t>
            </w:r>
          </w:p>
          <w:p w14:paraId="4692C80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425" w:leftChars="0" w:right="0" w:rightChars="0" w:hanging="425" w:firstLineChars="0"/>
              <w:jc w:val="center"/>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宋体"/>
                <w:b/>
                <w:bCs/>
                <w:color w:val="auto"/>
                <w:kern w:val="2"/>
                <w:sz w:val="24"/>
                <w:szCs w:val="24"/>
                <w:lang w:val="en-US" w:eastAsia="zh-CN" w:bidi="ar-SA"/>
              </w:rPr>
              <w:t>表1-</w:t>
            </w:r>
            <w:r>
              <w:rPr>
                <w:rFonts w:hint="eastAsia" w:ascii="Times New Roman" w:hAnsi="Times New Roman" w:eastAsia="宋体" w:cs="宋体"/>
                <w:b/>
                <w:bCs/>
                <w:color w:val="auto"/>
                <w:kern w:val="2"/>
                <w:sz w:val="24"/>
                <w:szCs w:val="24"/>
                <w:lang w:val="en-US" w:eastAsia="zh-CN" w:bidi="ar-SA"/>
              </w:rPr>
              <w:t xml:space="preserve">2  </w:t>
            </w:r>
            <w:r>
              <w:rPr>
                <w:rFonts w:hint="default" w:ascii="Times New Roman" w:hAnsi="Times New Roman" w:eastAsia="宋体" w:cs="Times New Roman"/>
                <w:b/>
                <w:bCs/>
                <w:color w:val="auto"/>
                <w:sz w:val="24"/>
                <w:highlight w:val="none"/>
              </w:rPr>
              <w:t>本项目与</w:t>
            </w:r>
            <w:r>
              <w:rPr>
                <w:rFonts w:hint="eastAsia" w:ascii="Times New Roman" w:hAnsi="Times New Roman" w:eastAsia="宋体" w:cs="Times New Roman"/>
                <w:b/>
                <w:bCs/>
                <w:color w:val="auto"/>
                <w:sz w:val="24"/>
                <w:highlight w:val="none"/>
                <w:lang w:eastAsia="zh-CN"/>
              </w:rPr>
              <w:t>“</w:t>
            </w:r>
            <w:r>
              <w:rPr>
                <w:rFonts w:hint="eastAsia" w:ascii="Times New Roman" w:hAnsi="Times New Roman" w:eastAsia="宋体" w:cs="Times New Roman"/>
                <w:b/>
                <w:bCs/>
                <w:color w:val="auto"/>
                <w:sz w:val="24"/>
                <w:highlight w:val="none"/>
              </w:rPr>
              <w:t>锡环管〔2009〕67号</w:t>
            </w:r>
            <w:r>
              <w:rPr>
                <w:rFonts w:hint="eastAsia" w:ascii="Times New Roman" w:hAnsi="Times New Roman" w:eastAsia="宋体" w:cs="Times New Roman"/>
                <w:b/>
                <w:bCs/>
                <w:color w:val="auto"/>
                <w:sz w:val="24"/>
                <w:highlight w:val="none"/>
                <w:lang w:eastAsia="zh-CN"/>
              </w:rPr>
              <w:t>”</w:t>
            </w:r>
            <w:r>
              <w:rPr>
                <w:rFonts w:hint="default" w:ascii="Times New Roman" w:hAnsi="Times New Roman" w:eastAsia="宋体"/>
                <w:b/>
                <w:color w:val="auto"/>
                <w:sz w:val="24"/>
                <w:highlight w:val="none"/>
              </w:rPr>
              <w:t>相符性分析一览表</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autofit"/>
              <w:tblCellMar>
                <w:top w:w="0" w:type="dxa"/>
                <w:left w:w="108" w:type="dxa"/>
                <w:bottom w:w="0" w:type="dxa"/>
                <w:right w:w="108" w:type="dxa"/>
              </w:tblCellMar>
            </w:tblPr>
            <w:tblGrid>
              <w:gridCol w:w="1162"/>
              <w:gridCol w:w="4218"/>
              <w:gridCol w:w="3079"/>
              <w:gridCol w:w="811"/>
            </w:tblGrid>
            <w:tr w14:paraId="684A5B83">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trPr>
              <w:tc>
                <w:tcPr>
                  <w:tcW w:w="627" w:type="pct"/>
                  <w:noWrap w:val="0"/>
                  <w:tcMar>
                    <w:top w:w="0" w:type="dxa"/>
                    <w:left w:w="0" w:type="dxa"/>
                    <w:bottom w:w="0" w:type="dxa"/>
                    <w:right w:w="0" w:type="dxa"/>
                  </w:tcMar>
                  <w:vAlign w:val="center"/>
                </w:tcPr>
                <w:p w14:paraId="19F2CDDA">
                  <w:pPr>
                    <w:keepNext w:val="0"/>
                    <w:keepLines w:val="0"/>
                    <w:suppressLineNumbers w:val="0"/>
                    <w:spacing w:before="0" w:beforeAutospacing="0" w:after="0" w:afterAutospacing="0" w:line="310" w:lineRule="exact"/>
                    <w:ind w:left="0" w:right="0"/>
                    <w:jc w:val="center"/>
                    <w:rPr>
                      <w:rFonts w:hint="default" w:ascii="Times New Roman" w:hAnsi="Times New Roman" w:eastAsia="宋体"/>
                      <w:b/>
                      <w:color w:val="auto"/>
                      <w:highlight w:val="none"/>
                    </w:rPr>
                  </w:pPr>
                  <w:r>
                    <w:rPr>
                      <w:rFonts w:hint="default" w:ascii="Times New Roman" w:hAnsi="Times New Roman" w:eastAsia="宋体"/>
                      <w:b/>
                      <w:color w:val="auto"/>
                      <w:highlight w:val="none"/>
                    </w:rPr>
                    <w:t>要点</w:t>
                  </w:r>
                </w:p>
              </w:tc>
              <w:tc>
                <w:tcPr>
                  <w:tcW w:w="2274" w:type="pct"/>
                  <w:noWrap w:val="0"/>
                  <w:tcMar>
                    <w:top w:w="0" w:type="dxa"/>
                    <w:left w:w="0" w:type="dxa"/>
                    <w:bottom w:w="0" w:type="dxa"/>
                    <w:right w:w="0" w:type="dxa"/>
                  </w:tcMar>
                  <w:vAlign w:val="center"/>
                </w:tcPr>
                <w:p w14:paraId="70046829">
                  <w:pPr>
                    <w:keepNext w:val="0"/>
                    <w:keepLines w:val="0"/>
                    <w:suppressLineNumbers w:val="0"/>
                    <w:spacing w:before="0" w:beforeAutospacing="0" w:after="0" w:afterAutospacing="0" w:line="310" w:lineRule="exact"/>
                    <w:ind w:left="0" w:right="0"/>
                    <w:jc w:val="center"/>
                    <w:rPr>
                      <w:rFonts w:hint="default" w:ascii="Times New Roman" w:hAnsi="Times New Roman" w:eastAsia="宋体"/>
                      <w:b/>
                      <w:color w:val="auto"/>
                      <w:highlight w:val="none"/>
                    </w:rPr>
                  </w:pPr>
                  <w:r>
                    <w:rPr>
                      <w:rFonts w:hint="default" w:ascii="Times New Roman" w:hAnsi="Times New Roman" w:eastAsia="宋体"/>
                      <w:b/>
                      <w:color w:val="auto"/>
                      <w:highlight w:val="none"/>
                    </w:rPr>
                    <w:t>园区环评批复要求</w:t>
                  </w:r>
                </w:p>
              </w:tc>
              <w:tc>
                <w:tcPr>
                  <w:tcW w:w="1660" w:type="pct"/>
                  <w:noWrap w:val="0"/>
                  <w:vAlign w:val="center"/>
                </w:tcPr>
                <w:p w14:paraId="1FBBCA94">
                  <w:pPr>
                    <w:keepNext w:val="0"/>
                    <w:keepLines w:val="0"/>
                    <w:suppressLineNumbers w:val="0"/>
                    <w:spacing w:before="0" w:beforeAutospacing="0" w:after="0" w:afterAutospacing="0" w:line="310" w:lineRule="exact"/>
                    <w:ind w:left="0" w:right="0"/>
                    <w:jc w:val="center"/>
                    <w:rPr>
                      <w:rFonts w:hint="default" w:ascii="Times New Roman" w:hAnsi="Times New Roman" w:eastAsia="宋体"/>
                      <w:b/>
                      <w:color w:val="auto"/>
                      <w:highlight w:val="none"/>
                    </w:rPr>
                  </w:pPr>
                  <w:r>
                    <w:rPr>
                      <w:rFonts w:hint="default" w:ascii="Times New Roman" w:hAnsi="Times New Roman" w:eastAsia="宋体"/>
                      <w:b/>
                      <w:color w:val="auto"/>
                      <w:highlight w:val="none"/>
                    </w:rPr>
                    <w:t>本项目情况</w:t>
                  </w:r>
                </w:p>
              </w:tc>
              <w:tc>
                <w:tcPr>
                  <w:tcW w:w="437" w:type="pct"/>
                  <w:noWrap w:val="0"/>
                  <w:tcMar>
                    <w:top w:w="0" w:type="dxa"/>
                    <w:left w:w="0" w:type="dxa"/>
                    <w:bottom w:w="0" w:type="dxa"/>
                    <w:right w:w="0" w:type="dxa"/>
                  </w:tcMar>
                  <w:vAlign w:val="center"/>
                </w:tcPr>
                <w:p w14:paraId="11AAADE4">
                  <w:pPr>
                    <w:keepNext w:val="0"/>
                    <w:keepLines w:val="0"/>
                    <w:suppressLineNumbers w:val="0"/>
                    <w:spacing w:before="0" w:beforeAutospacing="0" w:after="0" w:afterAutospacing="0" w:line="310" w:lineRule="exact"/>
                    <w:ind w:left="0" w:right="0"/>
                    <w:jc w:val="center"/>
                    <w:rPr>
                      <w:rFonts w:hint="default" w:ascii="Times New Roman" w:hAnsi="Times New Roman" w:eastAsia="宋体"/>
                      <w:b/>
                      <w:color w:val="auto"/>
                      <w:highlight w:val="none"/>
                    </w:rPr>
                  </w:pPr>
                  <w:r>
                    <w:rPr>
                      <w:rFonts w:hint="default" w:ascii="Times New Roman" w:hAnsi="Times New Roman" w:eastAsia="宋体"/>
                      <w:b/>
                      <w:color w:val="auto"/>
                      <w:highlight w:val="none"/>
                    </w:rPr>
                    <w:t>相符性</w:t>
                  </w:r>
                </w:p>
              </w:tc>
            </w:tr>
            <w:tr w14:paraId="73D98683">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trPr>
              <w:tc>
                <w:tcPr>
                  <w:tcW w:w="627" w:type="pct"/>
                  <w:noWrap w:val="0"/>
                  <w:tcMar>
                    <w:top w:w="0" w:type="dxa"/>
                    <w:left w:w="0" w:type="dxa"/>
                    <w:bottom w:w="0" w:type="dxa"/>
                    <w:right w:w="0" w:type="dxa"/>
                  </w:tcMar>
                  <w:vAlign w:val="center"/>
                </w:tcPr>
                <w:p w14:paraId="2B6F363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
                      <w:color w:val="auto"/>
                      <w:highlight w:val="none"/>
                    </w:rPr>
                  </w:pPr>
                  <w:r>
                    <w:rPr>
                      <w:rFonts w:hint="default" w:ascii="Times New Roman" w:hAnsi="Times New Roman" w:eastAsia="宋体"/>
                      <w:bCs/>
                      <w:color w:val="auto"/>
                      <w:highlight w:val="none"/>
                    </w:rPr>
                    <w:t>持续改善科技园总体环境</w:t>
                  </w:r>
                </w:p>
              </w:tc>
              <w:tc>
                <w:tcPr>
                  <w:tcW w:w="2274" w:type="pct"/>
                  <w:noWrap w:val="0"/>
                  <w:tcMar>
                    <w:top w:w="0" w:type="dxa"/>
                    <w:left w:w="0" w:type="dxa"/>
                    <w:bottom w:w="0" w:type="dxa"/>
                    <w:right w:w="0" w:type="dxa"/>
                  </w:tcMar>
                  <w:vAlign w:val="center"/>
                </w:tcPr>
                <w:p w14:paraId="419213E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left"/>
                    <w:textAlignment w:val="auto"/>
                    <w:rPr>
                      <w:rFonts w:hint="default" w:ascii="Times New Roman" w:hAnsi="Times New Roman" w:eastAsia="宋体"/>
                      <w:b/>
                      <w:color w:val="auto"/>
                      <w:highlight w:val="none"/>
                    </w:rPr>
                  </w:pPr>
                  <w:r>
                    <w:rPr>
                      <w:rFonts w:hint="default" w:ascii="Times New Roman" w:hAnsi="Times New Roman" w:eastAsia="宋体"/>
                      <w:bCs/>
                      <w:color w:val="auto"/>
                      <w:highlight w:val="none"/>
                    </w:rPr>
                    <w:t>科技园规划建设必须坚持环境效益、经济效益和社会效益相统一的原则，高起点规划、高标准建设、高水平管理；按循环经济理念和清洁生产原则指导科技园的开发建设，建成一个轻污染、低能耗、高效益、高技术含量的现代化生态科技园，建立园区IS014000环境管理体系并通过认证。</w:t>
                  </w:r>
                </w:p>
              </w:tc>
              <w:tc>
                <w:tcPr>
                  <w:tcW w:w="1660" w:type="pct"/>
                  <w:noWrap w:val="0"/>
                  <w:vAlign w:val="center"/>
                </w:tcPr>
                <w:p w14:paraId="3D26F10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b/>
                      <w:color w:val="auto"/>
                      <w:highlight w:val="none"/>
                    </w:rPr>
                  </w:pPr>
                  <w:r>
                    <w:rPr>
                      <w:rFonts w:hint="eastAsia" w:ascii="Times New Roman" w:hAnsi="Times New Roman" w:eastAsia="宋体" w:cs="Times New Roman"/>
                      <w:color w:val="auto"/>
                      <w:kern w:val="0"/>
                      <w:szCs w:val="21"/>
                      <w:lang w:val="en-US" w:eastAsia="zh-CN"/>
                    </w:rPr>
                    <w:t>本项目属于</w:t>
                  </w:r>
                  <w:r>
                    <w:rPr>
                      <w:rFonts w:hint="eastAsia" w:ascii="Times New Roman" w:hAnsi="Times New Roman" w:eastAsia="宋体" w:cs="Times New Roman"/>
                      <w:color w:val="auto"/>
                      <w:kern w:val="0"/>
                      <w:sz w:val="24"/>
                      <w:szCs w:val="22"/>
                      <w:highlight w:val="none"/>
                      <w:lang w:val="en-US" w:eastAsia="zh-CN" w:bidi="ar-SA"/>
                    </w:rPr>
                    <w:t>[M7340]医学研究和试验发展</w:t>
                  </w:r>
                  <w:r>
                    <w:rPr>
                      <w:rFonts w:hint="eastAsia" w:ascii="Times New Roman" w:hAnsi="Times New Roman" w:eastAsia="宋体" w:cs="Times New Roman"/>
                      <w:color w:val="auto"/>
                      <w:kern w:val="0"/>
                      <w:szCs w:val="21"/>
                      <w:highlight w:val="none"/>
                      <w:lang w:val="en-US" w:eastAsia="zh-CN"/>
                    </w:rPr>
                    <w:t>，</w:t>
                  </w:r>
                  <w:r>
                    <w:rPr>
                      <w:rFonts w:hint="eastAsia" w:ascii="Times New Roman" w:hAnsi="Times New Roman" w:eastAsia="宋体" w:cs="Times New Roman"/>
                      <w:color w:val="auto"/>
                      <w:kern w:val="0"/>
                      <w:szCs w:val="21"/>
                      <w:highlight w:val="none"/>
                    </w:rPr>
                    <w:t>属于轻污染、高效益、高技术含量项目</w:t>
                  </w:r>
                  <w:r>
                    <w:rPr>
                      <w:rFonts w:hint="eastAsia" w:ascii="Times New Roman" w:hAnsi="Times New Roman" w:eastAsia="宋体" w:cs="Times New Roman"/>
                      <w:color w:val="auto"/>
                      <w:kern w:val="0"/>
                      <w:szCs w:val="21"/>
                    </w:rPr>
                    <w:t>，符合要求。</w:t>
                  </w:r>
                </w:p>
              </w:tc>
              <w:tc>
                <w:tcPr>
                  <w:tcW w:w="437" w:type="pct"/>
                  <w:noWrap w:val="0"/>
                  <w:tcMar>
                    <w:top w:w="0" w:type="dxa"/>
                    <w:left w:w="0" w:type="dxa"/>
                    <w:bottom w:w="0" w:type="dxa"/>
                    <w:right w:w="0" w:type="dxa"/>
                  </w:tcMar>
                  <w:vAlign w:val="center"/>
                </w:tcPr>
                <w:p w14:paraId="54044DBF">
                  <w:pPr>
                    <w:keepNext w:val="0"/>
                    <w:keepLines w:val="0"/>
                    <w:suppressLineNumbers w:val="0"/>
                    <w:spacing w:before="0" w:beforeAutospacing="0" w:after="0" w:afterAutospacing="0" w:line="310" w:lineRule="exact"/>
                    <w:ind w:left="0" w:right="0"/>
                    <w:jc w:val="center"/>
                    <w:rPr>
                      <w:rFonts w:hint="default" w:ascii="Times New Roman" w:hAnsi="Times New Roman" w:eastAsia="宋体"/>
                      <w:b/>
                      <w:color w:val="auto"/>
                      <w:highlight w:val="none"/>
                    </w:rPr>
                  </w:pPr>
                  <w:r>
                    <w:rPr>
                      <w:rFonts w:hint="default" w:ascii="Times New Roman" w:hAnsi="Times New Roman" w:eastAsia="宋体"/>
                      <w:color w:val="auto"/>
                      <w:highlight w:val="none"/>
                    </w:rPr>
                    <w:t>相符</w:t>
                  </w:r>
                </w:p>
              </w:tc>
            </w:tr>
            <w:tr w14:paraId="4BE9FA67">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trPr>
              <w:tc>
                <w:tcPr>
                  <w:tcW w:w="627" w:type="pct"/>
                  <w:noWrap w:val="0"/>
                  <w:tcMar>
                    <w:top w:w="0" w:type="dxa"/>
                    <w:left w:w="0" w:type="dxa"/>
                    <w:bottom w:w="0" w:type="dxa"/>
                    <w:right w:w="0" w:type="dxa"/>
                  </w:tcMar>
                  <w:vAlign w:val="center"/>
                </w:tcPr>
                <w:p w14:paraId="3551010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olor w:val="auto"/>
                      <w:highlight w:val="none"/>
                    </w:rPr>
                  </w:pPr>
                  <w:r>
                    <w:rPr>
                      <w:rFonts w:hint="default" w:ascii="Times New Roman" w:hAnsi="Times New Roman" w:eastAsia="宋体"/>
                      <w:bCs/>
                      <w:color w:val="auto"/>
                      <w:highlight w:val="none"/>
                    </w:rPr>
                    <w:t>优化产业导向，提升项目档次</w:t>
                  </w:r>
                </w:p>
              </w:tc>
              <w:tc>
                <w:tcPr>
                  <w:tcW w:w="2274" w:type="pct"/>
                  <w:noWrap w:val="0"/>
                  <w:tcMar>
                    <w:top w:w="0" w:type="dxa"/>
                    <w:left w:w="0" w:type="dxa"/>
                    <w:bottom w:w="0" w:type="dxa"/>
                    <w:right w:w="0" w:type="dxa"/>
                  </w:tcMar>
                  <w:vAlign w:val="center"/>
                </w:tcPr>
                <w:p w14:paraId="71FD661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left"/>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科技园应严格执行《外商投资产业指导目录</w:t>
                  </w:r>
                  <w:r>
                    <w:rPr>
                      <w:rFonts w:hint="eastAsia" w:ascii="Times New Roman" w:hAnsi="Times New Roman" w:eastAsia="宋体"/>
                      <w:color w:val="auto"/>
                      <w:highlight w:val="none"/>
                      <w:lang w:eastAsia="zh-CN"/>
                    </w:rPr>
                    <w:t>（</w:t>
                  </w:r>
                  <w:r>
                    <w:rPr>
                      <w:rFonts w:hint="default" w:ascii="Times New Roman" w:hAnsi="Times New Roman" w:eastAsia="宋体"/>
                      <w:color w:val="auto"/>
                      <w:highlight w:val="none"/>
                    </w:rPr>
                    <w:t>2007年修订</w:t>
                  </w:r>
                  <w:r>
                    <w:rPr>
                      <w:rFonts w:hint="eastAsia" w:ascii="Times New Roman" w:hAnsi="Times New Roman" w:eastAsia="宋体"/>
                      <w:color w:val="auto"/>
                      <w:highlight w:val="none"/>
                      <w:lang w:eastAsia="zh-CN"/>
                    </w:rPr>
                    <w:t>）</w:t>
                  </w:r>
                  <w:r>
                    <w:rPr>
                      <w:rFonts w:hint="default" w:ascii="Times New Roman" w:hAnsi="Times New Roman" w:eastAsia="宋体"/>
                      <w:color w:val="auto"/>
                      <w:highlight w:val="none"/>
                    </w:rPr>
                    <w:t>》、《江苏省节能减排工作实施意见》</w:t>
                  </w:r>
                  <w:r>
                    <w:rPr>
                      <w:rFonts w:hint="eastAsia" w:ascii="Times New Roman" w:hAnsi="Times New Roman" w:eastAsia="宋体"/>
                      <w:color w:val="auto"/>
                      <w:highlight w:val="none"/>
                      <w:lang w:eastAsia="zh-CN"/>
                    </w:rPr>
                    <w:t>（</w:t>
                  </w:r>
                  <w:r>
                    <w:rPr>
                      <w:rFonts w:hint="default" w:ascii="Times New Roman" w:hAnsi="Times New Roman" w:eastAsia="宋体"/>
                      <w:color w:val="auto"/>
                      <w:highlight w:val="none"/>
                    </w:rPr>
                    <w:t>苏政发[2007]63号</w:t>
                  </w:r>
                  <w:r>
                    <w:rPr>
                      <w:rFonts w:hint="eastAsia" w:ascii="Times New Roman" w:hAnsi="Times New Roman" w:eastAsia="宋体"/>
                      <w:color w:val="auto"/>
                      <w:highlight w:val="none"/>
                      <w:lang w:eastAsia="zh-CN"/>
                    </w:rPr>
                    <w:t>）</w:t>
                  </w:r>
                  <w:r>
                    <w:rPr>
                      <w:rFonts w:hint="default" w:ascii="Times New Roman" w:hAnsi="Times New Roman" w:eastAsia="宋体"/>
                      <w:color w:val="auto"/>
                      <w:highlight w:val="none"/>
                    </w:rPr>
                    <w:t>、《省政府关于印发推进环境保护工作若干政策措施的通知》</w:t>
                  </w:r>
                  <w:r>
                    <w:rPr>
                      <w:rFonts w:hint="eastAsia" w:ascii="Times New Roman" w:hAnsi="Times New Roman" w:eastAsia="宋体"/>
                      <w:color w:val="auto"/>
                      <w:highlight w:val="none"/>
                      <w:lang w:eastAsia="zh-CN"/>
                    </w:rPr>
                    <w:t>（</w:t>
                  </w:r>
                  <w:r>
                    <w:rPr>
                      <w:rFonts w:hint="default" w:ascii="Times New Roman" w:hAnsi="Times New Roman" w:eastAsia="宋体"/>
                      <w:color w:val="auto"/>
                      <w:highlight w:val="none"/>
                    </w:rPr>
                    <w:t>苏政发[2007]92号</w:t>
                  </w:r>
                  <w:r>
                    <w:rPr>
                      <w:rFonts w:hint="eastAsia" w:ascii="Times New Roman" w:hAnsi="Times New Roman" w:eastAsia="宋体"/>
                      <w:color w:val="auto"/>
                      <w:highlight w:val="none"/>
                      <w:lang w:eastAsia="zh-CN"/>
                    </w:rPr>
                    <w:t>）</w:t>
                  </w:r>
                  <w:r>
                    <w:rPr>
                      <w:rFonts w:hint="default" w:ascii="Times New Roman" w:hAnsi="Times New Roman" w:eastAsia="宋体"/>
                      <w:color w:val="auto"/>
                      <w:highlight w:val="none"/>
                    </w:rPr>
                    <w:t>、《加强全省各级各类产业园环境基础设施建设的意见》</w:t>
                  </w:r>
                  <w:r>
                    <w:rPr>
                      <w:rFonts w:hint="eastAsia" w:ascii="Times New Roman" w:hAnsi="Times New Roman" w:eastAsia="宋体"/>
                      <w:color w:val="auto"/>
                      <w:highlight w:val="none"/>
                      <w:lang w:eastAsia="zh-CN"/>
                    </w:rPr>
                    <w:t>（</w:t>
                  </w:r>
                  <w:r>
                    <w:rPr>
                      <w:rFonts w:hint="default" w:ascii="Times New Roman" w:hAnsi="Times New Roman" w:eastAsia="宋体"/>
                      <w:color w:val="auto"/>
                      <w:highlight w:val="none"/>
                    </w:rPr>
                    <w:t>苏政办发[2007]115号</w:t>
                  </w:r>
                  <w:r>
                    <w:rPr>
                      <w:rFonts w:hint="eastAsia" w:ascii="Times New Roman" w:hAnsi="Times New Roman" w:eastAsia="宋体"/>
                      <w:color w:val="auto"/>
                      <w:highlight w:val="none"/>
                      <w:lang w:eastAsia="zh-CN"/>
                    </w:rPr>
                    <w:t>）</w:t>
                  </w:r>
                  <w:r>
                    <w:rPr>
                      <w:rFonts w:hint="default" w:ascii="Times New Roman" w:hAnsi="Times New Roman" w:eastAsia="宋体"/>
                      <w:color w:val="auto"/>
                      <w:highlight w:val="none"/>
                    </w:rPr>
                    <w:t>、《</w:t>
                  </w:r>
                  <w:r>
                    <w:rPr>
                      <w:rFonts w:hint="eastAsia" w:ascii="Times New Roman" w:hAnsi="Times New Roman" w:eastAsia="宋体"/>
                      <w:color w:val="auto"/>
                      <w:highlight w:val="none"/>
                      <w:lang w:eastAsia="zh-CN"/>
                    </w:rPr>
                    <w:t>江苏省太湖水污染防治条例</w:t>
                  </w:r>
                  <w:r>
                    <w:rPr>
                      <w:rFonts w:hint="default" w:ascii="Times New Roman" w:hAnsi="Times New Roman" w:eastAsia="宋体"/>
                      <w:color w:val="auto"/>
                      <w:highlight w:val="none"/>
                    </w:rPr>
                    <w:t>》</w:t>
                  </w:r>
                  <w:r>
                    <w:rPr>
                      <w:rFonts w:hint="eastAsia" w:ascii="Times New Roman" w:hAnsi="Times New Roman" w:eastAsia="宋体"/>
                      <w:color w:val="auto"/>
                      <w:highlight w:val="none"/>
                      <w:lang w:eastAsia="zh-CN"/>
                    </w:rPr>
                    <w:t>（</w:t>
                  </w:r>
                  <w:r>
                    <w:rPr>
                      <w:rFonts w:hint="default" w:ascii="Times New Roman" w:hAnsi="Times New Roman" w:eastAsia="宋体"/>
                      <w:color w:val="auto"/>
                      <w:highlight w:val="none"/>
                    </w:rPr>
                    <w:t>2007年修订版</w:t>
                  </w:r>
                  <w:r>
                    <w:rPr>
                      <w:rFonts w:hint="eastAsia" w:ascii="Times New Roman" w:hAnsi="Times New Roman" w:eastAsia="宋体"/>
                      <w:color w:val="auto"/>
                      <w:highlight w:val="none"/>
                      <w:lang w:eastAsia="zh-CN"/>
                    </w:rPr>
                    <w:t>）</w:t>
                  </w:r>
                  <w:r>
                    <w:rPr>
                      <w:rFonts w:hint="default" w:ascii="Times New Roman" w:hAnsi="Times New Roman" w:eastAsia="宋体"/>
                      <w:color w:val="auto"/>
                      <w:highlight w:val="none"/>
                    </w:rPr>
                    <w:t>等法规文件，严格入区项目准入门槛，加强建设项目的环境管理，将园区建成集科技研发、创新创意、商务金融、文化休闲、教育培训、生态居住于一体的国际性科技园区。</w:t>
                  </w:r>
                </w:p>
                <w:p w14:paraId="3A9EBB0B">
                  <w:pPr>
                    <w:pStyle w:val="18"/>
                    <w:keepNext w:val="0"/>
                    <w:keepLines w:val="0"/>
                    <w:pageBreakBefore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left"/>
                    <w:textAlignment w:val="auto"/>
                    <w:rPr>
                      <w:rFonts w:hint="default" w:ascii="Times New Roman" w:hAnsi="Times New Roman" w:eastAsia="宋体"/>
                      <w:color w:val="auto"/>
                      <w:highlight w:val="none"/>
                    </w:rPr>
                  </w:pPr>
                  <w:r>
                    <w:rPr>
                      <w:rFonts w:hint="default" w:ascii="Times New Roman" w:hAnsi="Times New Roman" w:eastAsia="宋体"/>
                      <w:color w:val="auto"/>
                      <w:szCs w:val="21"/>
                      <w:highlight w:val="none"/>
                    </w:rPr>
                    <w:t>科技园产业定位为发展IT设计、软件开发设计、创意产业等自主创新的高科技产业，以及服务于高科技产业的现代服务业。科技园应严格按照报告书中产业定位引进项目，不得引进非产业定位方向和“江苏省太湖水污染防治条例”所禁止的化学制浆、制革、酿造、染料、印染、电镀以及其他排放重金属及含磷、氮等污染物的企业和项目；禁止生产工艺及设备落后、环境风险较大的项目入区。所有入区项目应严格执行环境影响评价和“三同时”制度，未通过环保审批的项目一律不得开工建设。</w:t>
                  </w:r>
                </w:p>
              </w:tc>
              <w:tc>
                <w:tcPr>
                  <w:tcW w:w="1660" w:type="pct"/>
                  <w:noWrap w:val="0"/>
                  <w:vAlign w:val="center"/>
                </w:tcPr>
                <w:p w14:paraId="5A749EE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both"/>
                    <w:textAlignment w:val="auto"/>
                    <w:rPr>
                      <w:rFonts w:hint="default" w:ascii="Times New Roman" w:hAnsi="Times New Roman" w:eastAsia="宋体"/>
                      <w:color w:val="auto"/>
                      <w:highlight w:val="none"/>
                    </w:rPr>
                  </w:pPr>
                  <w:r>
                    <w:rPr>
                      <w:rFonts w:hint="eastAsia" w:ascii="Times New Roman" w:hAnsi="Times New Roman" w:eastAsia="宋体"/>
                      <w:color w:val="auto"/>
                      <w:sz w:val="21"/>
                      <w:szCs w:val="21"/>
                      <w:highlight w:val="none"/>
                      <w:lang w:val="en-US" w:eastAsia="zh-CN"/>
                    </w:rPr>
                    <w:t>本项目引进、购置国内外先进实验设施，针对小分子抗肿瘤药进行早期小试研发，建成后可年产化合物测试500个</w:t>
                  </w:r>
                  <w:r>
                    <w:rPr>
                      <w:rFonts w:hint="eastAsia" w:ascii="Times New Roman" w:hAnsi="Times New Roman" w:eastAsia="宋体"/>
                      <w:color w:val="auto"/>
                      <w:sz w:val="21"/>
                      <w:szCs w:val="21"/>
                      <w:highlight w:val="none"/>
                    </w:rPr>
                    <w:t>，</w:t>
                  </w:r>
                  <w:r>
                    <w:rPr>
                      <w:rFonts w:hint="default" w:ascii="Times New Roman" w:hAnsi="Times New Roman" w:eastAsia="宋体"/>
                      <w:color w:val="auto"/>
                      <w:highlight w:val="none"/>
                    </w:rPr>
                    <w:t>本</w:t>
                  </w:r>
                  <w:r>
                    <w:rPr>
                      <w:rFonts w:hint="default" w:ascii="Times New Roman" w:hAnsi="Times New Roman" w:eastAsia="宋体"/>
                      <w:color w:val="auto"/>
                      <w:sz w:val="21"/>
                      <w:szCs w:val="21"/>
                      <w:highlight w:val="none"/>
                    </w:rPr>
                    <w:t>项目</w:t>
                  </w:r>
                  <w:r>
                    <w:rPr>
                      <w:rFonts w:hint="eastAsia" w:ascii="Times New Roman" w:hAnsi="Times New Roman" w:eastAsia="宋体"/>
                      <w:color w:val="auto"/>
                      <w:sz w:val="21"/>
                      <w:szCs w:val="21"/>
                      <w:highlight w:val="none"/>
                    </w:rPr>
                    <w:t>的建设符合国家和地方的产业政策</w:t>
                  </w:r>
                  <w:r>
                    <w:rPr>
                      <w:rFonts w:hint="eastAsia" w:ascii="Times New Roman" w:hAnsi="Times New Roman" w:eastAsia="宋体"/>
                      <w:color w:val="auto"/>
                      <w:sz w:val="21"/>
                      <w:szCs w:val="21"/>
                      <w:highlight w:val="none"/>
                      <w:lang w:eastAsia="zh-CN"/>
                    </w:rPr>
                    <w:t>。</w:t>
                  </w:r>
                  <w:r>
                    <w:rPr>
                      <w:rFonts w:hint="eastAsia" w:ascii="Times New Roman" w:hAnsi="Times New Roman" w:eastAsia="宋体"/>
                      <w:color w:val="auto"/>
                      <w:sz w:val="21"/>
                      <w:szCs w:val="21"/>
                      <w:highlight w:val="none"/>
                    </w:rPr>
                    <w:t>属于自主创新的高科技产业，符合科技园区产业定位</w:t>
                  </w:r>
                  <w:r>
                    <w:rPr>
                      <w:rFonts w:hint="default" w:ascii="Times New Roman" w:hAnsi="Times New Roman" w:eastAsia="宋体"/>
                      <w:color w:val="auto"/>
                      <w:sz w:val="21"/>
                      <w:szCs w:val="21"/>
                      <w:highlight w:val="none"/>
                    </w:rPr>
                    <w:t>。</w:t>
                  </w:r>
                  <w:r>
                    <w:rPr>
                      <w:rFonts w:hint="default" w:ascii="Times New Roman" w:hAnsi="Times New Roman" w:eastAsia="宋体"/>
                      <w:color w:val="auto"/>
                      <w:highlight w:val="none"/>
                    </w:rPr>
                    <w:t>本项目不属于</w:t>
                  </w:r>
                  <w:r>
                    <w:rPr>
                      <w:rFonts w:hint="eastAsia" w:ascii="Times New Roman" w:hAnsi="Times New Roman" w:eastAsia="宋体"/>
                      <w:color w:val="auto"/>
                      <w:szCs w:val="21"/>
                      <w:highlight w:val="none"/>
                      <w:lang w:eastAsia="zh-CN"/>
                    </w:rPr>
                    <w:t>《</w:t>
                  </w:r>
                  <w:r>
                    <w:rPr>
                      <w:rFonts w:hint="default" w:ascii="Times New Roman" w:hAnsi="Times New Roman" w:eastAsia="宋体"/>
                      <w:color w:val="auto"/>
                      <w:szCs w:val="21"/>
                      <w:highlight w:val="none"/>
                    </w:rPr>
                    <w:t>江苏省太湖水污染防治条例</w:t>
                  </w:r>
                  <w:r>
                    <w:rPr>
                      <w:rFonts w:hint="eastAsia" w:ascii="Times New Roman" w:hAnsi="Times New Roman" w:eastAsia="宋体"/>
                      <w:color w:val="auto"/>
                      <w:szCs w:val="21"/>
                      <w:highlight w:val="none"/>
                      <w:lang w:eastAsia="zh-CN"/>
                    </w:rPr>
                    <w:t>》</w:t>
                  </w:r>
                  <w:r>
                    <w:rPr>
                      <w:rFonts w:hint="default" w:ascii="Times New Roman" w:hAnsi="Times New Roman" w:eastAsia="宋体"/>
                      <w:color w:val="auto"/>
                      <w:szCs w:val="21"/>
                      <w:highlight w:val="none"/>
                    </w:rPr>
                    <w:t>所禁止的</w:t>
                  </w:r>
                  <w:r>
                    <w:rPr>
                      <w:rFonts w:hint="default" w:ascii="Times New Roman" w:hAnsi="Times New Roman" w:eastAsia="宋体"/>
                      <w:color w:val="auto"/>
                      <w:highlight w:val="none"/>
                    </w:rPr>
                    <w:t>化学制浆、制革、酿造、染料、印染</w:t>
                  </w:r>
                  <w:r>
                    <w:rPr>
                      <w:rFonts w:hint="eastAsia" w:ascii="Times New Roman" w:hAnsi="Times New Roman" w:eastAsia="宋体"/>
                      <w:color w:val="auto"/>
                      <w:highlight w:val="none"/>
                      <w:lang w:eastAsia="zh-CN"/>
                    </w:rPr>
                    <w:t>、</w:t>
                  </w:r>
                  <w:r>
                    <w:rPr>
                      <w:rFonts w:hint="default" w:ascii="Times New Roman" w:hAnsi="Times New Roman" w:eastAsia="宋体"/>
                      <w:color w:val="auto"/>
                      <w:szCs w:val="21"/>
                      <w:highlight w:val="none"/>
                    </w:rPr>
                    <w:t>电镀</w:t>
                  </w:r>
                  <w:r>
                    <w:rPr>
                      <w:rFonts w:hint="eastAsia" w:ascii="Times New Roman" w:hAnsi="Times New Roman" w:eastAsia="宋体"/>
                      <w:color w:val="auto"/>
                      <w:highlight w:val="none"/>
                    </w:rPr>
                    <w:t>等</w:t>
                  </w:r>
                  <w:r>
                    <w:rPr>
                      <w:rFonts w:hint="default" w:ascii="Times New Roman" w:hAnsi="Times New Roman" w:eastAsia="宋体"/>
                      <w:color w:val="auto"/>
                      <w:highlight w:val="none"/>
                    </w:rPr>
                    <w:t>以及其他排放重金属及含磷、氮等污染物的企业和项目，不属于生产工艺及设备落后</w:t>
                  </w:r>
                  <w:r>
                    <w:rPr>
                      <w:rFonts w:hint="eastAsia" w:ascii="Times New Roman" w:hAnsi="Times New Roman" w:eastAsia="宋体"/>
                      <w:color w:val="auto"/>
                      <w:highlight w:val="none"/>
                    </w:rPr>
                    <w:t>项目，本项目经采取相应风险防范措施及应急措施后</w:t>
                  </w:r>
                  <w:r>
                    <w:rPr>
                      <w:rFonts w:hint="default" w:ascii="Times New Roman" w:hAnsi="Times New Roman" w:eastAsia="宋体"/>
                      <w:color w:val="auto"/>
                      <w:highlight w:val="none"/>
                    </w:rPr>
                    <w:t>环境风险</w:t>
                  </w:r>
                  <w:r>
                    <w:rPr>
                      <w:rFonts w:hint="eastAsia" w:ascii="Times New Roman" w:hAnsi="Times New Roman" w:eastAsia="宋体"/>
                      <w:color w:val="auto"/>
                      <w:highlight w:val="none"/>
                    </w:rPr>
                    <w:t>可接受</w:t>
                  </w:r>
                  <w:r>
                    <w:rPr>
                      <w:rFonts w:hint="default" w:ascii="Times New Roman" w:hAnsi="Times New Roman" w:eastAsia="宋体"/>
                      <w:color w:val="auto"/>
                      <w:highlight w:val="none"/>
                    </w:rPr>
                    <w:t>。</w:t>
                  </w:r>
                  <w:r>
                    <w:rPr>
                      <w:rFonts w:hint="eastAsia" w:ascii="Times New Roman" w:hAnsi="Times New Roman" w:eastAsia="宋体"/>
                      <w:color w:val="auto"/>
                      <w:highlight w:val="none"/>
                      <w:lang w:val="en-US" w:eastAsia="zh-CN"/>
                    </w:rPr>
                    <w:t>本项目</w:t>
                  </w:r>
                  <w:r>
                    <w:rPr>
                      <w:rFonts w:hint="eastAsia" w:ascii="Times New Roman" w:hAnsi="Times New Roman" w:eastAsia="宋体"/>
                      <w:color w:val="auto"/>
                      <w:highlight w:val="none"/>
                    </w:rPr>
                    <w:t>将</w:t>
                  </w:r>
                  <w:r>
                    <w:rPr>
                      <w:rFonts w:hint="default" w:ascii="Times New Roman" w:hAnsi="Times New Roman" w:eastAsia="宋体"/>
                      <w:color w:val="auto"/>
                      <w:highlight w:val="none"/>
                    </w:rPr>
                    <w:t>严格执行建设项目环境影响评价和“三同时”制度。</w:t>
                  </w:r>
                </w:p>
              </w:tc>
              <w:tc>
                <w:tcPr>
                  <w:tcW w:w="437" w:type="pct"/>
                  <w:noWrap w:val="0"/>
                  <w:tcMar>
                    <w:top w:w="0" w:type="dxa"/>
                    <w:left w:w="0" w:type="dxa"/>
                    <w:bottom w:w="0" w:type="dxa"/>
                    <w:right w:w="0" w:type="dxa"/>
                  </w:tcMar>
                  <w:vAlign w:val="center"/>
                </w:tcPr>
                <w:p w14:paraId="1EDD4B06">
                  <w:pPr>
                    <w:keepNext w:val="0"/>
                    <w:keepLines w:val="0"/>
                    <w:suppressLineNumbers w:val="0"/>
                    <w:spacing w:before="0" w:beforeAutospacing="0" w:after="0" w:afterAutospacing="0" w:line="310" w:lineRule="exact"/>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相符</w:t>
                  </w:r>
                </w:p>
              </w:tc>
            </w:tr>
            <w:tr w14:paraId="501A7A06">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trPr>
              <w:tc>
                <w:tcPr>
                  <w:tcW w:w="627" w:type="pct"/>
                  <w:noWrap w:val="0"/>
                  <w:tcMar>
                    <w:top w:w="0" w:type="dxa"/>
                    <w:left w:w="0" w:type="dxa"/>
                    <w:bottom w:w="0" w:type="dxa"/>
                    <w:right w:w="0" w:type="dxa"/>
                  </w:tcMar>
                  <w:vAlign w:val="center"/>
                </w:tcPr>
                <w:p w14:paraId="1BEA917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合理规划科技园布局，推进区内产业结构调整</w:t>
                  </w:r>
                </w:p>
              </w:tc>
              <w:tc>
                <w:tcPr>
                  <w:tcW w:w="2274" w:type="pct"/>
                  <w:noWrap w:val="0"/>
                  <w:tcMar>
                    <w:top w:w="0" w:type="dxa"/>
                    <w:left w:w="0" w:type="dxa"/>
                    <w:bottom w:w="0" w:type="dxa"/>
                    <w:right w:w="0" w:type="dxa"/>
                  </w:tcMar>
                  <w:vAlign w:val="center"/>
                </w:tcPr>
                <w:p w14:paraId="16C89F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科技园应根据所在地位置、地形、地貌，结合无锡市总体规划的定位，遵循生态发展的理念，进一步优化用地布局规划，合理布局各功能片区。</w:t>
                  </w:r>
                </w:p>
                <w:p w14:paraId="4BFCB3A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left"/>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对科技园内现有分散居民制定集中安置计划，分期实施。提升改造科技园内原有产业，对于不符合产业定位的传统工业企业，按计划逐步进行搬迁。</w:t>
                  </w:r>
                </w:p>
              </w:tc>
              <w:tc>
                <w:tcPr>
                  <w:tcW w:w="1660" w:type="pct"/>
                  <w:noWrap w:val="0"/>
                  <w:vAlign w:val="center"/>
                </w:tcPr>
                <w:p w14:paraId="53EC464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both"/>
                    <w:textAlignment w:val="auto"/>
                    <w:rPr>
                      <w:rFonts w:hint="default" w:ascii="Times New Roman" w:hAnsi="Times New Roman" w:eastAsia="宋体"/>
                      <w:color w:val="auto"/>
                      <w:highlight w:val="none"/>
                    </w:rPr>
                  </w:pPr>
                  <w:r>
                    <w:rPr>
                      <w:rFonts w:hint="eastAsia" w:ascii="Times New Roman" w:hAnsi="Times New Roman" w:eastAsia="宋体"/>
                      <w:color w:val="auto"/>
                      <w:sz w:val="21"/>
                      <w:szCs w:val="21"/>
                      <w:highlight w:val="none"/>
                      <w:lang w:val="en-US" w:eastAsia="zh-CN"/>
                    </w:rPr>
                    <w:t>本项目针对小分子抗肿瘤药进行早期小试研发，建成后可年产化合物测试500个</w:t>
                  </w:r>
                  <w:r>
                    <w:rPr>
                      <w:rFonts w:hint="eastAsia" w:ascii="Times New Roman" w:hAnsi="Times New Roman" w:eastAsia="宋体"/>
                      <w:color w:val="auto"/>
                      <w:sz w:val="21"/>
                      <w:szCs w:val="21"/>
                      <w:highlight w:val="none"/>
                    </w:rPr>
                    <w:t>，</w:t>
                  </w:r>
                  <w:r>
                    <w:rPr>
                      <w:rFonts w:hint="eastAsia" w:ascii="Times New Roman" w:hAnsi="Times New Roman" w:eastAsia="宋体"/>
                      <w:color w:val="auto"/>
                      <w:highlight w:val="none"/>
                    </w:rPr>
                    <w:t>符合项目所在地“</w:t>
                  </w:r>
                  <w:r>
                    <w:rPr>
                      <w:rFonts w:hint="default" w:ascii="Times New Roman" w:hAnsi="Times New Roman" w:eastAsia="宋体"/>
                      <w:color w:val="auto"/>
                      <w:highlight w:val="none"/>
                    </w:rPr>
                    <w:t>生产研发用地</w:t>
                  </w:r>
                  <w:r>
                    <w:rPr>
                      <w:rFonts w:hint="eastAsia" w:ascii="Times New Roman" w:hAnsi="Times New Roman" w:eastAsia="宋体"/>
                      <w:color w:val="auto"/>
                      <w:highlight w:val="none"/>
                      <w:lang w:val="en-US" w:eastAsia="zh-CN"/>
                    </w:rPr>
                    <w:t>+</w:t>
                  </w:r>
                  <w:r>
                    <w:rPr>
                      <w:rFonts w:hint="default" w:ascii="Times New Roman" w:hAnsi="Times New Roman" w:eastAsia="宋体"/>
                      <w:color w:val="auto"/>
                      <w:highlight w:val="none"/>
                    </w:rPr>
                    <w:t>科研设计用地</w:t>
                  </w:r>
                  <w:r>
                    <w:rPr>
                      <w:rFonts w:hint="eastAsia" w:ascii="Times New Roman" w:hAnsi="Times New Roman" w:eastAsia="宋体"/>
                      <w:color w:val="auto"/>
                      <w:highlight w:val="none"/>
                    </w:rPr>
                    <w:t>”的规划用途</w:t>
                  </w:r>
                  <w:r>
                    <w:rPr>
                      <w:rFonts w:hint="default" w:ascii="Times New Roman" w:hAnsi="Times New Roman" w:eastAsia="宋体"/>
                      <w:color w:val="auto"/>
                      <w:highlight w:val="none"/>
                    </w:rPr>
                    <w:t>；</w:t>
                  </w:r>
                  <w:r>
                    <w:rPr>
                      <w:rFonts w:hint="eastAsia" w:ascii="Times New Roman" w:hAnsi="Times New Roman" w:eastAsia="宋体"/>
                      <w:color w:val="auto"/>
                      <w:highlight w:val="none"/>
                    </w:rPr>
                    <w:t>亦符合园区产业定位。</w:t>
                  </w:r>
                  <w:r>
                    <w:rPr>
                      <w:rFonts w:hint="eastAsia" w:ascii="Times New Roman" w:hAnsi="Times New Roman" w:eastAsia="宋体"/>
                      <w:color w:val="auto"/>
                      <w:highlight w:val="none"/>
                      <w:lang w:val="en-US" w:eastAsia="zh-CN"/>
                    </w:rPr>
                    <w:t>本项目建成后全厂设置卫生防护距离为</w:t>
                  </w:r>
                  <w:r>
                    <w:rPr>
                      <w:rFonts w:hint="eastAsia"/>
                      <w:color w:val="auto"/>
                      <w:highlight w:val="none"/>
                      <w:lang w:val="en-US" w:eastAsia="zh-CN"/>
                    </w:rPr>
                    <w:t>厂房外50米</w:t>
                  </w:r>
                  <w:r>
                    <w:rPr>
                      <w:rFonts w:hint="default" w:ascii="Times New Roman" w:hAnsi="Times New Roman" w:eastAsia="宋体"/>
                      <w:color w:val="auto"/>
                      <w:highlight w:val="none"/>
                    </w:rPr>
                    <w:t>，根据周围环境图，卫生防护距离范围内无环境敏感保护目标。</w:t>
                  </w:r>
                </w:p>
              </w:tc>
              <w:tc>
                <w:tcPr>
                  <w:tcW w:w="437" w:type="pct"/>
                  <w:noWrap w:val="0"/>
                  <w:tcMar>
                    <w:top w:w="0" w:type="dxa"/>
                    <w:left w:w="0" w:type="dxa"/>
                    <w:bottom w:w="0" w:type="dxa"/>
                    <w:right w:w="0" w:type="dxa"/>
                  </w:tcMar>
                  <w:vAlign w:val="center"/>
                </w:tcPr>
                <w:p w14:paraId="22A29675">
                  <w:pPr>
                    <w:keepNext w:val="0"/>
                    <w:keepLines w:val="0"/>
                    <w:suppressLineNumbers w:val="0"/>
                    <w:spacing w:before="0" w:beforeAutospacing="0" w:after="0" w:afterAutospacing="0" w:line="310" w:lineRule="exact"/>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相符</w:t>
                  </w:r>
                </w:p>
              </w:tc>
            </w:tr>
            <w:tr w14:paraId="155891A3">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trPr>
              <w:tc>
                <w:tcPr>
                  <w:tcW w:w="627" w:type="pct"/>
                  <w:noWrap w:val="0"/>
                  <w:tcMar>
                    <w:top w:w="0" w:type="dxa"/>
                    <w:left w:w="0" w:type="dxa"/>
                    <w:bottom w:w="0" w:type="dxa"/>
                    <w:right w:w="0" w:type="dxa"/>
                  </w:tcMar>
                  <w:vAlign w:val="center"/>
                </w:tcPr>
                <w:p w14:paraId="2111584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进一步完善科技园环保基础设施建设</w:t>
                  </w:r>
                </w:p>
              </w:tc>
              <w:tc>
                <w:tcPr>
                  <w:tcW w:w="2274" w:type="pct"/>
                  <w:noWrap w:val="0"/>
                  <w:tcMar>
                    <w:top w:w="0" w:type="dxa"/>
                    <w:left w:w="0" w:type="dxa"/>
                    <w:bottom w:w="0" w:type="dxa"/>
                    <w:right w:w="0" w:type="dxa"/>
                  </w:tcMar>
                  <w:vAlign w:val="center"/>
                </w:tcPr>
                <w:p w14:paraId="7AD6B29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left"/>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科技园须配备完善的环境基础设施，切实做到环境基础设施先行。环境基础设施的规划设计和建设要采用高标准，严格按照“雨污分流、清污分流”要求，加快建设区内截污管网和雨水排放系统。入园单位废水须预处理达到《污水综合排放标准》(GB8978-1996)表4中的三级标准和《污水排入城市下水道水质标准》(CJ3082-1999)中“有城市污水处理厂的城市下水道系统”标准后排入太湖新城污水处理厂集中处理。结合太湖新城污水处理厂尾水回用系统建设计划，规划实施园区中水管网，逐步减少污水排放量。园区由无锡协联热电有限公司提供热能，热力管网按园区规划加快实施建设，确保入园项目的热力供应。入园企业因生产工艺需要自行设置加热设备的，必须使用电、天然气等清洁能源。企业生产过程中产生的有组织排放废气应经处理达标排放，并应采取有效措施严格控制废气无组织排放。废气排放应符合国家相关标准的要求。科技园不设置固体废物处置场所，但应编制主要产业固废综合利用和安全处置规划，建立统一的固废(特别是危险废物)收集、贮存、运输、综合利用和安全处置的运营管理体系，危险废物处置应纳入无锡市危废处置系统。</w:t>
                  </w:r>
                </w:p>
              </w:tc>
              <w:tc>
                <w:tcPr>
                  <w:tcW w:w="1660" w:type="pct"/>
                  <w:noWrap w:val="0"/>
                  <w:vAlign w:val="center"/>
                </w:tcPr>
                <w:p w14:paraId="2D0F2D0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both"/>
                    <w:textAlignment w:val="auto"/>
                    <w:rPr>
                      <w:rFonts w:hint="default" w:ascii="Times New Roman" w:hAnsi="Times New Roman" w:eastAsia="宋体"/>
                      <w:color w:val="auto"/>
                      <w:highlight w:val="none"/>
                      <w:lang w:val="en-US"/>
                    </w:rPr>
                  </w:pPr>
                  <w:r>
                    <w:rPr>
                      <w:rFonts w:hint="default" w:ascii="Times New Roman" w:hAnsi="Times New Roman" w:eastAsia="宋体"/>
                      <w:color w:val="auto"/>
                      <w:highlight w:val="none"/>
                    </w:rPr>
                    <w:t>本项目</w:t>
                  </w:r>
                  <w:r>
                    <w:rPr>
                      <w:rFonts w:hint="eastAsia" w:ascii="Times New Roman" w:hAnsi="Times New Roman" w:eastAsia="宋体"/>
                      <w:color w:val="auto"/>
                      <w:highlight w:val="none"/>
                    </w:rPr>
                    <w:t>排水实施“雨污分流、清污分流”，</w:t>
                  </w:r>
                  <w:r>
                    <w:rPr>
                      <w:rFonts w:hint="eastAsia" w:ascii="Times New Roman" w:hAnsi="Times New Roman" w:eastAsia="宋体"/>
                      <w:color w:val="auto"/>
                      <w:highlight w:val="none"/>
                      <w:lang w:val="en-US" w:eastAsia="zh-CN"/>
                    </w:rPr>
                    <w:t>本项目</w:t>
                  </w:r>
                  <w:r>
                    <w:rPr>
                      <w:rFonts w:hint="eastAsia"/>
                      <w:color w:val="auto"/>
                      <w:highlight w:val="none"/>
                      <w:lang w:val="en-US" w:eastAsia="zh-CN"/>
                    </w:rPr>
                    <w:t>纯水制备浓水、水浴锅排水和经化粪池处理后的生活污水、淋浴废水一并接管至太湖新城污水处理厂进行处理，尾水排入京杭运。</w:t>
                  </w:r>
                </w:p>
                <w:p w14:paraId="5059CD3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both"/>
                    <w:textAlignment w:val="auto"/>
                    <w:rPr>
                      <w:rFonts w:hint="default" w:ascii="Times New Roman" w:hAnsi="Times New Roman" w:eastAsia="宋体"/>
                      <w:color w:val="auto"/>
                      <w:highlight w:val="none"/>
                    </w:rPr>
                  </w:pPr>
                  <w:r>
                    <w:rPr>
                      <w:rFonts w:hint="eastAsia" w:ascii="Times New Roman" w:hAnsi="Times New Roman" w:eastAsia="宋体"/>
                      <w:color w:val="auto"/>
                      <w:highlight w:val="none"/>
                      <w:lang w:eastAsia="zh-CN"/>
                    </w:rPr>
                    <w:t>本</w:t>
                  </w:r>
                  <w:r>
                    <w:rPr>
                      <w:rFonts w:hint="default" w:ascii="Times New Roman" w:hAnsi="Times New Roman" w:eastAsia="宋体"/>
                      <w:color w:val="auto"/>
                      <w:highlight w:val="none"/>
                    </w:rPr>
                    <w:t>项目产生的废气均收集后经有效处理措施处理后达标排放，严格控制和减少各类无组织排放。</w:t>
                  </w:r>
                  <w:r>
                    <w:rPr>
                      <w:rFonts w:hint="default" w:ascii="Times New Roman" w:hAnsi="Times New Roman" w:eastAsia="宋体" w:cs="Times New Roman"/>
                      <w:color w:val="auto"/>
                      <w:sz w:val="21"/>
                      <w:szCs w:val="21"/>
                      <w:highlight w:val="none"/>
                    </w:rPr>
                    <w:t>企业内部按照规范要求设置一般固废暂存场所和危险固废暂存场所。危险固废拟委托相应的资质单位处置。</w:t>
                  </w:r>
                </w:p>
              </w:tc>
              <w:tc>
                <w:tcPr>
                  <w:tcW w:w="437" w:type="pct"/>
                  <w:noWrap w:val="0"/>
                  <w:tcMar>
                    <w:top w:w="0" w:type="dxa"/>
                    <w:left w:w="0" w:type="dxa"/>
                    <w:bottom w:w="0" w:type="dxa"/>
                    <w:right w:w="0" w:type="dxa"/>
                  </w:tcMar>
                  <w:vAlign w:val="center"/>
                </w:tcPr>
                <w:p w14:paraId="5DA0479E">
                  <w:pPr>
                    <w:keepNext w:val="0"/>
                    <w:keepLines w:val="0"/>
                    <w:suppressLineNumbers w:val="0"/>
                    <w:spacing w:before="0" w:beforeAutospacing="0" w:after="0" w:afterAutospacing="0" w:line="310" w:lineRule="exact"/>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相符</w:t>
                  </w:r>
                </w:p>
              </w:tc>
            </w:tr>
            <w:tr w14:paraId="5511DB8C">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trPr>
              <w:tc>
                <w:tcPr>
                  <w:tcW w:w="627" w:type="pct"/>
                  <w:noWrap w:val="0"/>
                  <w:tcMar>
                    <w:top w:w="0" w:type="dxa"/>
                    <w:left w:w="0" w:type="dxa"/>
                    <w:bottom w:w="0" w:type="dxa"/>
                    <w:right w:w="0" w:type="dxa"/>
                  </w:tcMar>
                  <w:vAlign w:val="center"/>
                </w:tcPr>
                <w:p w14:paraId="72F5475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落实事故风险的防范和应急措施</w:t>
                  </w:r>
                </w:p>
              </w:tc>
              <w:tc>
                <w:tcPr>
                  <w:tcW w:w="2274" w:type="pct"/>
                  <w:noWrap w:val="0"/>
                  <w:tcMar>
                    <w:top w:w="0" w:type="dxa"/>
                    <w:left w:w="0" w:type="dxa"/>
                    <w:bottom w:w="0" w:type="dxa"/>
                    <w:right w:w="0" w:type="dxa"/>
                  </w:tcMar>
                  <w:vAlign w:val="center"/>
                </w:tcPr>
                <w:p w14:paraId="73269E4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科技园要建立环境风险防控管理体系，成立园区环境管理。</w:t>
                  </w:r>
                </w:p>
                <w:p w14:paraId="116BFCE4">
                  <w:pPr>
                    <w:pStyle w:val="18"/>
                    <w:keepNext w:val="0"/>
                    <w:keepLines w:val="0"/>
                    <w:pageBreakBefore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left"/>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科技园应根据园区废水产生量和太湖新城污水处理厂接纳区内废水量的能力，控制入园项目的建设，当科技园污水量超过接管核定量或污水处理厂接纳能力时，科技园内新建项目环评审批不予受理。太湖新城污水处理厂应视服务范围内的，水量情况进行恰当规模的扩建，并提前报批环评文件，经环保部门批准同意后实施。</w:t>
                  </w:r>
                </w:p>
              </w:tc>
              <w:tc>
                <w:tcPr>
                  <w:tcW w:w="1660" w:type="pct"/>
                  <w:noWrap w:val="0"/>
                  <w:vAlign w:val="center"/>
                </w:tcPr>
                <w:p w14:paraId="0E497557">
                  <w:pPr>
                    <w:pStyle w:val="12"/>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textAlignment w:val="auto"/>
                    <w:rPr>
                      <w:rFonts w:hint="default"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本项目建设后将按照要求建立风险防范体系。</w:t>
                  </w:r>
                  <w:r>
                    <w:rPr>
                      <w:rFonts w:hint="eastAsia" w:ascii="Times New Roman" w:hAnsi="Times New Roman" w:eastAsia="宋体"/>
                      <w:color w:val="auto"/>
                      <w:sz w:val="21"/>
                      <w:szCs w:val="21"/>
                      <w:highlight w:val="none"/>
                      <w:lang w:val="en-US" w:eastAsia="zh-CN"/>
                    </w:rPr>
                    <w:t>本项目纯水制备浓水、水浴锅排水和经化粪池处理后的生活污水</w:t>
                  </w:r>
                  <w:r>
                    <w:rPr>
                      <w:rFonts w:hint="eastAsia"/>
                      <w:color w:val="auto"/>
                      <w:sz w:val="21"/>
                      <w:szCs w:val="21"/>
                      <w:highlight w:val="none"/>
                      <w:lang w:val="en-US" w:eastAsia="zh-CN"/>
                    </w:rPr>
                    <w:t>、淋浴废水</w:t>
                  </w:r>
                  <w:r>
                    <w:rPr>
                      <w:rFonts w:hint="eastAsia" w:ascii="Times New Roman" w:hAnsi="Times New Roman" w:eastAsia="宋体"/>
                      <w:color w:val="auto"/>
                      <w:sz w:val="21"/>
                      <w:szCs w:val="21"/>
                      <w:highlight w:val="none"/>
                      <w:lang w:val="en-US" w:eastAsia="zh-CN"/>
                    </w:rPr>
                    <w:t>一并接管至太湖新城污水处理厂进行处理，尾水排入京杭运。</w:t>
                  </w:r>
                </w:p>
              </w:tc>
              <w:tc>
                <w:tcPr>
                  <w:tcW w:w="437" w:type="pct"/>
                  <w:noWrap w:val="0"/>
                  <w:tcMar>
                    <w:top w:w="0" w:type="dxa"/>
                    <w:left w:w="0" w:type="dxa"/>
                    <w:bottom w:w="0" w:type="dxa"/>
                    <w:right w:w="0" w:type="dxa"/>
                  </w:tcMar>
                  <w:vAlign w:val="center"/>
                </w:tcPr>
                <w:p w14:paraId="5D301DDE">
                  <w:pPr>
                    <w:keepNext w:val="0"/>
                    <w:keepLines w:val="0"/>
                    <w:suppressLineNumbers w:val="0"/>
                    <w:spacing w:before="0" w:beforeAutospacing="0" w:after="0" w:afterAutospacing="0" w:line="310" w:lineRule="exact"/>
                    <w:ind w:left="0" w:right="0"/>
                    <w:jc w:val="center"/>
                    <w:rPr>
                      <w:rFonts w:hint="eastAsia" w:ascii="Times New Roman" w:hAnsi="Times New Roman" w:eastAsia="宋体"/>
                      <w:color w:val="auto"/>
                      <w:highlight w:val="none"/>
                    </w:rPr>
                  </w:pPr>
                  <w:r>
                    <w:rPr>
                      <w:rFonts w:hint="eastAsia" w:ascii="Times New Roman" w:hAnsi="Times New Roman" w:eastAsia="宋体"/>
                      <w:color w:val="auto"/>
                      <w:highlight w:val="none"/>
                    </w:rPr>
                    <w:t>相符</w:t>
                  </w:r>
                </w:p>
              </w:tc>
            </w:tr>
          </w:tbl>
          <w:p w14:paraId="65B99C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经对照可知，</w:t>
            </w:r>
            <w:r>
              <w:rPr>
                <w:rFonts w:hint="eastAsia" w:ascii="Times New Roman" w:hAnsi="Times New Roman" w:eastAsia="宋体"/>
                <w:color w:val="auto"/>
                <w:sz w:val="24"/>
                <w:highlight w:val="none"/>
              </w:rPr>
              <w:t>本项目的建设</w:t>
            </w:r>
            <w:r>
              <w:rPr>
                <w:rFonts w:hint="default" w:ascii="Times New Roman" w:hAnsi="Times New Roman" w:eastAsia="宋体"/>
                <w:color w:val="auto"/>
                <w:sz w:val="24"/>
                <w:highlight w:val="none"/>
              </w:rPr>
              <w:t>符合《关于无锡（太湖）国际科技园环境影响报告书的批复》（锡环管</w:t>
            </w:r>
            <w:r>
              <w:rPr>
                <w:rFonts w:hint="eastAsia" w:ascii="Times New Roman" w:hAnsi="Times New Roman" w:eastAsia="宋体"/>
                <w:color w:val="auto"/>
                <w:sz w:val="24"/>
                <w:highlight w:val="none"/>
                <w:lang w:eastAsia="zh-CN"/>
              </w:rPr>
              <w:t>〔2009〕67号</w:t>
            </w:r>
            <w:r>
              <w:rPr>
                <w:rFonts w:hint="default" w:ascii="Times New Roman" w:hAnsi="Times New Roman" w:eastAsia="宋体"/>
                <w:color w:val="auto"/>
                <w:sz w:val="24"/>
                <w:highlight w:val="none"/>
              </w:rPr>
              <w:t>）的要求。</w:t>
            </w:r>
          </w:p>
          <w:p w14:paraId="38B495DC">
            <w:pPr>
              <w:keepNext w:val="0"/>
              <w:keepLines w:val="0"/>
              <w:suppressLineNumbers w:val="0"/>
              <w:tabs>
                <w:tab w:val="left" w:pos="0"/>
              </w:tabs>
              <w:snapToGrid w:val="0"/>
              <w:spacing w:before="0" w:beforeAutospacing="0" w:after="0" w:afterAutospacing="0" w:line="360" w:lineRule="auto"/>
              <w:ind w:left="480" w:right="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color w:val="auto"/>
                <w:sz w:val="24"/>
                <w:highlight w:val="none"/>
              </w:rPr>
              <w:t>B.</w:t>
            </w:r>
            <w:r>
              <w:rPr>
                <w:rFonts w:hint="eastAsia" w:ascii="Times New Roman" w:hAnsi="Times New Roman" w:eastAsia="宋体" w:cs="Times New Roman"/>
                <w:b/>
                <w:color w:val="auto"/>
                <w:sz w:val="24"/>
                <w:highlight w:val="none"/>
                <w:lang w:eastAsia="zh-CN"/>
              </w:rPr>
              <w:t>规划环评</w:t>
            </w:r>
            <w:r>
              <w:rPr>
                <w:rFonts w:hint="default" w:ascii="Times New Roman" w:hAnsi="Times New Roman" w:eastAsia="宋体" w:cs="Times New Roman"/>
                <w:b/>
                <w:color w:val="auto"/>
                <w:sz w:val="24"/>
                <w:highlight w:val="none"/>
              </w:rPr>
              <w:t>跟踪评价</w:t>
            </w:r>
            <w:r>
              <w:rPr>
                <w:rFonts w:hint="eastAsia" w:ascii="Times New Roman" w:hAnsi="Times New Roman" w:eastAsia="宋体" w:cs="Times New Roman"/>
                <w:b/>
                <w:color w:val="auto"/>
                <w:sz w:val="24"/>
                <w:highlight w:val="none"/>
                <w:lang w:val="en-US" w:eastAsia="zh-CN"/>
              </w:rPr>
              <w:t>及审查意见</w:t>
            </w:r>
            <w:r>
              <w:rPr>
                <w:rFonts w:hint="default" w:ascii="Times New Roman" w:hAnsi="Times New Roman" w:eastAsia="宋体" w:cs="Times New Roman"/>
                <w:b/>
                <w:color w:val="auto"/>
                <w:sz w:val="24"/>
                <w:highlight w:val="none"/>
              </w:rPr>
              <w:t>相符性分析</w:t>
            </w:r>
          </w:p>
          <w:p w14:paraId="4B3395FA">
            <w:pPr>
              <w:keepNext w:val="0"/>
              <w:keepLines w:val="0"/>
              <w:suppressLineNumbers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val="en-US" w:eastAsia="zh-CN"/>
              </w:rPr>
              <w:t>《无锡（太湖）国际科技园规划环境影响跟踪评价报告书》于2017年3月通过无锡高新区（新吴区）安全生产监督管理和环境保护局的审查，取得《关于无锡（太湖）国际科技园规划环境影响跟踪评价报告书的审核意见》（锡环管新[2017]3号）</w:t>
            </w:r>
            <w:r>
              <w:rPr>
                <w:rFonts w:hint="eastAsia" w:ascii="Times New Roman" w:hAnsi="Times New Roman" w:eastAsia="宋体" w:cs="Times New Roman"/>
                <w:color w:val="auto"/>
                <w:sz w:val="24"/>
                <w:highlight w:val="none"/>
                <w:lang w:eastAsia="zh-CN"/>
              </w:rPr>
              <w:t>。本项目与</w:t>
            </w:r>
            <w:r>
              <w:rPr>
                <w:rFonts w:hint="eastAsia" w:ascii="Times New Roman" w:hAnsi="Times New Roman" w:eastAsia="宋体" w:cs="Times New Roman"/>
                <w:color w:val="auto"/>
                <w:sz w:val="24"/>
                <w:highlight w:val="none"/>
                <w:lang w:val="en-US" w:eastAsia="zh-CN"/>
              </w:rPr>
              <w:t>锡环管新[2017]3号</w:t>
            </w:r>
            <w:r>
              <w:rPr>
                <w:rFonts w:hint="eastAsia" w:ascii="Times New Roman" w:hAnsi="Times New Roman" w:eastAsia="宋体" w:cs="Times New Roman"/>
                <w:color w:val="auto"/>
                <w:sz w:val="24"/>
                <w:highlight w:val="none"/>
                <w:lang w:eastAsia="zh-CN"/>
              </w:rPr>
              <w:t>相符性分析见表1-</w:t>
            </w:r>
            <w:r>
              <w:rPr>
                <w:rFonts w:hint="eastAsia" w:ascii="Times New Roman" w:hAnsi="Times New Roman" w:eastAsia="宋体" w:cs="Times New Roman"/>
                <w:color w:val="auto"/>
                <w:sz w:val="24"/>
                <w:highlight w:val="none"/>
                <w:lang w:val="en-US" w:eastAsia="zh-CN"/>
              </w:rPr>
              <w:t>3</w:t>
            </w:r>
            <w:r>
              <w:rPr>
                <w:rFonts w:hint="eastAsia" w:ascii="Times New Roman" w:hAnsi="Times New Roman" w:eastAsia="宋体" w:cs="Times New Roman"/>
                <w:color w:val="auto"/>
                <w:sz w:val="24"/>
                <w:highlight w:val="none"/>
                <w:lang w:eastAsia="zh-CN"/>
              </w:rPr>
              <w:t>。</w:t>
            </w:r>
          </w:p>
          <w:p w14:paraId="130C755F">
            <w:pPr>
              <w:keepNext w:val="0"/>
              <w:keepLines w:val="0"/>
              <w:numPr>
                <w:ilvl w:val="0"/>
                <w:numId w:val="0"/>
              </w:numPr>
              <w:suppressLineNumbers w:val="0"/>
              <w:snapToGrid w:val="0"/>
              <w:spacing w:before="0" w:beforeAutospacing="0" w:after="0" w:afterAutospacing="0"/>
              <w:ind w:left="425" w:leftChars="0" w:right="0" w:rightChars="0" w:hanging="425" w:firstLineChars="0"/>
              <w:jc w:val="center"/>
              <w:rPr>
                <w:rFonts w:hint="default" w:ascii="Times New Roman" w:hAnsi="Times New Roman" w:eastAsia="宋体"/>
                <w:b/>
                <w:color w:val="auto"/>
                <w:sz w:val="24"/>
                <w:highlight w:val="none"/>
              </w:rPr>
            </w:pPr>
            <w:r>
              <w:rPr>
                <w:rFonts w:hint="default" w:ascii="Times New Roman" w:hAnsi="Times New Roman" w:eastAsia="宋体" w:cs="宋体"/>
                <w:b/>
                <w:bCs/>
                <w:color w:val="auto"/>
                <w:kern w:val="2"/>
                <w:sz w:val="24"/>
                <w:szCs w:val="24"/>
                <w:lang w:val="en-US" w:eastAsia="zh-CN" w:bidi="ar-SA"/>
              </w:rPr>
              <w:t>表1-</w:t>
            </w:r>
            <w:r>
              <w:rPr>
                <w:rFonts w:hint="eastAsia" w:ascii="Times New Roman" w:hAnsi="Times New Roman" w:eastAsia="宋体" w:cs="宋体"/>
                <w:b/>
                <w:bCs/>
                <w:color w:val="auto"/>
                <w:kern w:val="2"/>
                <w:sz w:val="24"/>
                <w:szCs w:val="24"/>
                <w:lang w:val="en-US" w:eastAsia="zh-CN" w:bidi="ar-SA"/>
              </w:rPr>
              <w:t xml:space="preserve">3  </w:t>
            </w:r>
            <w:r>
              <w:rPr>
                <w:rFonts w:hint="eastAsia" w:ascii="Times New Roman" w:hAnsi="Times New Roman" w:eastAsia="宋体" w:cs="Times New Roman"/>
                <w:b/>
                <w:bCs/>
                <w:color w:val="auto"/>
                <w:sz w:val="24"/>
                <w:highlight w:val="none"/>
                <w:lang w:eastAsia="zh-CN"/>
              </w:rPr>
              <w:t>本</w:t>
            </w:r>
            <w:r>
              <w:rPr>
                <w:rFonts w:hint="default" w:ascii="Times New Roman" w:hAnsi="Times New Roman" w:eastAsia="宋体"/>
                <w:b/>
                <w:color w:val="auto"/>
                <w:sz w:val="24"/>
                <w:highlight w:val="none"/>
              </w:rPr>
              <w:t>项目与“锡环管新[2017]3号”相符性分析一览表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3839"/>
              <w:gridCol w:w="3591"/>
              <w:gridCol w:w="1000"/>
            </w:tblGrid>
            <w:tr w14:paraId="3FDF3B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523" w:type="pct"/>
                  <w:gridSpan w:val="2"/>
                  <w:noWrap w:val="0"/>
                  <w:vAlign w:val="center"/>
                </w:tcPr>
                <w:p w14:paraId="6C778C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“锡环管新[2017]3号”要求</w:t>
                  </w:r>
                </w:p>
              </w:tc>
              <w:tc>
                <w:tcPr>
                  <w:tcW w:w="1936" w:type="pct"/>
                  <w:noWrap w:val="0"/>
                  <w:vAlign w:val="center"/>
                </w:tcPr>
                <w:p w14:paraId="775135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本项目情况</w:t>
                  </w:r>
                </w:p>
              </w:tc>
              <w:tc>
                <w:tcPr>
                  <w:tcW w:w="539" w:type="pct"/>
                  <w:noWrap w:val="0"/>
                  <w:vAlign w:val="center"/>
                </w:tcPr>
                <w:p w14:paraId="01F622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相符性</w:t>
                  </w:r>
                </w:p>
              </w:tc>
            </w:tr>
            <w:tr w14:paraId="611714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2" w:hRule="atLeast"/>
                <w:jc w:val="center"/>
              </w:trPr>
              <w:tc>
                <w:tcPr>
                  <w:tcW w:w="453" w:type="pct"/>
                  <w:vMerge w:val="restart"/>
                  <w:noWrap w:val="0"/>
                  <w:vAlign w:val="center"/>
                </w:tcPr>
                <w:p w14:paraId="7FAA7B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一、开发区原规划概要及环评批复相关要求</w:t>
                  </w:r>
                </w:p>
              </w:tc>
              <w:tc>
                <w:tcPr>
                  <w:tcW w:w="2069" w:type="pct"/>
                  <w:noWrap w:val="0"/>
                  <w:vAlign w:val="center"/>
                </w:tcPr>
                <w:p w14:paraId="157240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规划范围：东至京杭运河、西至华谊路、南至外太湖和环湖大道、北至高浪路，总用地面积23.14km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c>
                <w:tcPr>
                  <w:tcW w:w="1936" w:type="pct"/>
                  <w:noWrap w:val="0"/>
                  <w:vAlign w:val="center"/>
                </w:tcPr>
                <w:p w14:paraId="6A1EDF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本项目位于江苏省无锡市新吴区净慧东道196号F楼2楼</w:t>
                  </w:r>
                  <w:r>
                    <w:rPr>
                      <w:rFonts w:hint="default" w:ascii="Times New Roman" w:hAnsi="Times New Roman" w:eastAsia="宋体" w:cs="Times New Roman"/>
                      <w:color w:val="auto"/>
                      <w:sz w:val="21"/>
                      <w:szCs w:val="21"/>
                      <w:highlight w:val="none"/>
                    </w:rPr>
                    <w:t>，位于科技园区规划范围内。</w:t>
                  </w:r>
                </w:p>
              </w:tc>
              <w:tc>
                <w:tcPr>
                  <w:tcW w:w="539" w:type="pct"/>
                  <w:noWrap w:val="0"/>
                  <w:vAlign w:val="center"/>
                </w:tcPr>
                <w:p w14:paraId="0B4759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1DB387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53" w:type="pct"/>
                  <w:vMerge w:val="continue"/>
                  <w:noWrap w:val="0"/>
                  <w:vAlign w:val="center"/>
                </w:tcPr>
                <w:p w14:paraId="4CC6EB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2069" w:type="pct"/>
                  <w:noWrap w:val="0"/>
                  <w:vAlign w:val="center"/>
                </w:tcPr>
                <w:p w14:paraId="00C3E2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用地布局：规划建设用地19.868km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，其他为水域、文物保护用地等。</w:t>
                  </w:r>
                </w:p>
              </w:tc>
              <w:tc>
                <w:tcPr>
                  <w:tcW w:w="1936" w:type="pct"/>
                  <w:noWrap w:val="0"/>
                  <w:vAlign w:val="center"/>
                </w:tcPr>
                <w:p w14:paraId="7FEA22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根据《无锡（太湖）国际科技园控制性详细规划科创区—孵化区、科创区—研发区管理单元动态更新》，项目所在地规划为“生产研发用地</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科研设计用地”，</w:t>
                  </w:r>
                  <w:r>
                    <w:rPr>
                      <w:rFonts w:hint="eastAsia" w:ascii="Times New Roman" w:hAnsi="Times New Roman" w:eastAsia="宋体"/>
                      <w:color w:val="auto"/>
                      <w:sz w:val="21"/>
                      <w:szCs w:val="21"/>
                      <w:highlight w:val="none"/>
                      <w:lang w:val="en-US" w:eastAsia="zh-CN"/>
                    </w:rPr>
                    <w:t>本项目引进、购置国内外先进实验设施，针对小分子抗肿瘤药进行早期小试研发，建成后可年产化合物测试500个</w:t>
                  </w:r>
                  <w:r>
                    <w:rPr>
                      <w:rFonts w:hint="eastAsia" w:ascii="Times New Roman" w:hAnsi="Times New Roman" w:eastAsia="宋体"/>
                      <w:color w:val="auto"/>
                      <w:sz w:val="21"/>
                      <w:szCs w:val="21"/>
                      <w:highlight w:val="none"/>
                    </w:rPr>
                    <w:t>，</w:t>
                  </w:r>
                  <w:r>
                    <w:rPr>
                      <w:rFonts w:hint="default" w:ascii="Times New Roman" w:hAnsi="Times New Roman" w:eastAsia="宋体" w:cs="Times New Roman"/>
                      <w:color w:val="auto"/>
                      <w:sz w:val="21"/>
                      <w:szCs w:val="21"/>
                      <w:highlight w:val="none"/>
                    </w:rPr>
                    <w:t>符合科技园区土地利用规划。</w:t>
                  </w:r>
                </w:p>
              </w:tc>
              <w:tc>
                <w:tcPr>
                  <w:tcW w:w="539" w:type="pct"/>
                  <w:noWrap w:val="0"/>
                  <w:vAlign w:val="center"/>
                </w:tcPr>
                <w:p w14:paraId="6C9585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3AAE19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53" w:type="pct"/>
                  <w:vMerge w:val="continue"/>
                  <w:noWrap w:val="0"/>
                  <w:vAlign w:val="center"/>
                </w:tcPr>
                <w:p w14:paraId="585ED6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2069" w:type="pct"/>
                  <w:noWrap w:val="0"/>
                  <w:vAlign w:val="center"/>
                </w:tcPr>
                <w:p w14:paraId="0E2342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产业定位：以IT设计、软件开发设计、创意产业等自主创新的高科技产业，以及服务于高科技产业的现代服务业。</w:t>
                  </w:r>
                </w:p>
              </w:tc>
              <w:tc>
                <w:tcPr>
                  <w:tcW w:w="1936" w:type="pct"/>
                  <w:noWrap w:val="0"/>
                  <w:vAlign w:val="center"/>
                </w:tcPr>
                <w:p w14:paraId="2A92E4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olor w:val="auto"/>
                      <w:sz w:val="21"/>
                      <w:szCs w:val="21"/>
                      <w:highlight w:val="none"/>
                      <w:lang w:val="en-US" w:eastAsia="zh-CN"/>
                    </w:rPr>
                    <w:t>本项目引进、购置国内外先进实验设施，针对小分子抗肿瘤药进行早期小试研发，</w:t>
                  </w:r>
                  <w:r>
                    <w:rPr>
                      <w:rFonts w:hint="eastAsia" w:ascii="Times New Roman" w:hAnsi="Times New Roman" w:eastAsia="宋体"/>
                      <w:color w:val="auto"/>
                      <w:sz w:val="21"/>
                      <w:szCs w:val="21"/>
                      <w:highlight w:val="none"/>
                    </w:rPr>
                    <w:t>属于自主创新的高科技产业</w:t>
                  </w:r>
                  <w:r>
                    <w:rPr>
                      <w:rFonts w:hint="default" w:ascii="Times New Roman" w:hAnsi="Times New Roman" w:eastAsia="宋体" w:cs="Times New Roman"/>
                      <w:color w:val="auto"/>
                      <w:sz w:val="21"/>
                      <w:szCs w:val="21"/>
                      <w:highlight w:val="none"/>
                      <w:lang w:eastAsia="zh-CN"/>
                    </w:rPr>
                    <w:t>，符合</w:t>
                  </w:r>
                  <w:r>
                    <w:rPr>
                      <w:rFonts w:hint="default" w:ascii="Times New Roman" w:hAnsi="Times New Roman" w:eastAsia="宋体" w:cs="Times New Roman"/>
                      <w:color w:val="auto"/>
                      <w:sz w:val="21"/>
                      <w:szCs w:val="21"/>
                      <w:highlight w:val="none"/>
                    </w:rPr>
                    <w:t>科技园区产业定位。</w:t>
                  </w:r>
                </w:p>
              </w:tc>
              <w:tc>
                <w:tcPr>
                  <w:tcW w:w="539" w:type="pct"/>
                  <w:noWrap w:val="0"/>
                  <w:vAlign w:val="center"/>
                </w:tcPr>
                <w:p w14:paraId="09417A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5ADFC3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53" w:type="pct"/>
                  <w:vMerge w:val="continue"/>
                  <w:noWrap w:val="0"/>
                  <w:vAlign w:val="center"/>
                </w:tcPr>
                <w:p w14:paraId="679DAC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2069" w:type="pct"/>
                  <w:noWrap w:val="0"/>
                  <w:vAlign w:val="center"/>
                </w:tcPr>
                <w:p w14:paraId="6334EF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环保基础设施规划</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区内需热企业由无锡益多环保热电有限公司集中供热，污水排入太湖新城污水处理厂集中处理，尾水排入京杭运河。</w:t>
                  </w:r>
                </w:p>
              </w:tc>
              <w:tc>
                <w:tcPr>
                  <w:tcW w:w="1936" w:type="pct"/>
                  <w:noWrap w:val="0"/>
                  <w:vAlign w:val="center"/>
                </w:tcPr>
                <w:p w14:paraId="234385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olor w:val="auto"/>
                      <w:highlight w:val="none"/>
                      <w:lang w:val="en-US" w:eastAsia="zh-CN"/>
                    </w:rPr>
                    <w:t>本项目</w:t>
                  </w:r>
                  <w:r>
                    <w:rPr>
                      <w:rFonts w:hint="eastAsia"/>
                      <w:color w:val="auto"/>
                      <w:highlight w:val="none"/>
                      <w:lang w:val="en-US" w:eastAsia="zh-CN"/>
                    </w:rPr>
                    <w:t>纯水制备浓水、水浴锅排水和经化粪池处理后的生活污水、淋浴废水一并接管至太湖新城污水处理厂进行处理，尾水排入京杭运。</w:t>
                  </w:r>
                </w:p>
              </w:tc>
              <w:tc>
                <w:tcPr>
                  <w:tcW w:w="539" w:type="pct"/>
                  <w:noWrap w:val="0"/>
                  <w:vAlign w:val="center"/>
                </w:tcPr>
                <w:p w14:paraId="61F78F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2A0E77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53" w:type="pct"/>
                  <w:vMerge w:val="restart"/>
                  <w:noWrap w:val="0"/>
                  <w:vAlign w:val="center"/>
                </w:tcPr>
                <w:p w14:paraId="735691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四、对园区建设环境管理要求和整改意见</w:t>
                  </w:r>
                </w:p>
              </w:tc>
              <w:tc>
                <w:tcPr>
                  <w:tcW w:w="2069" w:type="pct"/>
                  <w:noWrap w:val="0"/>
                  <w:vAlign w:val="center"/>
                </w:tcPr>
                <w:p w14:paraId="774F1F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园区位处太湖一级保护区位于新吴区的上风向，环境较为敏感，园区后续引进项目应严格限制废气污染物、废水污染物排放量大的项目，禁止引进排放含氮磷废水的项目，重视节水及中水回用。园区后续建设应与《无锡(太湖)国际科技园控制性详细规划》相协调，进一步优化园区用地布局及产业结构，提高单位土地利用率。</w:t>
                  </w:r>
                </w:p>
              </w:tc>
              <w:tc>
                <w:tcPr>
                  <w:tcW w:w="1936" w:type="pct"/>
                  <w:noWrap w:val="0"/>
                  <w:vAlign w:val="center"/>
                </w:tcPr>
                <w:p w14:paraId="1102EDE0">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本项目产生的</w:t>
                  </w:r>
                  <w:r>
                    <w:rPr>
                      <w:rFonts w:hint="default" w:ascii="Times New Roman" w:hAnsi="Times New Roman" w:eastAsia="宋体" w:cs="Times New Roman"/>
                      <w:color w:val="auto"/>
                      <w:sz w:val="21"/>
                      <w:szCs w:val="21"/>
                      <w:highlight w:val="none"/>
                      <w:lang w:val="en-US" w:eastAsia="zh-CN"/>
                    </w:rPr>
                    <w:t>纯水制备浓水、水浴锅排水和经化粪池处理后的生活污水</w:t>
                  </w:r>
                  <w:r>
                    <w:rPr>
                      <w:rFonts w:hint="eastAsia" w:cs="Times New Roman"/>
                      <w:color w:val="auto"/>
                      <w:sz w:val="21"/>
                      <w:szCs w:val="21"/>
                      <w:highlight w:val="none"/>
                      <w:lang w:val="en-US" w:eastAsia="zh-CN"/>
                    </w:rPr>
                    <w:t>、淋浴废水</w:t>
                  </w:r>
                  <w:r>
                    <w:rPr>
                      <w:rFonts w:hint="default" w:ascii="Times New Roman" w:hAnsi="Times New Roman" w:eastAsia="宋体" w:cs="Times New Roman"/>
                      <w:color w:val="auto"/>
                      <w:sz w:val="21"/>
                      <w:szCs w:val="21"/>
                      <w:highlight w:val="none"/>
                      <w:lang w:val="en-US" w:eastAsia="zh-CN"/>
                    </w:rPr>
                    <w:t>一并接管至太湖新城污水处理厂进行处理，尾水排入京杭运。</w:t>
                  </w:r>
                </w:p>
                <w:p w14:paraId="4482C53C">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olor w:val="auto"/>
                      <w:sz w:val="21"/>
                      <w:szCs w:val="21"/>
                      <w:highlight w:val="none"/>
                      <w:lang w:val="en-US" w:eastAsia="zh-CN"/>
                    </w:rPr>
                    <w:t>本项目针对小分子抗肿瘤药进行早期小试研发</w:t>
                  </w:r>
                  <w:r>
                    <w:rPr>
                      <w:rFonts w:hint="eastAsia" w:ascii="Times New Roman" w:hAnsi="Times New Roman" w:eastAsia="宋体"/>
                      <w:color w:val="auto"/>
                      <w:sz w:val="21"/>
                      <w:szCs w:val="21"/>
                      <w:highlight w:val="none"/>
                    </w:rPr>
                    <w:t>，</w:t>
                  </w:r>
                  <w:r>
                    <w:rPr>
                      <w:rFonts w:hint="default" w:ascii="Times New Roman" w:hAnsi="Times New Roman" w:eastAsia="宋体" w:cs="Times New Roman"/>
                      <w:color w:val="auto"/>
                      <w:sz w:val="21"/>
                      <w:szCs w:val="21"/>
                      <w:highlight w:val="none"/>
                    </w:rPr>
                    <w:t>符合《无锡（太湖）国际科技园控制性详细规划科创区—孵化区、科创区—研发区管理单元动态更新》要求。</w:t>
                  </w:r>
                </w:p>
              </w:tc>
              <w:tc>
                <w:tcPr>
                  <w:tcW w:w="539" w:type="pct"/>
                  <w:noWrap w:val="0"/>
                  <w:vAlign w:val="center"/>
                </w:tcPr>
                <w:p w14:paraId="75EDF3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6599D5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53" w:type="pct"/>
                  <w:vMerge w:val="continue"/>
                  <w:noWrap w:val="0"/>
                  <w:vAlign w:val="center"/>
                </w:tcPr>
                <w:p w14:paraId="55EEF8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2069" w:type="pct"/>
                  <w:noWrap w:val="0"/>
                  <w:vAlign w:val="center"/>
                </w:tcPr>
                <w:p w14:paraId="72A1D1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(二)按计划推进不符合用地规划及产业定位的企业搬迁工作。及时完成已建项目的环保“三同时”验收。</w:t>
                  </w:r>
                </w:p>
              </w:tc>
              <w:tc>
                <w:tcPr>
                  <w:tcW w:w="1936" w:type="pct"/>
                  <w:noWrap w:val="0"/>
                  <w:vAlign w:val="center"/>
                </w:tcPr>
                <w:p w14:paraId="3211D9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olor w:val="auto"/>
                      <w:sz w:val="21"/>
                      <w:szCs w:val="21"/>
                      <w:highlight w:val="none"/>
                      <w:lang w:val="en-US" w:eastAsia="zh-CN"/>
                    </w:rPr>
                    <w:t>本项目为新建项目，项目建成后企业将按要求完成环保“三同时”验收。本项目引进、购置国内外先进实验设施，针对小分子抗肿瘤药进行早期小试研发</w:t>
                  </w:r>
                  <w:r>
                    <w:rPr>
                      <w:rFonts w:hint="eastAsia" w:ascii="Times New Roman" w:hAnsi="Times New Roman" w:eastAsia="宋体"/>
                      <w:color w:val="auto"/>
                      <w:sz w:val="21"/>
                      <w:szCs w:val="21"/>
                      <w:highlight w:val="none"/>
                    </w:rPr>
                    <w:t>，属于自主创新的高科技产业</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项目所在地规划为“生产研发用地</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科研设计用地”，符合《无锡（太湖）国际科技园控制性详细规划科创区—孵化区、科创区—研发区管理单元动态更新》</w:t>
                  </w:r>
                  <w:r>
                    <w:rPr>
                      <w:rFonts w:hint="default" w:ascii="Times New Roman" w:hAnsi="Times New Roman" w:eastAsia="宋体" w:cs="Times New Roman"/>
                      <w:color w:val="auto"/>
                      <w:sz w:val="21"/>
                      <w:szCs w:val="21"/>
                      <w:highlight w:val="none"/>
                      <w:lang w:val="en-US" w:eastAsia="zh-CN"/>
                    </w:rPr>
                    <w:t>用地规划</w:t>
                  </w:r>
                  <w:r>
                    <w:rPr>
                      <w:rFonts w:hint="default" w:ascii="Times New Roman" w:hAnsi="Times New Roman" w:eastAsia="宋体" w:cs="Times New Roman"/>
                      <w:color w:val="auto"/>
                      <w:sz w:val="21"/>
                      <w:szCs w:val="21"/>
                      <w:highlight w:val="none"/>
                    </w:rPr>
                    <w:t>要求</w:t>
                  </w:r>
                  <w:r>
                    <w:rPr>
                      <w:rFonts w:hint="default" w:ascii="Times New Roman" w:hAnsi="Times New Roman" w:eastAsia="宋体" w:cs="Times New Roman"/>
                      <w:color w:val="auto"/>
                      <w:sz w:val="21"/>
                      <w:szCs w:val="21"/>
                      <w:highlight w:val="none"/>
                      <w:lang w:val="en-US" w:eastAsia="zh-CN"/>
                    </w:rPr>
                    <w:t>及</w:t>
                  </w:r>
                  <w:r>
                    <w:rPr>
                      <w:rFonts w:hint="default" w:ascii="Times New Roman" w:hAnsi="Times New Roman" w:eastAsia="宋体" w:cs="Times New Roman"/>
                      <w:color w:val="auto"/>
                      <w:sz w:val="21"/>
                      <w:szCs w:val="21"/>
                      <w:highlight w:val="none"/>
                    </w:rPr>
                    <w:t>科技园区产业定位。</w:t>
                  </w:r>
                </w:p>
              </w:tc>
              <w:tc>
                <w:tcPr>
                  <w:tcW w:w="539" w:type="pct"/>
                  <w:noWrap w:val="0"/>
                  <w:vAlign w:val="center"/>
                </w:tcPr>
                <w:p w14:paraId="7F00DD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2E02A0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53" w:type="pct"/>
                  <w:vMerge w:val="continue"/>
                  <w:noWrap w:val="0"/>
                  <w:vAlign w:val="center"/>
                </w:tcPr>
                <w:p w14:paraId="7B19F3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2069" w:type="pct"/>
                  <w:noWrap w:val="0"/>
                  <w:vAlign w:val="center"/>
                </w:tcPr>
                <w:p w14:paraId="7C3FA4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(三)对上争取，尽快启动益多环保热电提标改造工作，确保各项污染物均能达标排放。</w:t>
                  </w:r>
                </w:p>
              </w:tc>
              <w:tc>
                <w:tcPr>
                  <w:tcW w:w="1936" w:type="pct"/>
                  <w:noWrap w:val="0"/>
                  <w:vAlign w:val="center"/>
                </w:tcPr>
                <w:p w14:paraId="456AA2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539" w:type="pct"/>
                  <w:noWrap w:val="0"/>
                  <w:vAlign w:val="center"/>
                </w:tcPr>
                <w:p w14:paraId="3DBAC1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w:t>
                  </w:r>
                </w:p>
              </w:tc>
            </w:tr>
            <w:tr w14:paraId="4D4E5A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53" w:type="pct"/>
                  <w:vMerge w:val="continue"/>
                  <w:noWrap w:val="0"/>
                  <w:vAlign w:val="center"/>
                </w:tcPr>
                <w:p w14:paraId="5B6BEF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2069" w:type="pct"/>
                  <w:noWrap w:val="0"/>
                  <w:vAlign w:val="center"/>
                </w:tcPr>
                <w:p w14:paraId="263223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(四)加强、完善园区环境管理。2017年底前完成入区企业排污口规范化整治、废水事故池设置、风险防范应急预案编制、规范危险废物暂存场所等整改措施。</w:t>
                  </w:r>
                </w:p>
              </w:tc>
              <w:tc>
                <w:tcPr>
                  <w:tcW w:w="1936" w:type="pct"/>
                  <w:noWrap w:val="0"/>
                  <w:vAlign w:val="center"/>
                </w:tcPr>
                <w:p w14:paraId="569EEE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本项目建成后</w:t>
                  </w:r>
                  <w:r>
                    <w:rPr>
                      <w:rFonts w:hint="eastAsia" w:ascii="Times New Roman" w:hAnsi="Times New Roman" w:eastAsia="宋体" w:cs="Times New Roman"/>
                      <w:color w:val="auto"/>
                      <w:sz w:val="21"/>
                      <w:szCs w:val="21"/>
                      <w:highlight w:val="none"/>
                      <w:lang w:val="en-US" w:eastAsia="zh-CN"/>
                    </w:rPr>
                    <w:t>将</w:t>
                  </w:r>
                  <w:r>
                    <w:rPr>
                      <w:rFonts w:hint="default" w:ascii="Times New Roman" w:hAnsi="Times New Roman" w:eastAsia="宋体" w:cs="Times New Roman"/>
                      <w:color w:val="auto"/>
                      <w:sz w:val="21"/>
                      <w:szCs w:val="21"/>
                      <w:highlight w:val="none"/>
                    </w:rPr>
                    <w:t>按要求完成排污口规范化设置、废水事故池</w:t>
                  </w:r>
                  <w:r>
                    <w:rPr>
                      <w:rFonts w:hint="eastAsia" w:ascii="Times New Roman" w:hAnsi="Times New Roman" w:eastAsia="宋体"/>
                      <w:color w:val="auto"/>
                      <w:highlight w:val="none"/>
                      <w:lang w:val="en-US" w:eastAsia="zh-CN"/>
                    </w:rPr>
                    <w:t>等贮存设施</w:t>
                  </w:r>
                  <w:r>
                    <w:rPr>
                      <w:rFonts w:hint="default" w:ascii="Times New Roman" w:hAnsi="Times New Roman" w:eastAsia="宋体" w:cs="Times New Roman"/>
                      <w:color w:val="auto"/>
                      <w:sz w:val="21"/>
                      <w:szCs w:val="21"/>
                      <w:highlight w:val="none"/>
                    </w:rPr>
                    <w:t>设置、风险防范应急预案编制、规范危险废物暂存场所</w:t>
                  </w:r>
                  <w:r>
                    <w:rPr>
                      <w:rFonts w:hint="eastAsia" w:ascii="Times New Roman" w:hAnsi="Times New Roman" w:eastAsia="宋体" w:cs="Times New Roman"/>
                      <w:color w:val="auto"/>
                      <w:sz w:val="21"/>
                      <w:szCs w:val="21"/>
                      <w:highlight w:val="none"/>
                      <w:lang w:eastAsia="zh-CN"/>
                    </w:rPr>
                    <w:t>等</w:t>
                  </w:r>
                  <w:r>
                    <w:rPr>
                      <w:rFonts w:hint="default" w:ascii="Times New Roman" w:hAnsi="Times New Roman" w:eastAsia="宋体" w:cs="Times New Roman"/>
                      <w:color w:val="auto"/>
                      <w:sz w:val="21"/>
                      <w:szCs w:val="21"/>
                      <w:highlight w:val="none"/>
                    </w:rPr>
                    <w:t>防范措施。</w:t>
                  </w:r>
                </w:p>
              </w:tc>
              <w:tc>
                <w:tcPr>
                  <w:tcW w:w="539" w:type="pct"/>
                  <w:noWrap w:val="0"/>
                  <w:vAlign w:val="center"/>
                </w:tcPr>
                <w:p w14:paraId="34EC9A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18247D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53" w:type="pct"/>
                  <w:vMerge w:val="continue"/>
                  <w:noWrap w:val="0"/>
                  <w:vAlign w:val="center"/>
                </w:tcPr>
                <w:p w14:paraId="172261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2069" w:type="pct"/>
                  <w:noWrap w:val="0"/>
                  <w:vAlign w:val="center"/>
                </w:tcPr>
                <w:p w14:paraId="2EC567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(五)如不能按照相关计划按时完成企业关停搬迁等工作，应暂停受理入园区项目审批。</w:t>
                  </w:r>
                </w:p>
              </w:tc>
              <w:tc>
                <w:tcPr>
                  <w:tcW w:w="1936" w:type="pct"/>
                  <w:noWrap w:val="0"/>
                  <w:vAlign w:val="center"/>
                </w:tcPr>
                <w:p w14:paraId="497152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539" w:type="pct"/>
                  <w:noWrap w:val="0"/>
                  <w:vAlign w:val="center"/>
                </w:tcPr>
                <w:p w14:paraId="30D2D6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w:t>
                  </w:r>
                </w:p>
              </w:tc>
            </w:tr>
          </w:tbl>
          <w:p w14:paraId="6A55F42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经对照可知，本项目的建设符合《关于无锡（太湖）国际科技园规划环境影响跟踪评价报告书的审核意见》（锡环管新[2017]3号）</w:t>
            </w:r>
            <w:r>
              <w:rPr>
                <w:rFonts w:hint="eastAsia" w:ascii="Times New Roman" w:hAnsi="Times New Roman" w:eastAsia="宋体" w:cs="Times New Roman"/>
                <w:color w:val="auto"/>
                <w:sz w:val="24"/>
                <w:highlight w:val="none"/>
                <w:lang w:eastAsia="zh-CN"/>
              </w:rPr>
              <w:t>的</w:t>
            </w:r>
            <w:r>
              <w:rPr>
                <w:rFonts w:hint="default" w:ascii="Times New Roman" w:hAnsi="Times New Roman" w:eastAsia="宋体" w:cs="Times New Roman"/>
                <w:color w:val="auto"/>
                <w:sz w:val="24"/>
                <w:highlight w:val="none"/>
              </w:rPr>
              <w:t>要求。</w:t>
            </w:r>
          </w:p>
          <w:p w14:paraId="4EC3522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综上，</w:t>
            </w:r>
            <w:r>
              <w:rPr>
                <w:rFonts w:hint="default" w:ascii="Times New Roman" w:hAnsi="Times New Roman" w:eastAsia="宋体" w:cs="Times New Roman"/>
                <w:color w:val="auto"/>
                <w:spacing w:val="-4"/>
                <w:sz w:val="24"/>
                <w:highlight w:val="none"/>
              </w:rPr>
              <w:t>本项目位于</w:t>
            </w:r>
            <w:r>
              <w:rPr>
                <w:rFonts w:hint="default" w:ascii="Times New Roman" w:hAnsi="Times New Roman" w:eastAsia="宋体" w:cs="Times New Roman"/>
                <w:color w:val="auto"/>
                <w:spacing w:val="-4"/>
                <w:sz w:val="24"/>
                <w:highlight w:val="none"/>
                <w:lang w:val="en-US" w:eastAsia="zh-CN"/>
              </w:rPr>
              <w:t>无锡市新吴区净慧东道196号F楼2楼</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属于无锡（太湖）国际科技园科创区—孵化区管理单元，</w:t>
            </w:r>
            <w:r>
              <w:rPr>
                <w:rFonts w:hint="default" w:ascii="Times New Roman" w:hAnsi="Times New Roman" w:eastAsia="宋体" w:cs="Times New Roman"/>
                <w:color w:val="auto"/>
                <w:sz w:val="24"/>
                <w:highlight w:val="none"/>
              </w:rPr>
              <w:t>符合</w:t>
            </w:r>
            <w:r>
              <w:rPr>
                <w:rFonts w:hint="default" w:ascii="Times New Roman" w:hAnsi="Times New Roman" w:eastAsia="宋体" w:cs="Times New Roman"/>
                <w:color w:val="auto"/>
                <w:sz w:val="24"/>
                <w:highlight w:val="none"/>
                <w:lang w:val="en-US" w:eastAsia="zh-CN"/>
              </w:rPr>
              <w:t>无锡（太湖）国际科技园</w:t>
            </w:r>
            <w:r>
              <w:rPr>
                <w:rFonts w:hint="default" w:ascii="Times New Roman" w:hAnsi="Times New Roman" w:eastAsia="宋体" w:cs="Times New Roman"/>
                <w:color w:val="auto"/>
                <w:sz w:val="24"/>
                <w:highlight w:val="none"/>
              </w:rPr>
              <w:t>的用地规划和产业定位，符合《</w:t>
            </w:r>
            <w:r>
              <w:rPr>
                <w:rFonts w:hint="default" w:ascii="Times New Roman" w:hAnsi="Times New Roman" w:eastAsia="宋体" w:cs="Times New Roman"/>
                <w:snapToGrid w:val="0"/>
                <w:color w:val="auto"/>
                <w:sz w:val="24"/>
                <w:highlight w:val="none"/>
                <w:lang w:val="en-US" w:eastAsia="zh-CN"/>
              </w:rPr>
              <w:t>无锡（太湖）国际科技园环境影响报告书</w:t>
            </w:r>
            <w:r>
              <w:rPr>
                <w:rFonts w:hint="default" w:ascii="Times New Roman" w:hAnsi="Times New Roman" w:eastAsia="宋体" w:cs="Times New Roman"/>
                <w:color w:val="auto"/>
                <w:sz w:val="24"/>
                <w:highlight w:val="none"/>
              </w:rPr>
              <w:t>》及批复意见（</w:t>
            </w:r>
            <w:r>
              <w:rPr>
                <w:rFonts w:hint="eastAsia" w:ascii="Times New Roman" w:hAnsi="Times New Roman" w:eastAsia="宋体" w:cs="Times New Roman"/>
                <w:snapToGrid w:val="0"/>
                <w:color w:val="auto"/>
                <w:sz w:val="24"/>
                <w:highlight w:val="none"/>
              </w:rPr>
              <w:t>锡环管[</w:t>
            </w:r>
            <w:r>
              <w:rPr>
                <w:rFonts w:hint="default" w:ascii="Times New Roman" w:hAnsi="Times New Roman" w:eastAsia="宋体" w:cs="Times New Roman"/>
                <w:snapToGrid w:val="0"/>
                <w:color w:val="auto"/>
                <w:sz w:val="24"/>
                <w:highlight w:val="none"/>
              </w:rPr>
              <w:t>2009]67</w:t>
            </w:r>
            <w:r>
              <w:rPr>
                <w:rFonts w:hint="eastAsia" w:ascii="Times New Roman" w:hAnsi="Times New Roman" w:eastAsia="宋体" w:cs="Times New Roman"/>
                <w:snapToGrid w:val="0"/>
                <w:color w:val="auto"/>
                <w:sz w:val="24"/>
                <w:highlight w:val="none"/>
              </w:rPr>
              <w:t>号</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snapToGrid w:val="0"/>
                <w:color w:val="auto"/>
                <w:sz w:val="24"/>
                <w:highlight w:val="none"/>
                <w:lang w:val="en-US" w:eastAsia="zh-CN"/>
              </w:rPr>
              <w:t>无锡（太湖）国际科技园规划环境影响跟踪评价报告书</w:t>
            </w:r>
            <w:r>
              <w:rPr>
                <w:rFonts w:hint="default" w:ascii="Times New Roman" w:hAnsi="Times New Roman" w:eastAsia="宋体" w:cs="Times New Roman"/>
                <w:color w:val="auto"/>
                <w:sz w:val="24"/>
                <w:highlight w:val="none"/>
              </w:rPr>
              <w:t>》及审查意见（</w:t>
            </w:r>
            <w:r>
              <w:rPr>
                <w:rFonts w:hint="eastAsia" w:ascii="Times New Roman" w:hAnsi="Times New Roman" w:eastAsia="宋体" w:cs="Times New Roman"/>
                <w:color w:val="auto"/>
                <w:sz w:val="24"/>
                <w:highlight w:val="none"/>
                <w:lang w:val="en-US" w:eastAsia="zh-CN"/>
              </w:rPr>
              <w:t>锡环管新[2017]3号</w:t>
            </w:r>
            <w:r>
              <w:rPr>
                <w:rFonts w:hint="default" w:ascii="Times New Roman" w:hAnsi="Times New Roman" w:eastAsia="宋体" w:cs="Times New Roman"/>
                <w:color w:val="auto"/>
                <w:sz w:val="24"/>
                <w:highlight w:val="none"/>
              </w:rPr>
              <w:t>）相关要求，符合</w:t>
            </w:r>
            <w:r>
              <w:rPr>
                <w:rFonts w:hint="eastAsia" w:ascii="Times New Roman" w:hAnsi="Times New Roman" w:eastAsia="宋体" w:cs="Times New Roman"/>
                <w:color w:val="auto"/>
                <w:sz w:val="24"/>
                <w:highlight w:val="none"/>
                <w:lang w:val="en-US" w:eastAsia="zh-CN"/>
              </w:rPr>
              <w:t>无锡（太湖）国际科技园</w:t>
            </w:r>
            <w:r>
              <w:rPr>
                <w:rFonts w:hint="default" w:ascii="Times New Roman" w:hAnsi="Times New Roman" w:eastAsia="宋体" w:cs="Times New Roman"/>
                <w:color w:val="auto"/>
                <w:sz w:val="24"/>
                <w:highlight w:val="none"/>
              </w:rPr>
              <w:t>环境保护规划</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项目选址具备环境可行性。</w:t>
            </w:r>
          </w:p>
        </w:tc>
      </w:tr>
      <w:tr w14:paraId="647AFE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63" w:hRule="atLeast"/>
          <w:jc w:val="center"/>
        </w:trPr>
        <w:tc>
          <w:tcPr>
            <w:tcW w:w="493" w:type="dxa"/>
            <w:noWrap w:val="0"/>
            <w:vAlign w:val="center"/>
          </w:tcPr>
          <w:p w14:paraId="6B6DF823">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olor w:val="auto"/>
                <w:kern w:val="0"/>
                <w:sz w:val="24"/>
                <w:lang w:val="en-US" w:eastAsia="zh-CN"/>
              </w:rPr>
            </w:pPr>
            <w:r>
              <w:rPr>
                <w:rFonts w:hint="eastAsia" w:ascii="Times New Roman" w:hAnsi="Times New Roman" w:eastAsia="宋体"/>
                <w:color w:val="auto"/>
                <w:kern w:val="0"/>
                <w:sz w:val="24"/>
                <w:lang w:val="en-US" w:eastAsia="zh-CN"/>
              </w:rPr>
              <w:t>其他符合性分析</w:t>
            </w:r>
          </w:p>
        </w:tc>
        <w:tc>
          <w:tcPr>
            <w:tcW w:w="9490" w:type="dxa"/>
            <w:gridSpan w:val="4"/>
            <w:noWrap w:val="0"/>
            <w:vAlign w:val="top"/>
          </w:tcPr>
          <w:p w14:paraId="72181FB3">
            <w:pPr>
              <w:keepNext w:val="0"/>
              <w:keepLines w:val="0"/>
              <w:suppressLineNumbers w:val="0"/>
              <w:autoSpaceDE w:val="0"/>
              <w:autoSpaceDN w:val="0"/>
              <w:adjustRightInd w:val="0"/>
              <w:snapToGrid w:val="0"/>
              <w:spacing w:before="0" w:beforeAutospacing="0" w:after="0" w:afterAutospacing="0" w:line="360" w:lineRule="auto"/>
              <w:ind w:left="0" w:right="0"/>
              <w:jc w:val="left"/>
              <w:rPr>
                <w:rFonts w:hint="eastAsia" w:ascii="Times New Roman" w:hAnsi="Times New Roman" w:eastAsia="宋体"/>
                <w:b/>
                <w:bCs/>
                <w:color w:val="auto"/>
                <w:kern w:val="0"/>
                <w:sz w:val="24"/>
              </w:rPr>
            </w:pPr>
            <w:r>
              <w:rPr>
                <w:rFonts w:hint="default" w:ascii="Times New Roman" w:hAnsi="Times New Roman" w:eastAsia="宋体"/>
                <w:b/>
                <w:bCs/>
                <w:color w:val="auto"/>
                <w:kern w:val="0"/>
                <w:sz w:val="24"/>
              </w:rPr>
              <w:t>1、与“三线一单”相符性分析</w:t>
            </w:r>
          </w:p>
          <w:p w14:paraId="25297870">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b/>
                <w:bCs/>
                <w:color w:val="auto"/>
                <w:kern w:val="0"/>
                <w:sz w:val="24"/>
              </w:rPr>
            </w:pPr>
            <w:r>
              <w:rPr>
                <w:rFonts w:hint="default" w:ascii="Times New Roman" w:hAnsi="Times New Roman" w:eastAsia="宋体"/>
                <w:b/>
                <w:bCs/>
                <w:color w:val="auto"/>
                <w:kern w:val="0"/>
                <w:sz w:val="24"/>
              </w:rPr>
              <w:t>（1）与生态保护红线的相符性</w:t>
            </w:r>
          </w:p>
          <w:p w14:paraId="3B38F62F">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olor w:val="auto"/>
                <w:sz w:val="24"/>
                <w:highlight w:val="none"/>
              </w:rPr>
            </w:pPr>
            <w:r>
              <w:rPr>
                <w:rFonts w:hint="default" w:ascii="Times New Roman" w:hAnsi="Times New Roman" w:eastAsia="宋体" w:cs="Times New Roman"/>
                <w:color w:val="auto"/>
                <w:sz w:val="24"/>
                <w:highlight w:val="none"/>
              </w:rPr>
              <w:t>本项目位于</w:t>
            </w:r>
            <w:r>
              <w:rPr>
                <w:rFonts w:hint="default" w:ascii="Times New Roman" w:hAnsi="Times New Roman" w:eastAsia="宋体" w:cs="Times New Roman"/>
                <w:color w:val="auto"/>
                <w:sz w:val="24"/>
                <w:highlight w:val="none"/>
                <w:lang w:val="en-US" w:eastAsia="zh-CN"/>
              </w:rPr>
              <w:t>无锡市新吴区净慧东道196号F楼2楼</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highlight w:val="none"/>
              </w:rPr>
              <w:t>根据</w:t>
            </w:r>
            <w:r>
              <w:rPr>
                <w:rFonts w:hint="default" w:ascii="Times New Roman" w:hAnsi="Times New Roman" w:eastAsia="宋体" w:cs="Times New Roman"/>
                <w:color w:val="auto"/>
                <w:kern w:val="0"/>
                <w:sz w:val="24"/>
                <w:highlight w:val="none"/>
                <w:lang w:val="zh-CN"/>
              </w:rPr>
              <w:t>《省政府关于印发江苏省国家级生态保护红线规划的通知》（苏政发</w:t>
            </w:r>
            <w:r>
              <w:rPr>
                <w:rFonts w:hint="eastAsia" w:ascii="Times New Roman" w:hAnsi="Times New Roman" w:eastAsia="宋体" w:cs="Times New Roman"/>
                <w:color w:val="auto"/>
                <w:kern w:val="0"/>
                <w:sz w:val="24"/>
                <w:highlight w:val="none"/>
                <w:lang w:val="zh-CN"/>
              </w:rPr>
              <w:t>〔2018〕74号</w:t>
            </w:r>
            <w:r>
              <w:rPr>
                <w:rFonts w:hint="default" w:ascii="Times New Roman" w:hAnsi="Times New Roman" w:eastAsia="宋体" w:cs="Times New Roman"/>
                <w:color w:val="auto"/>
                <w:kern w:val="0"/>
                <w:sz w:val="24"/>
                <w:highlight w:val="none"/>
                <w:lang w:val="zh-CN"/>
              </w:rPr>
              <w:t>）中《江苏省国家级生态保护红线规划》及《省政府关于印发江苏省生态空间管控区域规划的通知》（苏政发</w:t>
            </w:r>
            <w:r>
              <w:rPr>
                <w:rFonts w:hint="eastAsia" w:ascii="Times New Roman" w:hAnsi="Times New Roman" w:eastAsia="宋体" w:cs="Times New Roman"/>
                <w:color w:val="auto"/>
                <w:kern w:val="0"/>
                <w:sz w:val="24"/>
                <w:highlight w:val="none"/>
                <w:lang w:val="zh-CN"/>
              </w:rPr>
              <w:t>〔2020〕1号</w:t>
            </w:r>
            <w:r>
              <w:rPr>
                <w:rFonts w:hint="default" w:ascii="Times New Roman" w:hAnsi="Times New Roman" w:eastAsia="宋体" w:cs="Times New Roman"/>
                <w:color w:val="auto"/>
                <w:kern w:val="0"/>
                <w:sz w:val="24"/>
                <w:highlight w:val="none"/>
                <w:lang w:val="zh-CN"/>
              </w:rPr>
              <w:t>）中《江苏省生态空间管控区域规划》中“无锡市生态空间保护区域名录”，</w:t>
            </w:r>
            <w:r>
              <w:rPr>
                <w:rFonts w:hint="default" w:ascii="Times New Roman" w:hAnsi="Times New Roman" w:eastAsia="宋体" w:cs="Times New Roman"/>
                <w:color w:val="auto"/>
                <w:kern w:val="0"/>
                <w:sz w:val="24"/>
                <w:highlight w:val="none"/>
                <w:lang w:val="en-US" w:eastAsia="zh-CN"/>
              </w:rPr>
              <w:t>距离最近的国家级生态红线-贡湖锡东饮用水水源保护区</w:t>
            </w:r>
            <w:r>
              <w:rPr>
                <w:rFonts w:hint="eastAsia" w:ascii="Times New Roman" w:hAnsi="Times New Roman" w:eastAsia="宋体" w:cs="Times New Roman"/>
                <w:color w:val="auto"/>
                <w:kern w:val="0"/>
                <w:sz w:val="24"/>
                <w:highlight w:val="none"/>
                <w:lang w:val="en-US" w:eastAsia="zh-CN"/>
              </w:rPr>
              <w:t>6.23</w:t>
            </w:r>
            <w:r>
              <w:rPr>
                <w:rFonts w:hint="default" w:ascii="Times New Roman" w:hAnsi="Times New Roman" w:eastAsia="宋体" w:cs="Times New Roman"/>
                <w:color w:val="auto"/>
                <w:kern w:val="0"/>
                <w:sz w:val="24"/>
                <w:highlight w:val="none"/>
                <w:lang w:val="zh-CN"/>
              </w:rPr>
              <w:t>km</w:t>
            </w:r>
            <w:r>
              <w:rPr>
                <w:rFonts w:hint="eastAsia" w:ascii="Times New Roman" w:hAnsi="Times New Roman" w:eastAsia="宋体" w:cs="Times New Roman"/>
                <w:color w:val="auto"/>
                <w:kern w:val="0"/>
                <w:sz w:val="24"/>
                <w:highlight w:val="none"/>
                <w:lang w:val="zh-CN"/>
              </w:rPr>
              <w:t>、</w:t>
            </w:r>
            <w:r>
              <w:rPr>
                <w:rFonts w:hint="eastAsia" w:ascii="Times New Roman" w:hAnsi="Times New Roman" w:eastAsia="宋体" w:cs="Times New Roman"/>
                <w:color w:val="auto"/>
                <w:kern w:val="0"/>
                <w:sz w:val="24"/>
                <w:highlight w:val="none"/>
                <w:lang w:val="en-US" w:eastAsia="zh-CN"/>
              </w:rPr>
              <w:t>无锡太湖大溪港省级湿地公园4.50</w:t>
            </w:r>
            <w:r>
              <w:rPr>
                <w:rFonts w:hint="default" w:ascii="Times New Roman" w:hAnsi="Times New Roman" w:eastAsia="宋体" w:cs="Times New Roman"/>
                <w:color w:val="auto"/>
                <w:kern w:val="0"/>
                <w:sz w:val="24"/>
                <w:highlight w:val="none"/>
                <w:lang w:val="zh-CN"/>
              </w:rPr>
              <w:t>km</w:t>
            </w:r>
            <w:r>
              <w:rPr>
                <w:rFonts w:hint="eastAsia" w:ascii="Times New Roman" w:hAnsi="Times New Roman" w:eastAsia="宋体" w:cs="Times New Roman"/>
                <w:color w:val="auto"/>
                <w:kern w:val="0"/>
                <w:sz w:val="24"/>
                <w:highlight w:val="none"/>
                <w:lang w:val="zh-CN"/>
              </w:rPr>
              <w:t>；</w:t>
            </w:r>
            <w:r>
              <w:rPr>
                <w:rFonts w:hint="default" w:ascii="Times New Roman" w:hAnsi="Times New Roman" w:eastAsia="宋体" w:cs="Times New Roman"/>
                <w:color w:val="auto"/>
                <w:kern w:val="0"/>
                <w:sz w:val="24"/>
                <w:highlight w:val="none"/>
                <w:lang w:val="en-US" w:eastAsia="zh-CN"/>
              </w:rPr>
              <w:t>距离最近的生态空间管控区域-太湖（无锡市区）重要保护区</w:t>
            </w:r>
            <w:r>
              <w:rPr>
                <w:rFonts w:hint="eastAsia" w:ascii="Times New Roman" w:hAnsi="Times New Roman" w:eastAsia="宋体" w:cs="Times New Roman"/>
                <w:color w:val="auto"/>
                <w:kern w:val="0"/>
                <w:sz w:val="24"/>
                <w:highlight w:val="none"/>
                <w:lang w:val="en-US" w:eastAsia="zh-CN"/>
              </w:rPr>
              <w:t>4.50</w:t>
            </w:r>
            <w:r>
              <w:rPr>
                <w:rFonts w:hint="default" w:ascii="Times New Roman" w:hAnsi="Times New Roman" w:eastAsia="宋体" w:cs="Times New Roman"/>
                <w:color w:val="auto"/>
                <w:kern w:val="0"/>
                <w:sz w:val="24"/>
                <w:highlight w:val="none"/>
                <w:lang w:val="zh-CN"/>
              </w:rPr>
              <w:t>km</w:t>
            </w:r>
            <w:r>
              <w:rPr>
                <w:rFonts w:hint="eastAsia" w:ascii="Times New Roman" w:hAnsi="Times New Roman" w:eastAsia="宋体" w:cs="Times New Roman"/>
                <w:color w:val="auto"/>
                <w:kern w:val="0"/>
                <w:sz w:val="24"/>
                <w:highlight w:val="none"/>
                <w:lang w:val="en-US" w:eastAsia="zh-CN"/>
              </w:rPr>
              <w:t>、无锡太湖大溪港省级湿地公园4.40</w:t>
            </w:r>
            <w:r>
              <w:rPr>
                <w:rFonts w:hint="default" w:ascii="Times New Roman" w:hAnsi="Times New Roman" w:eastAsia="宋体" w:cs="Times New Roman"/>
                <w:color w:val="auto"/>
                <w:kern w:val="0"/>
                <w:sz w:val="24"/>
                <w:highlight w:val="none"/>
                <w:lang w:val="zh-CN"/>
              </w:rPr>
              <w:t>km</w:t>
            </w:r>
            <w:r>
              <w:rPr>
                <w:rFonts w:hint="eastAsia" w:ascii="Times New Roman" w:hAnsi="Times New Roman" w:eastAsia="宋体" w:cs="Times New Roman"/>
                <w:color w:val="auto"/>
                <w:kern w:val="0"/>
                <w:sz w:val="24"/>
                <w:highlight w:val="red"/>
                <w:lang w:val="zh-CN"/>
              </w:rPr>
              <w:t>（</w:t>
            </w:r>
            <w:r>
              <w:rPr>
                <w:rFonts w:hint="eastAsia" w:ascii="Times New Roman" w:hAnsi="Times New Roman" w:eastAsia="宋体" w:cs="Times New Roman"/>
                <w:color w:val="auto"/>
                <w:kern w:val="0"/>
                <w:sz w:val="24"/>
                <w:highlight w:val="red"/>
                <w:lang w:val="en-US" w:eastAsia="zh-CN"/>
              </w:rPr>
              <w:t>见附图2</w:t>
            </w:r>
            <w:r>
              <w:rPr>
                <w:rFonts w:hint="eastAsia" w:ascii="Times New Roman" w:hAnsi="Times New Roman" w:eastAsia="宋体" w:cs="Times New Roman"/>
                <w:color w:val="auto"/>
                <w:kern w:val="0"/>
                <w:sz w:val="24"/>
                <w:highlight w:val="red"/>
                <w:lang w:val="zh-CN"/>
              </w:rPr>
              <w:t>）</w:t>
            </w:r>
            <w:r>
              <w:rPr>
                <w:rFonts w:hint="eastAsia" w:ascii="Times New Roman" w:hAnsi="Times New Roman" w:eastAsia="宋体" w:cs="Times New Roman"/>
                <w:color w:val="auto"/>
                <w:kern w:val="0"/>
                <w:sz w:val="24"/>
                <w:highlight w:val="none"/>
                <w:lang w:val="zh-CN"/>
              </w:rPr>
              <w:t>。</w:t>
            </w:r>
            <w:r>
              <w:rPr>
                <w:rFonts w:hint="default" w:ascii="Times New Roman" w:hAnsi="Times New Roman" w:eastAsia="宋体" w:cs="Times New Roman"/>
                <w:color w:val="auto"/>
                <w:kern w:val="0"/>
                <w:sz w:val="24"/>
                <w:highlight w:val="none"/>
                <w:lang w:val="zh-CN"/>
              </w:rPr>
              <w:t>具体情况见</w:t>
            </w:r>
            <w:r>
              <w:rPr>
                <w:rFonts w:hint="default" w:ascii="Times New Roman" w:hAnsi="Times New Roman" w:eastAsia="宋体" w:cs="Times New Roman"/>
                <w:color w:val="auto"/>
                <w:kern w:val="0"/>
                <w:sz w:val="24"/>
                <w:highlight w:val="none"/>
              </w:rPr>
              <w:t>下表</w:t>
            </w:r>
            <w:r>
              <w:rPr>
                <w:rFonts w:hint="eastAsia" w:ascii="Times New Roman" w:hAnsi="Times New Roman" w:eastAsia="宋体" w:cs="Times New Roman"/>
                <w:color w:val="auto"/>
                <w:kern w:val="0"/>
                <w:sz w:val="24"/>
                <w:highlight w:val="none"/>
                <w:lang w:val="en-US" w:eastAsia="zh-CN"/>
              </w:rPr>
              <w:t>1-4</w:t>
            </w:r>
            <w:r>
              <w:rPr>
                <w:rFonts w:hint="default" w:ascii="Times New Roman" w:hAnsi="Times New Roman" w:eastAsia="宋体" w:cs="Times New Roman"/>
                <w:color w:val="auto"/>
                <w:kern w:val="0"/>
                <w:sz w:val="24"/>
                <w:highlight w:val="none"/>
                <w:lang w:val="zh-CN"/>
              </w:rPr>
              <w:t>。</w:t>
            </w:r>
          </w:p>
          <w:p w14:paraId="3ECD6C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b/>
                <w:bCs/>
                <w:color w:val="auto"/>
                <w:sz w:val="24"/>
                <w:highlight w:val="none"/>
              </w:rPr>
            </w:pPr>
            <w:r>
              <w:rPr>
                <w:rFonts w:hint="default" w:ascii="Times New Roman" w:hAnsi="Times New Roman" w:eastAsia="宋体"/>
                <w:b/>
                <w:bCs/>
                <w:color w:val="auto"/>
                <w:sz w:val="24"/>
                <w:highlight w:val="none"/>
              </w:rPr>
              <w:t>表1-</w:t>
            </w:r>
            <w:r>
              <w:rPr>
                <w:rFonts w:hint="eastAsia" w:ascii="Times New Roman" w:hAnsi="Times New Roman" w:eastAsia="宋体"/>
                <w:b/>
                <w:bCs/>
                <w:color w:val="auto"/>
                <w:sz w:val="24"/>
                <w:highlight w:val="none"/>
              </w:rPr>
              <w:t>4</w:t>
            </w:r>
            <w:r>
              <w:rPr>
                <w:rFonts w:hint="default" w:ascii="Times New Roman" w:hAnsi="Times New Roman" w:eastAsia="宋体"/>
                <w:b/>
                <w:bCs/>
                <w:color w:val="auto"/>
                <w:sz w:val="24"/>
                <w:highlight w:val="none"/>
              </w:rPr>
              <w:t>重要生态功能区一览表</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31"/>
              <w:gridCol w:w="772"/>
              <w:gridCol w:w="798"/>
              <w:gridCol w:w="1428"/>
              <w:gridCol w:w="2932"/>
              <w:gridCol w:w="894"/>
              <w:gridCol w:w="905"/>
              <w:gridCol w:w="710"/>
            </w:tblGrid>
            <w:tr w14:paraId="534E4D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3" w:hRule="atLeast"/>
              </w:trPr>
              <w:tc>
                <w:tcPr>
                  <w:tcW w:w="448" w:type="pct"/>
                  <w:vMerge w:val="restart"/>
                  <w:noWrap w:val="0"/>
                  <w:vAlign w:val="center"/>
                </w:tcPr>
                <w:p w14:paraId="5BA2E33B">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生态空间保护区域名称</w:t>
                  </w:r>
                </w:p>
              </w:tc>
              <w:tc>
                <w:tcPr>
                  <w:tcW w:w="416" w:type="pct"/>
                  <w:vMerge w:val="restart"/>
                  <w:noWrap w:val="0"/>
                  <w:vAlign w:val="center"/>
                </w:tcPr>
                <w:p w14:paraId="672F94BA">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县（市、区）</w:t>
                  </w:r>
                </w:p>
              </w:tc>
              <w:tc>
                <w:tcPr>
                  <w:tcW w:w="430" w:type="pct"/>
                  <w:vMerge w:val="restart"/>
                  <w:noWrap w:val="0"/>
                  <w:vAlign w:val="center"/>
                </w:tcPr>
                <w:p w14:paraId="253B5807">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主导生态功能</w:t>
                  </w:r>
                </w:p>
              </w:tc>
              <w:tc>
                <w:tcPr>
                  <w:tcW w:w="2351" w:type="pct"/>
                  <w:gridSpan w:val="2"/>
                  <w:noWrap w:val="0"/>
                  <w:vAlign w:val="center"/>
                </w:tcPr>
                <w:p w14:paraId="364E599A">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范围</w:t>
                  </w:r>
                </w:p>
              </w:tc>
              <w:tc>
                <w:tcPr>
                  <w:tcW w:w="1353" w:type="pct"/>
                  <w:gridSpan w:val="3"/>
                  <w:noWrap w:val="0"/>
                  <w:vAlign w:val="center"/>
                </w:tcPr>
                <w:p w14:paraId="65E2D6AE">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总面积（平方公里）</w:t>
                  </w:r>
                </w:p>
              </w:tc>
            </w:tr>
            <w:tr w14:paraId="7C3A4A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3" w:hRule="atLeast"/>
              </w:trPr>
              <w:tc>
                <w:tcPr>
                  <w:tcW w:w="448" w:type="pct"/>
                  <w:vMerge w:val="continue"/>
                  <w:noWrap w:val="0"/>
                  <w:vAlign w:val="center"/>
                </w:tcPr>
                <w:p w14:paraId="0C4A8289">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416" w:type="pct"/>
                  <w:vMerge w:val="continue"/>
                  <w:noWrap w:val="0"/>
                  <w:vAlign w:val="center"/>
                </w:tcPr>
                <w:p w14:paraId="173337A4">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430" w:type="pct"/>
                  <w:vMerge w:val="continue"/>
                  <w:noWrap w:val="0"/>
                  <w:vAlign w:val="center"/>
                </w:tcPr>
                <w:p w14:paraId="21612EAB">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770" w:type="pct"/>
                  <w:noWrap w:val="0"/>
                  <w:vAlign w:val="center"/>
                </w:tcPr>
                <w:p w14:paraId="7BF27A43">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国家级生态保护红线范围</w:t>
                  </w:r>
                </w:p>
              </w:tc>
              <w:tc>
                <w:tcPr>
                  <w:tcW w:w="1580" w:type="pct"/>
                  <w:noWrap w:val="0"/>
                  <w:vAlign w:val="center"/>
                </w:tcPr>
                <w:p w14:paraId="3C474C09">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生态空间管控区域范围</w:t>
                  </w:r>
                </w:p>
              </w:tc>
              <w:tc>
                <w:tcPr>
                  <w:tcW w:w="482" w:type="pct"/>
                  <w:noWrap w:val="0"/>
                  <w:vAlign w:val="center"/>
                </w:tcPr>
                <w:p w14:paraId="0DE60E89">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国家级生态保护红线面积</w:t>
                  </w:r>
                </w:p>
              </w:tc>
              <w:tc>
                <w:tcPr>
                  <w:tcW w:w="488" w:type="pct"/>
                  <w:noWrap w:val="0"/>
                  <w:vAlign w:val="center"/>
                </w:tcPr>
                <w:p w14:paraId="3A0B3309">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生态空间管控区域面积</w:t>
                  </w:r>
                </w:p>
              </w:tc>
              <w:tc>
                <w:tcPr>
                  <w:tcW w:w="383" w:type="pct"/>
                  <w:noWrap w:val="0"/>
                  <w:vAlign w:val="center"/>
                </w:tcPr>
                <w:p w14:paraId="4DBDD0BB">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总面积</w:t>
                  </w:r>
                </w:p>
              </w:tc>
            </w:tr>
            <w:tr w14:paraId="2EF7D5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3" w:hRule="atLeast"/>
              </w:trPr>
              <w:tc>
                <w:tcPr>
                  <w:tcW w:w="448" w:type="pct"/>
                  <w:noWrap w:val="0"/>
                  <w:vAlign w:val="center"/>
                </w:tcPr>
                <w:p w14:paraId="5BB3F7CF">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贡湖锡东饮用水水源保护区</w:t>
                  </w:r>
                </w:p>
              </w:tc>
              <w:tc>
                <w:tcPr>
                  <w:tcW w:w="416" w:type="pct"/>
                  <w:noWrap w:val="0"/>
                  <w:vAlign w:val="center"/>
                </w:tcPr>
                <w:p w14:paraId="5F183664">
                  <w:pPr>
                    <w:pStyle w:val="19"/>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无锡市区</w:t>
                  </w:r>
                </w:p>
              </w:tc>
              <w:tc>
                <w:tcPr>
                  <w:tcW w:w="430" w:type="pct"/>
                  <w:noWrap w:val="0"/>
                  <w:vAlign w:val="center"/>
                </w:tcPr>
                <w:p w14:paraId="4C093633">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水源水质保护</w:t>
                  </w:r>
                </w:p>
              </w:tc>
              <w:tc>
                <w:tcPr>
                  <w:tcW w:w="770" w:type="pct"/>
                  <w:noWrap w:val="0"/>
                  <w:vAlign w:val="center"/>
                </w:tcPr>
                <w:p w14:paraId="1825AA61">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一级保护区：以取水口为中心，半径500米以内的区域。二级保护区：一级保护区外、外延2500米范围的水域和东至望虞河、西至许仙港、环太湖高速公路以南的陆域</w:t>
                  </w:r>
                </w:p>
              </w:tc>
              <w:tc>
                <w:tcPr>
                  <w:tcW w:w="1580" w:type="pct"/>
                  <w:noWrap w:val="0"/>
                  <w:vAlign w:val="center"/>
                </w:tcPr>
                <w:p w14:paraId="7E30BB80">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w:t>
                  </w:r>
                </w:p>
              </w:tc>
              <w:tc>
                <w:tcPr>
                  <w:tcW w:w="482" w:type="pct"/>
                  <w:noWrap w:val="0"/>
                  <w:vAlign w:val="center"/>
                </w:tcPr>
                <w:p w14:paraId="58AD1E55">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21.45</w:t>
                  </w:r>
                </w:p>
              </w:tc>
              <w:tc>
                <w:tcPr>
                  <w:tcW w:w="488" w:type="pct"/>
                  <w:noWrap w:val="0"/>
                  <w:vAlign w:val="center"/>
                </w:tcPr>
                <w:p w14:paraId="45619DF0">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p>
              </w:tc>
              <w:tc>
                <w:tcPr>
                  <w:tcW w:w="383" w:type="pct"/>
                  <w:noWrap w:val="0"/>
                  <w:vAlign w:val="center"/>
                </w:tcPr>
                <w:p w14:paraId="4AB8188F">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21.45</w:t>
                  </w:r>
                </w:p>
              </w:tc>
            </w:tr>
            <w:tr w14:paraId="416F6D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3" w:hRule="atLeast"/>
              </w:trPr>
              <w:tc>
                <w:tcPr>
                  <w:tcW w:w="448" w:type="pct"/>
                  <w:noWrap w:val="0"/>
                  <w:vAlign w:val="center"/>
                </w:tcPr>
                <w:p w14:paraId="55A7A1E0">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太湖（无锡市区）重要保护区</w:t>
                  </w:r>
                </w:p>
              </w:tc>
              <w:tc>
                <w:tcPr>
                  <w:tcW w:w="416" w:type="pct"/>
                  <w:noWrap w:val="0"/>
                  <w:vAlign w:val="center"/>
                </w:tcPr>
                <w:p w14:paraId="6C60AE3E">
                  <w:pPr>
                    <w:pStyle w:val="19"/>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无锡市区</w:t>
                  </w:r>
                </w:p>
              </w:tc>
              <w:tc>
                <w:tcPr>
                  <w:tcW w:w="430" w:type="pct"/>
                  <w:noWrap w:val="0"/>
                  <w:vAlign w:val="center"/>
                </w:tcPr>
                <w:p w14:paraId="140C68A2">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湿地生态系统保护</w:t>
                  </w:r>
                </w:p>
              </w:tc>
              <w:tc>
                <w:tcPr>
                  <w:tcW w:w="770" w:type="pct"/>
                  <w:noWrap w:val="0"/>
                  <w:vAlign w:val="center"/>
                </w:tcPr>
                <w:p w14:paraId="79083FC3">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p>
              </w:tc>
              <w:tc>
                <w:tcPr>
                  <w:tcW w:w="1580" w:type="pct"/>
                  <w:noWrap w:val="0"/>
                  <w:vAlign w:val="center"/>
                </w:tcPr>
                <w:p w14:paraId="46193F3F">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湖沙渚饮用水水源地和锡东饮用水水源地一级保护区水域，以及太湖湖体和湖岸。湖体为无锡市区太湖湖体范围和蠡湖宝界桥以西部分湖体范围。湖岸部分包括贡湖湾环太湖高速、干城路、南湖路、缘溪道以南部分区域，梅梁湖望湖路、锦园路、梁湖路、环湖路以南部分区域，马山东半山、西半山和燕山山体及东侧、南侧、西侧沿湖岸线，还包括莲花山、华藏山、鸡笼山、月台山、横山等连绵地区山体，鼋头渚、笔架山、石塘山、龙王山、军嶂山、南象山等连绵山体，横山山体，雪浪山山体</w:t>
                  </w:r>
                </w:p>
              </w:tc>
              <w:tc>
                <w:tcPr>
                  <w:tcW w:w="482" w:type="pct"/>
                  <w:noWrap w:val="0"/>
                  <w:vAlign w:val="center"/>
                </w:tcPr>
                <w:p w14:paraId="6A00BB21">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p>
              </w:tc>
              <w:tc>
                <w:tcPr>
                  <w:tcW w:w="488" w:type="pct"/>
                  <w:noWrap w:val="0"/>
                  <w:vAlign w:val="center"/>
                </w:tcPr>
                <w:p w14:paraId="7904643F">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429.47</w:t>
                  </w:r>
                </w:p>
              </w:tc>
              <w:tc>
                <w:tcPr>
                  <w:tcW w:w="383" w:type="pct"/>
                  <w:noWrap w:val="0"/>
                  <w:vAlign w:val="center"/>
                </w:tcPr>
                <w:p w14:paraId="1AE51772">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429.47</w:t>
                  </w:r>
                </w:p>
              </w:tc>
            </w:tr>
            <w:tr w14:paraId="3FEF57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3" w:hRule="atLeast"/>
              </w:trPr>
              <w:tc>
                <w:tcPr>
                  <w:tcW w:w="730" w:type="dxa"/>
                  <w:noWrap w:val="0"/>
                  <w:vAlign w:val="center"/>
                </w:tcPr>
                <w:p w14:paraId="53A30D65">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无锡太湖大溪港省级湿地公园</w:t>
                  </w:r>
                </w:p>
              </w:tc>
              <w:tc>
                <w:tcPr>
                  <w:tcW w:w="679" w:type="dxa"/>
                  <w:noWrap w:val="0"/>
                  <w:vAlign w:val="center"/>
                </w:tcPr>
                <w:p w14:paraId="0AEE71E9">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无锡市区</w:t>
                  </w:r>
                </w:p>
              </w:tc>
              <w:tc>
                <w:tcPr>
                  <w:tcW w:w="702" w:type="dxa"/>
                  <w:noWrap w:val="0"/>
                  <w:vAlign w:val="center"/>
                </w:tcPr>
                <w:p w14:paraId="2BD4B9A9">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湿地生态系统保护</w:t>
                  </w:r>
                </w:p>
              </w:tc>
              <w:tc>
                <w:tcPr>
                  <w:tcW w:w="1257" w:type="dxa"/>
                  <w:noWrap w:val="0"/>
                  <w:vAlign w:val="center"/>
                </w:tcPr>
                <w:p w14:paraId="41D07664">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无锡太湖大溪港省级湿地公园总体规划中确定的范围（包括湿地保育区和恢复重建区等）</w:t>
                  </w:r>
                </w:p>
              </w:tc>
              <w:tc>
                <w:tcPr>
                  <w:tcW w:w="2581" w:type="dxa"/>
                  <w:noWrap w:val="0"/>
                  <w:vAlign w:val="center"/>
                </w:tcPr>
                <w:p w14:paraId="3C3D400C">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无锡太湖大溪港省级湿地公园总体规划中除湿地保育区和恢复重建区外的范围</w:t>
                  </w:r>
                </w:p>
              </w:tc>
              <w:tc>
                <w:tcPr>
                  <w:tcW w:w="787" w:type="dxa"/>
                  <w:noWrap w:val="0"/>
                  <w:vAlign w:val="center"/>
                </w:tcPr>
                <w:p w14:paraId="068DED1A">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3.33</w:t>
                  </w:r>
                </w:p>
              </w:tc>
              <w:tc>
                <w:tcPr>
                  <w:tcW w:w="797" w:type="dxa"/>
                  <w:noWrap w:val="0"/>
                  <w:vAlign w:val="center"/>
                </w:tcPr>
                <w:p w14:paraId="485100A2">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0.48</w:t>
                  </w:r>
                </w:p>
              </w:tc>
              <w:tc>
                <w:tcPr>
                  <w:tcW w:w="625" w:type="dxa"/>
                  <w:noWrap w:val="0"/>
                  <w:vAlign w:val="center"/>
                </w:tcPr>
                <w:p w14:paraId="37904DEA">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3.81</w:t>
                  </w:r>
                </w:p>
              </w:tc>
            </w:tr>
          </w:tbl>
          <w:p w14:paraId="018DDCE6">
            <w:pPr>
              <w:keepNext w:val="0"/>
              <w:keepLines w:val="0"/>
              <w:suppressLineNumbers w:val="0"/>
              <w:autoSpaceDE w:val="0"/>
              <w:autoSpaceDN w:val="0"/>
              <w:adjustRightInd w:val="0"/>
              <w:snapToGrid w:val="0"/>
              <w:spacing w:before="120" w:beforeLines="50" w:beforeAutospacing="0" w:after="0" w:afterAutospacing="0" w:line="360" w:lineRule="auto"/>
              <w:ind w:left="0" w:right="0" w:firstLine="480" w:firstLineChars="200"/>
              <w:jc w:val="left"/>
              <w:rPr>
                <w:rFonts w:hint="default" w:ascii="Times New Roman" w:hAnsi="Times New Roman" w:eastAsia="宋体"/>
                <w:color w:val="auto"/>
                <w:sz w:val="24"/>
              </w:rPr>
            </w:pPr>
            <w:r>
              <w:rPr>
                <w:rFonts w:hint="default" w:ascii="Times New Roman" w:hAnsi="Times New Roman" w:eastAsia="宋体"/>
                <w:color w:val="auto"/>
                <w:sz w:val="24"/>
              </w:rPr>
              <w:t>因此，项目选址符合《江苏省国家级生态保护红线规划》、</w:t>
            </w:r>
            <w:r>
              <w:rPr>
                <w:rFonts w:hint="default" w:ascii="Times New Roman" w:hAnsi="Times New Roman" w:eastAsia="宋体"/>
                <w:color w:val="auto"/>
                <w:kern w:val="0"/>
                <w:sz w:val="24"/>
                <w:lang w:val="zh-CN"/>
              </w:rPr>
              <w:t>《江苏省生态空间管控区域规划》</w:t>
            </w:r>
            <w:r>
              <w:rPr>
                <w:rFonts w:hint="default" w:ascii="Times New Roman" w:hAnsi="Times New Roman" w:eastAsia="宋体"/>
                <w:color w:val="auto"/>
                <w:sz w:val="24"/>
              </w:rPr>
              <w:t>的要求。</w:t>
            </w:r>
          </w:p>
          <w:p w14:paraId="2F4C5F7F">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（2）与《江苏省2023年度生态环境分区管控动态更新》的相符性</w:t>
            </w:r>
          </w:p>
          <w:p w14:paraId="5E0E9DB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olor w:val="auto"/>
                <w:sz w:val="24"/>
                <w:highlight w:val="none"/>
              </w:rPr>
            </w:pPr>
            <w:r>
              <w:rPr>
                <w:rFonts w:hint="default" w:ascii="Times New Roman" w:hAnsi="Times New Roman" w:eastAsia="宋体" w:cs="Times New Roman"/>
                <w:snapToGrid w:val="0"/>
                <w:color w:val="auto"/>
                <w:kern w:val="0"/>
                <w:sz w:val="24"/>
                <w:highlight w:val="none"/>
              </w:rPr>
              <w:t>根据</w:t>
            </w:r>
            <w:r>
              <w:rPr>
                <w:rFonts w:hint="eastAsia" w:ascii="Times New Roman" w:hAnsi="Times New Roman" w:eastAsia="宋体" w:cs="Times New Roman"/>
                <w:b w:val="0"/>
                <w:bCs w:val="0"/>
                <w:color w:val="auto"/>
                <w:kern w:val="0"/>
                <w:sz w:val="24"/>
                <w:highlight w:val="none"/>
                <w:lang w:eastAsia="zh-CN"/>
              </w:rPr>
              <w:t>《江苏省2023年度生态环境分区管控动态更新》</w:t>
            </w:r>
            <w:r>
              <w:rPr>
                <w:rFonts w:hint="default" w:ascii="Times New Roman" w:hAnsi="Times New Roman" w:eastAsia="宋体" w:cs="Times New Roman"/>
                <w:b w:val="0"/>
                <w:bCs w:val="0"/>
                <w:snapToGrid w:val="0"/>
                <w:color w:val="auto"/>
                <w:kern w:val="0"/>
                <w:sz w:val="24"/>
                <w:highlight w:val="none"/>
              </w:rPr>
              <w:t>，</w:t>
            </w:r>
            <w:r>
              <w:rPr>
                <w:rFonts w:hint="default" w:ascii="Times New Roman" w:hAnsi="Times New Roman" w:eastAsia="宋体" w:cs="Times New Roman"/>
                <w:snapToGrid w:val="0"/>
                <w:color w:val="auto"/>
                <w:kern w:val="0"/>
                <w:sz w:val="24"/>
                <w:highlight w:val="none"/>
              </w:rPr>
              <w:t>无锡市共划定环境管控单元</w:t>
            </w:r>
            <w:r>
              <w:rPr>
                <w:rFonts w:hint="eastAsia" w:ascii="Times New Roman" w:hAnsi="Times New Roman" w:eastAsia="宋体" w:cs="Times New Roman"/>
                <w:snapToGrid w:val="0"/>
                <w:color w:val="auto"/>
                <w:kern w:val="0"/>
                <w:sz w:val="24"/>
                <w:highlight w:val="none"/>
                <w:lang w:val="en-US" w:eastAsia="zh-CN"/>
              </w:rPr>
              <w:t>243</w:t>
            </w:r>
            <w:r>
              <w:rPr>
                <w:rFonts w:hint="default" w:ascii="Times New Roman" w:hAnsi="Times New Roman" w:eastAsia="宋体" w:cs="Times New Roman"/>
                <w:snapToGrid w:val="0"/>
                <w:color w:val="auto"/>
                <w:kern w:val="0"/>
                <w:sz w:val="24"/>
                <w:highlight w:val="none"/>
              </w:rPr>
              <w:t>个，</w:t>
            </w:r>
            <w:r>
              <w:rPr>
                <w:rFonts w:hint="eastAsia" w:ascii="Times New Roman" w:hAnsi="Times New Roman" w:eastAsia="宋体" w:cs="Times New Roman"/>
                <w:snapToGrid w:val="0"/>
                <w:color w:val="auto"/>
                <w:kern w:val="0"/>
                <w:sz w:val="24"/>
                <w:highlight w:val="none"/>
                <w:lang w:val="en-US" w:eastAsia="zh-CN"/>
              </w:rPr>
              <w:t>包括</w:t>
            </w:r>
            <w:r>
              <w:rPr>
                <w:rFonts w:hint="default" w:ascii="Times New Roman" w:hAnsi="Times New Roman" w:eastAsia="宋体" w:cs="Times New Roman"/>
                <w:snapToGrid w:val="0"/>
                <w:color w:val="auto"/>
                <w:kern w:val="0"/>
                <w:sz w:val="24"/>
                <w:highlight w:val="none"/>
              </w:rPr>
              <w:t>优先保护单元</w:t>
            </w:r>
            <w:r>
              <w:rPr>
                <w:rFonts w:hint="eastAsia" w:ascii="Times New Roman" w:hAnsi="Times New Roman" w:eastAsia="宋体" w:cs="Times New Roman"/>
                <w:snapToGrid w:val="0"/>
                <w:color w:val="auto"/>
                <w:kern w:val="0"/>
                <w:sz w:val="24"/>
                <w:highlight w:val="none"/>
                <w:lang w:val="en-US" w:eastAsia="zh-CN"/>
              </w:rPr>
              <w:t>99</w:t>
            </w:r>
            <w:r>
              <w:rPr>
                <w:rFonts w:hint="default" w:ascii="Times New Roman" w:hAnsi="Times New Roman" w:eastAsia="宋体" w:cs="Times New Roman"/>
                <w:snapToGrid w:val="0"/>
                <w:color w:val="auto"/>
                <w:kern w:val="0"/>
                <w:sz w:val="24"/>
                <w:highlight w:val="none"/>
              </w:rPr>
              <w:t>个、重点管控单元</w:t>
            </w:r>
            <w:r>
              <w:rPr>
                <w:rFonts w:hint="eastAsia" w:ascii="Times New Roman" w:hAnsi="Times New Roman" w:eastAsia="宋体" w:cs="Times New Roman"/>
                <w:snapToGrid w:val="0"/>
                <w:color w:val="auto"/>
                <w:kern w:val="0"/>
                <w:sz w:val="24"/>
                <w:highlight w:val="none"/>
                <w:lang w:val="en-US" w:eastAsia="zh-CN"/>
              </w:rPr>
              <w:t>91个</w:t>
            </w:r>
            <w:r>
              <w:rPr>
                <w:rFonts w:hint="default" w:ascii="Times New Roman" w:hAnsi="Times New Roman" w:eastAsia="宋体" w:cs="Times New Roman"/>
                <w:snapToGrid w:val="0"/>
                <w:color w:val="auto"/>
                <w:kern w:val="0"/>
                <w:sz w:val="24"/>
                <w:highlight w:val="none"/>
              </w:rPr>
              <w:t>和一般管控单元</w:t>
            </w:r>
            <w:r>
              <w:rPr>
                <w:rFonts w:hint="eastAsia" w:ascii="Times New Roman" w:hAnsi="Times New Roman" w:eastAsia="宋体" w:cs="Times New Roman"/>
                <w:snapToGrid w:val="0"/>
                <w:color w:val="auto"/>
                <w:kern w:val="0"/>
                <w:sz w:val="24"/>
                <w:highlight w:val="none"/>
                <w:lang w:val="en-US" w:eastAsia="zh-CN"/>
              </w:rPr>
              <w:t>53个</w:t>
            </w:r>
            <w:r>
              <w:rPr>
                <w:rFonts w:hint="default" w:ascii="Times New Roman" w:hAnsi="Times New Roman" w:eastAsia="宋体" w:cs="Times New Roman"/>
                <w:snapToGrid w:val="0"/>
                <w:color w:val="auto"/>
                <w:kern w:val="0"/>
                <w:sz w:val="24"/>
                <w:highlight w:val="none"/>
              </w:rPr>
              <w:t>，实施分类管控。优先保护单元，指以生态环境保护为主的区域，包括生态保护红线和生态空间管控区域。重点管控单元，指涉及水、大气、土壤、自然资源等资源环境要素重点管控的区域，主要包括人口密集的中心城区和各级各类产业集聚的工业园区（工业集中区）。一般管控单元，指除优先保护单元、重点管控单元以外的其他区域，衔接街道（乡镇）边界形成管控单元。以环境管控单元为基础，从空间布局约束、污染物排放管控、环境风险防控和资源利用效率等方面明确准入、限制和禁止的要求，建立无锡市市域生态环境管控要求和</w:t>
            </w:r>
            <w:r>
              <w:rPr>
                <w:rFonts w:hint="eastAsia" w:ascii="Times New Roman" w:hAnsi="Times New Roman" w:eastAsia="宋体" w:cs="Times New Roman"/>
                <w:snapToGrid w:val="0"/>
                <w:color w:val="auto"/>
                <w:kern w:val="0"/>
                <w:sz w:val="24"/>
                <w:highlight w:val="none"/>
                <w:lang w:val="en-US" w:eastAsia="zh-CN"/>
              </w:rPr>
              <w:t>243</w:t>
            </w:r>
            <w:r>
              <w:rPr>
                <w:rFonts w:hint="default" w:ascii="Times New Roman" w:hAnsi="Times New Roman" w:eastAsia="宋体" w:cs="Times New Roman"/>
                <w:snapToGrid w:val="0"/>
                <w:color w:val="auto"/>
                <w:kern w:val="0"/>
                <w:sz w:val="24"/>
                <w:highlight w:val="none"/>
              </w:rPr>
              <w:t>个环境管控单元的生态环境准入清单</w:t>
            </w:r>
            <w:r>
              <w:rPr>
                <w:rFonts w:hint="default" w:ascii="Times New Roman" w:hAnsi="Times New Roman" w:eastAsia="宋体"/>
                <w:color w:val="auto"/>
                <w:sz w:val="24"/>
                <w:highlight w:val="none"/>
              </w:rPr>
              <w:t>。</w:t>
            </w:r>
          </w:p>
          <w:p w14:paraId="213354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本项目位于无锡市新吴区净慧东道196号F楼2楼，</w:t>
            </w:r>
            <w:r>
              <w:rPr>
                <w:rFonts w:hint="eastAsia" w:ascii="Times New Roman" w:hAnsi="Times New Roman" w:eastAsia="宋体"/>
                <w:color w:val="auto"/>
                <w:sz w:val="24"/>
                <w:highlight w:val="none"/>
                <w:lang w:val="en-US" w:eastAsia="zh-CN"/>
              </w:rPr>
              <w:t>根据《江苏省生态环境分区管控综合查询报告书》（报告编号：2025312151456），本项目</w:t>
            </w:r>
            <w:r>
              <w:rPr>
                <w:rFonts w:hint="default" w:ascii="Times New Roman" w:hAnsi="Times New Roman" w:eastAsia="宋体"/>
                <w:color w:val="auto"/>
                <w:sz w:val="24"/>
                <w:szCs w:val="24"/>
                <w:highlight w:val="none"/>
              </w:rPr>
              <w:t>位于</w:t>
            </w:r>
            <w:r>
              <w:rPr>
                <w:rFonts w:hint="eastAsia" w:ascii="Times New Roman" w:hAnsi="Times New Roman" w:eastAsia="宋体"/>
                <w:color w:val="auto"/>
                <w:sz w:val="24"/>
                <w:highlight w:val="none"/>
                <w:lang w:val="en-US" w:eastAsia="zh-CN"/>
              </w:rPr>
              <w:t>无锡市中心城区（新吴区）</w:t>
            </w:r>
            <w:r>
              <w:rPr>
                <w:rFonts w:hint="eastAsia" w:ascii="Times New Roman" w:hAnsi="Times New Roman" w:eastAsia="宋体"/>
                <w:color w:val="auto"/>
                <w:sz w:val="24"/>
                <w:highlight w:val="none"/>
                <w:lang w:eastAsia="zh-CN"/>
              </w:rPr>
              <w:t>（</w:t>
            </w:r>
            <w:r>
              <w:rPr>
                <w:rFonts w:hint="eastAsia" w:ascii="Times New Roman" w:hAnsi="Times New Roman" w:eastAsia="宋体"/>
                <w:color w:val="auto"/>
                <w:sz w:val="24"/>
                <w:highlight w:val="none"/>
                <w:lang w:val="en-US" w:eastAsia="zh-CN"/>
              </w:rPr>
              <w:t>环境管控单元编码：ZH32021420168</w:t>
            </w:r>
            <w:r>
              <w:rPr>
                <w:rFonts w:hint="eastAsia" w:ascii="Times New Roman" w:hAnsi="Times New Roman" w:eastAsia="宋体"/>
                <w:color w:val="auto"/>
                <w:sz w:val="24"/>
                <w:highlight w:val="none"/>
                <w:lang w:eastAsia="zh-CN"/>
              </w:rPr>
              <w:t>）</w:t>
            </w:r>
            <w:r>
              <w:rPr>
                <w:rFonts w:hint="eastAsia" w:ascii="Times New Roman" w:hAnsi="Times New Roman" w:eastAsia="宋体" w:cs="Times New Roman"/>
                <w:color w:val="auto"/>
                <w:kern w:val="0"/>
                <w:sz w:val="24"/>
                <w:szCs w:val="24"/>
                <w:highlight w:val="none"/>
                <w:lang w:val="en-US" w:eastAsia="zh-CN" w:bidi="ar-SA"/>
              </w:rPr>
              <w:t>，属于</w:t>
            </w:r>
            <w:r>
              <w:rPr>
                <w:rFonts w:hint="default" w:ascii="Times New Roman" w:hAnsi="Times New Roman" w:eastAsia="宋体"/>
                <w:color w:val="auto"/>
                <w:sz w:val="24"/>
                <w:highlight w:val="none"/>
              </w:rPr>
              <w:t>重点管控单元</w:t>
            </w:r>
            <w:r>
              <w:rPr>
                <w:rFonts w:hint="eastAsia" w:ascii="Times New Roman" w:hAnsi="Times New Roman" w:eastAsia="宋体" w:cs="Times New Roman"/>
                <w:color w:val="auto"/>
                <w:kern w:val="0"/>
                <w:sz w:val="24"/>
                <w:szCs w:val="24"/>
                <w:highlight w:val="red"/>
                <w:lang w:val="en-US" w:eastAsia="zh-CN" w:bidi="ar-SA"/>
              </w:rPr>
              <w:t>（见附件16）</w:t>
            </w:r>
            <w:r>
              <w:rPr>
                <w:rFonts w:hint="default" w:ascii="Times New Roman" w:hAnsi="Times New Roman" w:eastAsia="宋体" w:cs="Times New Roman"/>
                <w:color w:val="auto"/>
                <w:kern w:val="0"/>
                <w:sz w:val="24"/>
                <w:szCs w:val="24"/>
                <w:highlight w:val="none"/>
                <w:lang w:val="en-US" w:eastAsia="zh-CN" w:bidi="ar-SA"/>
              </w:rPr>
              <w:t>，本项目与所在环境管控单元生态环境准入清单相符性见</w:t>
            </w:r>
            <w:r>
              <w:rPr>
                <w:rFonts w:hint="eastAsia" w:ascii="Times New Roman" w:hAnsi="Times New Roman" w:eastAsia="宋体" w:cs="Times New Roman"/>
                <w:color w:val="auto"/>
                <w:kern w:val="0"/>
                <w:sz w:val="24"/>
                <w:szCs w:val="24"/>
                <w:highlight w:val="none"/>
                <w:lang w:val="en-US" w:eastAsia="zh-CN" w:bidi="ar-SA"/>
              </w:rPr>
              <w:t>下表</w:t>
            </w:r>
            <w:r>
              <w:rPr>
                <w:rFonts w:hint="default" w:ascii="Times New Roman" w:hAnsi="Times New Roman" w:eastAsia="宋体" w:cs="Times New Roman"/>
                <w:color w:val="auto"/>
                <w:kern w:val="0"/>
                <w:sz w:val="24"/>
                <w:szCs w:val="24"/>
                <w:highlight w:val="none"/>
                <w:lang w:val="en-US" w:eastAsia="zh-CN" w:bidi="ar-SA"/>
              </w:rPr>
              <w:t>。</w:t>
            </w:r>
          </w:p>
          <w:p w14:paraId="67120817">
            <w:pPr>
              <w:keepNext w:val="0"/>
              <w:keepLines w:val="0"/>
              <w:numPr>
                <w:ilvl w:val="0"/>
                <w:numId w:val="0"/>
              </w:numPr>
              <w:suppressLineNumbers w:val="0"/>
              <w:snapToGrid w:val="0"/>
              <w:spacing w:before="0" w:beforeAutospacing="0" w:after="0" w:afterAutospacing="0"/>
              <w:ind w:left="425" w:leftChars="0" w:right="0" w:rightChars="0" w:hanging="425" w:firstLineChars="0"/>
              <w:jc w:val="center"/>
              <w:rPr>
                <w:rFonts w:hint="eastAsia" w:ascii="Times New Roman" w:hAnsi="Times New Roman" w:eastAsia="宋体" w:cs="Times New Roman"/>
                <w:b/>
                <w:bCs/>
                <w:color w:val="auto"/>
                <w:sz w:val="24"/>
                <w:highlight w:val="none"/>
                <w:lang w:eastAsia="zh-CN"/>
              </w:rPr>
            </w:pPr>
            <w:r>
              <w:rPr>
                <w:rFonts w:hint="default" w:ascii="Times New Roman" w:hAnsi="Times New Roman" w:eastAsia="宋体" w:cs="宋体"/>
                <w:b/>
                <w:bCs/>
                <w:color w:val="auto"/>
                <w:kern w:val="2"/>
                <w:sz w:val="24"/>
                <w:szCs w:val="24"/>
                <w:lang w:val="en-US" w:eastAsia="zh-CN" w:bidi="ar-SA"/>
              </w:rPr>
              <w:t>表1-</w:t>
            </w:r>
            <w:r>
              <w:rPr>
                <w:rFonts w:hint="eastAsia" w:ascii="Times New Roman" w:hAnsi="Times New Roman" w:eastAsia="宋体" w:cs="宋体"/>
                <w:b/>
                <w:bCs/>
                <w:color w:val="auto"/>
                <w:kern w:val="2"/>
                <w:sz w:val="24"/>
                <w:szCs w:val="24"/>
                <w:lang w:val="en-US" w:eastAsia="zh-CN" w:bidi="ar-SA"/>
              </w:rPr>
              <w:t xml:space="preserve">5  </w:t>
            </w:r>
            <w:r>
              <w:rPr>
                <w:rFonts w:hint="eastAsia" w:ascii="Times New Roman" w:hAnsi="Times New Roman" w:eastAsia="宋体" w:cs="Times New Roman"/>
                <w:b/>
                <w:bCs/>
                <w:color w:val="auto"/>
                <w:sz w:val="24"/>
                <w:highlight w:val="none"/>
                <w:lang w:eastAsia="zh-CN"/>
              </w:rPr>
              <w:t>项目与无锡市中心城区（新吴区）环境管控单元准入清单相符性分析</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21"/>
              <w:gridCol w:w="748"/>
              <w:gridCol w:w="3381"/>
              <w:gridCol w:w="3329"/>
              <w:gridCol w:w="995"/>
            </w:tblGrid>
            <w:tr w14:paraId="6A2503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3" w:type="pct"/>
                  <w:noWrap w:val="0"/>
                  <w:vAlign w:val="center"/>
                </w:tcPr>
                <w:p w14:paraId="2C1326D2">
                  <w:pPr>
                    <w:keepNext w:val="0"/>
                    <w:keepLines w:val="0"/>
                    <w:suppressLineNumbers w:val="0"/>
                    <w:spacing w:before="0" w:beforeAutospacing="0" w:after="0" w:afterAutospacing="0"/>
                    <w:ind w:left="0" w:right="0"/>
                    <w:jc w:val="center"/>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环境管控单元名称</w:t>
                  </w:r>
                </w:p>
              </w:tc>
              <w:tc>
                <w:tcPr>
                  <w:tcW w:w="2225" w:type="pct"/>
                  <w:gridSpan w:val="2"/>
                  <w:noWrap w:val="0"/>
                  <w:vAlign w:val="center"/>
                </w:tcPr>
                <w:p w14:paraId="55E06232">
                  <w:pPr>
                    <w:keepNext w:val="0"/>
                    <w:keepLines w:val="0"/>
                    <w:suppressLineNumbers w:val="0"/>
                    <w:spacing w:before="0" w:beforeAutospacing="0" w:after="0" w:afterAutospacing="0"/>
                    <w:ind w:left="0" w:right="0"/>
                    <w:jc w:val="center"/>
                    <w:rPr>
                      <w:rFonts w:hint="eastAsia" w:ascii="Times New Roman" w:hAnsi="Times New Roman" w:eastAsia="宋体"/>
                      <w:b/>
                      <w:bCs/>
                      <w:color w:val="auto"/>
                      <w:szCs w:val="21"/>
                      <w:highlight w:val="none"/>
                      <w:lang w:eastAsia="zh-CN"/>
                    </w:rPr>
                  </w:pPr>
                  <w:r>
                    <w:rPr>
                      <w:rFonts w:hint="eastAsia" w:ascii="Times New Roman" w:hAnsi="Times New Roman" w:eastAsia="宋体"/>
                      <w:b/>
                      <w:bCs/>
                      <w:color w:val="auto"/>
                      <w:szCs w:val="21"/>
                      <w:highlight w:val="none"/>
                      <w:lang w:eastAsia="zh-CN"/>
                    </w:rPr>
                    <w:t>管控要求</w:t>
                  </w:r>
                </w:p>
              </w:tc>
              <w:tc>
                <w:tcPr>
                  <w:tcW w:w="1794" w:type="pct"/>
                  <w:noWrap w:val="0"/>
                  <w:vAlign w:val="center"/>
                </w:tcPr>
                <w:p w14:paraId="01E612F1">
                  <w:pPr>
                    <w:keepNext w:val="0"/>
                    <w:keepLines w:val="0"/>
                    <w:suppressLineNumbers w:val="0"/>
                    <w:spacing w:before="0" w:beforeAutospacing="0" w:after="0" w:afterAutospacing="0"/>
                    <w:ind w:left="0" w:right="0"/>
                    <w:jc w:val="center"/>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本项目相符性分析</w:t>
                  </w:r>
                </w:p>
              </w:tc>
              <w:tc>
                <w:tcPr>
                  <w:tcW w:w="536" w:type="pct"/>
                  <w:noWrap w:val="0"/>
                  <w:vAlign w:val="center"/>
                </w:tcPr>
                <w:p w14:paraId="4C689AD3">
                  <w:pPr>
                    <w:keepNext w:val="0"/>
                    <w:keepLines w:val="0"/>
                    <w:suppressLineNumbers w:val="0"/>
                    <w:spacing w:before="0" w:beforeAutospacing="0" w:after="0" w:afterAutospacing="0"/>
                    <w:ind w:left="0" w:right="0"/>
                    <w:jc w:val="center"/>
                    <w:rPr>
                      <w:rFonts w:hint="eastAsia" w:ascii="Times New Roman" w:hAnsi="Times New Roman" w:eastAsia="宋体"/>
                      <w:b/>
                      <w:bCs/>
                      <w:color w:val="auto"/>
                      <w:szCs w:val="21"/>
                      <w:highlight w:val="none"/>
                    </w:rPr>
                  </w:pPr>
                  <w:r>
                    <w:rPr>
                      <w:rFonts w:hint="eastAsia" w:ascii="Times New Roman" w:hAnsi="Times New Roman" w:eastAsia="宋体"/>
                      <w:b/>
                      <w:bCs/>
                      <w:color w:val="auto"/>
                      <w:szCs w:val="21"/>
                      <w:highlight w:val="none"/>
                    </w:rPr>
                    <w:t>是否相符</w:t>
                  </w:r>
                </w:p>
              </w:tc>
            </w:tr>
            <w:tr w14:paraId="23A25A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3" w:type="pct"/>
                  <w:vMerge w:val="restart"/>
                  <w:noWrap w:val="0"/>
                  <w:vAlign w:val="center"/>
                </w:tcPr>
                <w:p w14:paraId="2720AAA5">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s="Times New Roman"/>
                      <w:color w:val="auto"/>
                      <w:sz w:val="21"/>
                      <w:szCs w:val="21"/>
                      <w:highlight w:val="none"/>
                      <w:lang w:val="en-US" w:eastAsia="zh-CN"/>
                    </w:rPr>
                    <w:t>无锡市中心城区（新吴区）</w:t>
                  </w:r>
                </w:p>
              </w:tc>
              <w:tc>
                <w:tcPr>
                  <w:tcW w:w="403" w:type="pct"/>
                  <w:noWrap w:val="0"/>
                  <w:vAlign w:val="center"/>
                </w:tcPr>
                <w:p w14:paraId="514A3789">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空间布局约束</w:t>
                  </w:r>
                </w:p>
              </w:tc>
              <w:tc>
                <w:tcPr>
                  <w:tcW w:w="1822" w:type="pct"/>
                  <w:noWrap w:val="0"/>
                  <w:vAlign w:val="center"/>
                </w:tcPr>
                <w:p w14:paraId="67B86A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（1）各类开发建设活动应符合无锡市国土空间总体规划、控制性详细规划等相关要求。</w:t>
                  </w:r>
                </w:p>
                <w:p w14:paraId="19386E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olor w:val="auto"/>
                      <w:szCs w:val="21"/>
                      <w:highlight w:val="none"/>
                    </w:rPr>
                  </w:pPr>
                  <w:r>
                    <w:rPr>
                      <w:rFonts w:hint="default" w:ascii="Times New Roman" w:hAnsi="Times New Roman" w:eastAsia="宋体" w:cs="Times New Roman"/>
                      <w:color w:val="auto"/>
                      <w:sz w:val="21"/>
                      <w:szCs w:val="21"/>
                      <w:highlight w:val="none"/>
                    </w:rPr>
                    <w:t>（2）禁止引进列入《无锡市产业结构调整指导目录》（锡政办发〔2008〕6号）禁止淘汰类的产业。</w:t>
                  </w:r>
                </w:p>
              </w:tc>
              <w:tc>
                <w:tcPr>
                  <w:tcW w:w="1794" w:type="pct"/>
                  <w:noWrap w:val="0"/>
                  <w:vAlign w:val="center"/>
                </w:tcPr>
                <w:p w14:paraId="3B79D305">
                  <w:pPr>
                    <w:keepNext w:val="0"/>
                    <w:keepLines w:val="0"/>
                    <w:suppressLineNumbers w:val="0"/>
                    <w:spacing w:before="0" w:beforeAutospacing="0" w:after="0" w:afterAutospacing="0"/>
                    <w:ind w:left="0" w:right="0"/>
                    <w:jc w:val="left"/>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本项目位于江苏省无锡市新吴区净慧东道196号F楼2楼</w:t>
                  </w:r>
                  <w:r>
                    <w:rPr>
                      <w:rFonts w:hint="eastAsia" w:ascii="Times New Roman" w:hAnsi="Times New Roman" w:eastAsia="宋体" w:cs="Times New Roman"/>
                      <w:color w:val="auto"/>
                      <w:sz w:val="21"/>
                      <w:szCs w:val="21"/>
                      <w:highlight w:val="none"/>
                    </w:rPr>
                    <w:t>，属于无锡（太湖）国际科技园科创区—孵化区管理单元，本项目所在区域规划为“Ma+B9a生产研发用地+科研设计用地”；</w:t>
                  </w:r>
                  <w:r>
                    <w:rPr>
                      <w:rFonts w:hint="eastAsia" w:ascii="Times New Roman" w:hAnsi="Times New Roman" w:eastAsia="宋体"/>
                      <w:color w:val="auto"/>
                      <w:sz w:val="21"/>
                      <w:szCs w:val="21"/>
                      <w:highlight w:val="none"/>
                      <w:lang w:val="en-US" w:eastAsia="zh-CN"/>
                    </w:rPr>
                    <w:t>本项目引进、购置国内外先进实验设施，针对小分子抗肿瘤药进行早期小试研发，建成后可年产化合物测试500个，</w:t>
                  </w:r>
                  <w:r>
                    <w:rPr>
                      <w:rFonts w:hint="eastAsia" w:ascii="Times New Roman" w:hAnsi="Times New Roman" w:eastAsia="宋体" w:cs="Times New Roman"/>
                      <w:color w:val="auto"/>
                      <w:sz w:val="21"/>
                      <w:szCs w:val="21"/>
                      <w:highlight w:val="none"/>
                    </w:rPr>
                    <w:t>符合项目所在地规划</w:t>
                  </w:r>
                  <w:r>
                    <w:rPr>
                      <w:rFonts w:hint="eastAsia" w:ascii="Times New Roman" w:hAnsi="Times New Roman" w:eastAsia="宋体" w:cs="Times New Roman"/>
                      <w:color w:val="auto"/>
                      <w:sz w:val="21"/>
                      <w:szCs w:val="21"/>
                      <w:highlight w:val="none"/>
                      <w:lang w:eastAsia="zh-CN"/>
                    </w:rPr>
                    <w:t>。</w:t>
                  </w:r>
                </w:p>
                <w:p w14:paraId="4CB3EE03">
                  <w:pPr>
                    <w:keepNext w:val="0"/>
                    <w:keepLines w:val="0"/>
                    <w:suppressLineNumbers w:val="0"/>
                    <w:spacing w:before="0" w:beforeAutospacing="0" w:after="0" w:afterAutospacing="0"/>
                    <w:ind w:left="0" w:right="0"/>
                    <w:jc w:val="left"/>
                    <w:rPr>
                      <w:rFonts w:hint="default" w:ascii="Times New Roman" w:hAnsi="Times New Roman" w:eastAsia="宋体"/>
                      <w:color w:val="auto"/>
                      <w:szCs w:val="21"/>
                      <w:highlight w:val="none"/>
                    </w:rPr>
                  </w:pPr>
                  <w:r>
                    <w:rPr>
                      <w:rFonts w:hint="default" w:ascii="Times New Roman" w:hAnsi="Times New Roman" w:eastAsia="宋体" w:cs="Times New Roman"/>
                      <w:color w:val="auto"/>
                      <w:sz w:val="21"/>
                      <w:szCs w:val="21"/>
                      <w:highlight w:val="none"/>
                    </w:rPr>
                    <w:t>本项目</w:t>
                  </w:r>
                  <w:r>
                    <w:rPr>
                      <w:rFonts w:hint="eastAsia" w:ascii="Times New Roman" w:hAnsi="Times New Roman" w:eastAsia="宋体" w:cs="Times New Roman"/>
                      <w:color w:val="auto"/>
                      <w:sz w:val="21"/>
                      <w:szCs w:val="21"/>
                      <w:highlight w:val="none"/>
                      <w:lang w:val="en-US" w:eastAsia="zh-CN"/>
                    </w:rPr>
                    <w:t>不</w:t>
                  </w:r>
                  <w:r>
                    <w:rPr>
                      <w:rFonts w:hint="default" w:ascii="Times New Roman" w:hAnsi="Times New Roman" w:eastAsia="宋体" w:cs="Times New Roman"/>
                      <w:color w:val="auto"/>
                      <w:sz w:val="21"/>
                      <w:szCs w:val="21"/>
                      <w:highlight w:val="none"/>
                    </w:rPr>
                    <w:t>属于《无锡市产业结构调整指导目录》（锡政办发〔2008〕6号）</w:t>
                  </w:r>
                  <w:r>
                    <w:rPr>
                      <w:rFonts w:hint="eastAsia" w:ascii="Times New Roman" w:hAnsi="Times New Roman" w:eastAsia="宋体" w:cs="Times New Roman"/>
                      <w:color w:val="auto"/>
                      <w:sz w:val="21"/>
                      <w:szCs w:val="21"/>
                      <w:highlight w:val="none"/>
                      <w:lang w:val="en-US" w:eastAsia="zh-CN"/>
                    </w:rPr>
                    <w:t>中的</w:t>
                  </w:r>
                  <w:r>
                    <w:rPr>
                      <w:rFonts w:hint="default" w:ascii="Times New Roman" w:hAnsi="Times New Roman" w:eastAsia="宋体" w:cs="Times New Roman"/>
                      <w:color w:val="auto"/>
                      <w:sz w:val="21"/>
                      <w:szCs w:val="21"/>
                      <w:highlight w:val="none"/>
                    </w:rPr>
                    <w:t>禁止淘汰类的产业。</w:t>
                  </w:r>
                </w:p>
              </w:tc>
              <w:tc>
                <w:tcPr>
                  <w:tcW w:w="536" w:type="pct"/>
                  <w:noWrap w:val="0"/>
                  <w:vAlign w:val="center"/>
                </w:tcPr>
                <w:p w14:paraId="57FFE7E0">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highlight w:val="none"/>
                    </w:rPr>
                  </w:pPr>
                  <w:r>
                    <w:rPr>
                      <w:rFonts w:hint="eastAsia" w:ascii="Times New Roman" w:hAnsi="Times New Roman" w:eastAsia="宋体"/>
                      <w:color w:val="auto"/>
                      <w:szCs w:val="21"/>
                      <w:highlight w:val="none"/>
                    </w:rPr>
                    <w:t>相符</w:t>
                  </w:r>
                </w:p>
              </w:tc>
            </w:tr>
            <w:tr w14:paraId="3BC8C1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3" w:type="pct"/>
                  <w:vMerge w:val="continue"/>
                  <w:noWrap w:val="0"/>
                  <w:vAlign w:val="center"/>
                </w:tcPr>
                <w:p w14:paraId="71CA4A50">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rPr>
                  </w:pPr>
                </w:p>
              </w:tc>
              <w:tc>
                <w:tcPr>
                  <w:tcW w:w="403" w:type="pct"/>
                  <w:noWrap w:val="0"/>
                  <w:vAlign w:val="center"/>
                </w:tcPr>
                <w:p w14:paraId="3CAF3397">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污染物排放管控</w:t>
                  </w:r>
                </w:p>
              </w:tc>
              <w:tc>
                <w:tcPr>
                  <w:tcW w:w="1822" w:type="pct"/>
                  <w:noWrap w:val="0"/>
                  <w:vAlign w:val="center"/>
                </w:tcPr>
                <w:p w14:paraId="0094A3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严格实施污染物总量控制制度，根据区域环境质量改善目标，削减污染物排放总量</w:t>
                  </w:r>
                  <w:r>
                    <w:rPr>
                      <w:rFonts w:hint="default" w:ascii="Times New Roman" w:hAnsi="Times New Roman" w:eastAsia="宋体" w:cs="Times New Roman"/>
                      <w:color w:val="auto"/>
                      <w:sz w:val="21"/>
                      <w:szCs w:val="21"/>
                      <w:highlight w:val="none"/>
                    </w:rPr>
                    <w:t>。</w:t>
                  </w:r>
                </w:p>
                <w:p w14:paraId="11C974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olor w:val="auto"/>
                      <w:szCs w:val="21"/>
                      <w:highlight w:val="none"/>
                    </w:rPr>
                  </w:pP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val="en-US" w:eastAsia="zh-CN"/>
                    </w:rPr>
                    <w:t>强化餐饮油烟治理，加强噪声污染防治，严格施工扬尘监管，加强土壤和地下水污染防治与修复</w:t>
                  </w:r>
                  <w:r>
                    <w:rPr>
                      <w:rFonts w:hint="default" w:ascii="Times New Roman" w:hAnsi="Times New Roman" w:eastAsia="宋体" w:cs="Times New Roman"/>
                      <w:color w:val="auto"/>
                      <w:sz w:val="21"/>
                      <w:szCs w:val="21"/>
                      <w:highlight w:val="none"/>
                    </w:rPr>
                    <w:t>。</w:t>
                  </w:r>
                </w:p>
              </w:tc>
              <w:tc>
                <w:tcPr>
                  <w:tcW w:w="1794" w:type="pct"/>
                  <w:noWrap w:val="0"/>
                  <w:vAlign w:val="center"/>
                </w:tcPr>
                <w:p w14:paraId="04D599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本项目非甲烷总烃</w:t>
                  </w:r>
                  <w:r>
                    <w:rPr>
                      <w:rFonts w:hint="eastAsia" w:cs="Times New Roman"/>
                      <w:color w:val="auto"/>
                      <w:kern w:val="2"/>
                      <w:sz w:val="21"/>
                      <w:szCs w:val="21"/>
                      <w:highlight w:val="none"/>
                      <w:lang w:val="en-US" w:eastAsia="zh-CN" w:bidi="ar-SA"/>
                    </w:rPr>
                    <w:t>（包含甲醇）</w:t>
                  </w:r>
                  <w:r>
                    <w:rPr>
                      <w:rFonts w:hint="default" w:ascii="Times New Roman" w:hAnsi="Times New Roman" w:eastAsia="宋体" w:cs="Times New Roman"/>
                      <w:color w:val="auto"/>
                      <w:kern w:val="2"/>
                      <w:sz w:val="21"/>
                      <w:szCs w:val="21"/>
                      <w:highlight w:val="none"/>
                      <w:lang w:val="en-US" w:eastAsia="zh-CN" w:bidi="ar-SA"/>
                    </w:rPr>
                    <w:t>的排放总量在新吴区内平衡，</w:t>
                  </w:r>
                  <w:r>
                    <w:rPr>
                      <w:rFonts w:hint="eastAsia" w:cs="Times New Roman"/>
                      <w:color w:val="auto"/>
                      <w:sz w:val="21"/>
                      <w:szCs w:val="21"/>
                      <w:highlight w:val="none"/>
                      <w:lang w:val="en-US" w:eastAsia="zh-CN"/>
                    </w:rPr>
                    <w:t>本项目产生的</w:t>
                  </w:r>
                  <w:r>
                    <w:rPr>
                      <w:rFonts w:hint="default" w:ascii="Times New Roman" w:hAnsi="Times New Roman" w:eastAsia="宋体" w:cs="Times New Roman"/>
                      <w:color w:val="auto"/>
                      <w:sz w:val="21"/>
                      <w:szCs w:val="21"/>
                      <w:highlight w:val="none"/>
                      <w:lang w:val="en-US" w:eastAsia="zh-CN"/>
                    </w:rPr>
                    <w:t>纯水制备浓水、水浴锅排水和经化粪池处理后的生活污水</w:t>
                  </w:r>
                  <w:r>
                    <w:rPr>
                      <w:rFonts w:hint="eastAsia" w:cs="Times New Roman"/>
                      <w:color w:val="auto"/>
                      <w:sz w:val="21"/>
                      <w:szCs w:val="21"/>
                      <w:highlight w:val="none"/>
                      <w:lang w:val="en-US" w:eastAsia="zh-CN"/>
                    </w:rPr>
                    <w:t>、淋浴废水</w:t>
                  </w:r>
                  <w:r>
                    <w:rPr>
                      <w:rFonts w:hint="default" w:ascii="Times New Roman" w:hAnsi="Times New Roman" w:eastAsia="宋体" w:cs="Times New Roman"/>
                      <w:color w:val="auto"/>
                      <w:sz w:val="21"/>
                      <w:szCs w:val="21"/>
                      <w:highlight w:val="none"/>
                      <w:lang w:val="en-US" w:eastAsia="zh-CN"/>
                    </w:rPr>
                    <w:t>一并接管至太湖新城污水处理厂进行处理，尾水排入京杭运。</w:t>
                  </w:r>
                  <w:r>
                    <w:rPr>
                      <w:rFonts w:hint="default" w:ascii="Times New Roman" w:hAnsi="Times New Roman" w:eastAsia="宋体" w:cs="Times New Roman"/>
                      <w:color w:val="auto"/>
                      <w:kern w:val="2"/>
                      <w:sz w:val="21"/>
                      <w:szCs w:val="21"/>
                      <w:highlight w:val="none"/>
                      <w:lang w:val="en-US" w:eastAsia="zh-CN" w:bidi="ar-SA"/>
                    </w:rPr>
                    <w:t>本项目将加强各类污染物防治措施，避免对土壤和地下水造成影响。</w:t>
                  </w:r>
                </w:p>
              </w:tc>
              <w:tc>
                <w:tcPr>
                  <w:tcW w:w="536" w:type="pct"/>
                  <w:noWrap w:val="0"/>
                  <w:vAlign w:val="center"/>
                </w:tcPr>
                <w:p w14:paraId="0C541C55">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相符</w:t>
                  </w:r>
                </w:p>
              </w:tc>
            </w:tr>
            <w:tr w14:paraId="4D1E1E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3" w:type="pct"/>
                  <w:vMerge w:val="continue"/>
                  <w:noWrap w:val="0"/>
                  <w:vAlign w:val="center"/>
                </w:tcPr>
                <w:p w14:paraId="538A4A79">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rPr>
                  </w:pPr>
                </w:p>
              </w:tc>
              <w:tc>
                <w:tcPr>
                  <w:tcW w:w="403" w:type="pct"/>
                  <w:noWrap w:val="0"/>
                  <w:vAlign w:val="center"/>
                </w:tcPr>
                <w:p w14:paraId="3695483A">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环境风险防控</w:t>
                  </w:r>
                </w:p>
              </w:tc>
              <w:tc>
                <w:tcPr>
                  <w:tcW w:w="1822" w:type="pct"/>
                  <w:noWrap w:val="0"/>
                  <w:vAlign w:val="center"/>
                </w:tcPr>
                <w:p w14:paraId="197954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olor w:val="auto"/>
                      <w:szCs w:val="21"/>
                      <w:highlight w:val="none"/>
                    </w:rPr>
                  </w:pPr>
                  <w:r>
                    <w:rPr>
                      <w:rFonts w:hint="default" w:ascii="Times New Roman" w:hAnsi="Times New Roman" w:eastAsia="宋体" w:cs="Times New Roman"/>
                      <w:color w:val="auto"/>
                      <w:sz w:val="21"/>
                      <w:szCs w:val="21"/>
                      <w:highlight w:val="none"/>
                      <w:lang w:val="en-US" w:eastAsia="zh-CN"/>
                    </w:rPr>
                    <w:t>合理布局工业、商业、居住、科教等功能区块，严格控制噪声、恶臭、油烟等污染排放较大的建设项目布局</w:t>
                  </w:r>
                  <w:r>
                    <w:rPr>
                      <w:rFonts w:hint="default" w:ascii="Times New Roman" w:hAnsi="Times New Roman" w:eastAsia="宋体" w:cs="Times New Roman"/>
                      <w:color w:val="auto"/>
                      <w:sz w:val="21"/>
                      <w:szCs w:val="21"/>
                      <w:highlight w:val="none"/>
                    </w:rPr>
                    <w:t>。</w:t>
                  </w:r>
                </w:p>
              </w:tc>
              <w:tc>
                <w:tcPr>
                  <w:tcW w:w="1794" w:type="pct"/>
                  <w:noWrap w:val="0"/>
                  <w:vAlign w:val="center"/>
                </w:tcPr>
                <w:p w14:paraId="428292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本项目</w:t>
                  </w:r>
                  <w:r>
                    <w:rPr>
                      <w:rFonts w:hint="eastAsia" w:ascii="Times New Roman" w:hAnsi="Times New Roman" w:eastAsia="宋体"/>
                      <w:color w:val="auto"/>
                      <w:szCs w:val="21"/>
                      <w:highlight w:val="none"/>
                      <w:lang w:val="en-US" w:eastAsia="zh-CN"/>
                    </w:rPr>
                    <w:t>为新建项目，不涉及恶臭、油烟排放；本项目设备噪声较小，通过厂房隔声、距离衰减等措施影响较小</w:t>
                  </w:r>
                  <w:r>
                    <w:rPr>
                      <w:rFonts w:hint="default" w:ascii="Times New Roman" w:hAnsi="Times New Roman" w:eastAsia="宋体"/>
                      <w:color w:val="auto"/>
                      <w:szCs w:val="21"/>
                      <w:highlight w:val="none"/>
                    </w:rPr>
                    <w:t>。</w:t>
                  </w:r>
                </w:p>
              </w:tc>
              <w:tc>
                <w:tcPr>
                  <w:tcW w:w="536" w:type="pct"/>
                  <w:noWrap w:val="0"/>
                  <w:vAlign w:val="center"/>
                </w:tcPr>
                <w:p w14:paraId="03D75A72">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rPr>
                  </w:pPr>
                  <w:r>
                    <w:rPr>
                      <w:rFonts w:hint="eastAsia" w:ascii="Times New Roman" w:hAnsi="Times New Roman" w:eastAsia="宋体"/>
                      <w:color w:val="auto"/>
                      <w:szCs w:val="21"/>
                      <w:highlight w:val="none"/>
                    </w:rPr>
                    <w:t>相符</w:t>
                  </w:r>
                </w:p>
              </w:tc>
            </w:tr>
            <w:tr w14:paraId="20FAEF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3" w:type="pct"/>
                  <w:vMerge w:val="continue"/>
                  <w:noWrap w:val="0"/>
                  <w:vAlign w:val="center"/>
                </w:tcPr>
                <w:p w14:paraId="389E4D0C">
                  <w:pPr>
                    <w:keepNext w:val="0"/>
                    <w:keepLines w:val="0"/>
                    <w:suppressLineNumbers w:val="0"/>
                    <w:spacing w:before="0" w:beforeAutospacing="0" w:after="0" w:afterAutospacing="0"/>
                    <w:ind w:left="0" w:right="0"/>
                    <w:jc w:val="left"/>
                    <w:rPr>
                      <w:rFonts w:hint="default" w:ascii="Times New Roman" w:hAnsi="Times New Roman" w:eastAsia="宋体"/>
                      <w:color w:val="auto"/>
                      <w:szCs w:val="21"/>
                      <w:highlight w:val="none"/>
                    </w:rPr>
                  </w:pPr>
                </w:p>
              </w:tc>
              <w:tc>
                <w:tcPr>
                  <w:tcW w:w="403" w:type="pct"/>
                  <w:noWrap w:val="0"/>
                  <w:vAlign w:val="center"/>
                </w:tcPr>
                <w:p w14:paraId="456B4B80">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资源开发效率要求</w:t>
                  </w:r>
                </w:p>
              </w:tc>
              <w:tc>
                <w:tcPr>
                  <w:tcW w:w="1822" w:type="pct"/>
                  <w:noWrap w:val="0"/>
                  <w:vAlign w:val="center"/>
                </w:tcPr>
                <w:p w14:paraId="71EC54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olor w:val="auto"/>
                      <w:szCs w:val="21"/>
                      <w:highlight w:val="none"/>
                    </w:rPr>
                  </w:pPr>
                  <w:r>
                    <w:rPr>
                      <w:rFonts w:hint="default" w:ascii="Times New Roman" w:hAnsi="Times New Roman" w:eastAsia="宋体" w:cs="Times New Roman"/>
                      <w:color w:val="auto"/>
                      <w:sz w:val="21"/>
                      <w:szCs w:val="21"/>
                      <w:highlight w:val="none"/>
                      <w:lang w:val="en-US" w:eastAsia="zh-CN"/>
                    </w:rPr>
                    <w:t>全面开展节水型社会建设，推进节水产品推广普及，限制高耗水服务业用水</w:t>
                  </w:r>
                  <w:r>
                    <w:rPr>
                      <w:rFonts w:hint="default" w:ascii="Times New Roman" w:hAnsi="Times New Roman" w:eastAsia="宋体" w:cs="Times New Roman"/>
                      <w:color w:val="auto"/>
                      <w:sz w:val="21"/>
                      <w:szCs w:val="21"/>
                      <w:highlight w:val="none"/>
                    </w:rPr>
                    <w:t>。</w:t>
                  </w:r>
                </w:p>
              </w:tc>
              <w:tc>
                <w:tcPr>
                  <w:tcW w:w="1794" w:type="pct"/>
                  <w:noWrap w:val="0"/>
                  <w:vAlign w:val="center"/>
                </w:tcPr>
                <w:p w14:paraId="34F5A3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zCs w:val="21"/>
                      <w:highlight w:val="none"/>
                      <w:lang w:val="en-US" w:eastAsia="zh-CN"/>
                    </w:rPr>
                  </w:pPr>
                  <w:r>
                    <w:rPr>
                      <w:rFonts w:hint="eastAsia" w:cs="Times New Roman"/>
                      <w:color w:val="auto"/>
                      <w:sz w:val="21"/>
                      <w:szCs w:val="21"/>
                      <w:highlight w:val="none"/>
                      <w:lang w:val="en-US" w:eastAsia="zh-CN"/>
                    </w:rPr>
                    <w:t>本项目产生的</w:t>
                  </w:r>
                  <w:r>
                    <w:rPr>
                      <w:rFonts w:hint="default" w:ascii="Times New Roman" w:hAnsi="Times New Roman" w:eastAsia="宋体" w:cs="Times New Roman"/>
                      <w:color w:val="auto"/>
                      <w:sz w:val="21"/>
                      <w:szCs w:val="21"/>
                      <w:highlight w:val="none"/>
                      <w:lang w:val="en-US" w:eastAsia="zh-CN"/>
                    </w:rPr>
                    <w:t>纯水制备浓水、水浴锅排水和经化粪池处理后的生活污水</w:t>
                  </w:r>
                  <w:r>
                    <w:rPr>
                      <w:rFonts w:hint="eastAsia" w:cs="Times New Roman"/>
                      <w:color w:val="auto"/>
                      <w:sz w:val="21"/>
                      <w:szCs w:val="21"/>
                      <w:highlight w:val="none"/>
                      <w:lang w:val="en-US" w:eastAsia="zh-CN"/>
                    </w:rPr>
                    <w:t>、淋浴废水</w:t>
                  </w:r>
                  <w:r>
                    <w:rPr>
                      <w:rFonts w:hint="default" w:ascii="Times New Roman" w:hAnsi="Times New Roman" w:eastAsia="宋体" w:cs="Times New Roman"/>
                      <w:color w:val="auto"/>
                      <w:sz w:val="21"/>
                      <w:szCs w:val="21"/>
                      <w:highlight w:val="none"/>
                      <w:lang w:val="en-US" w:eastAsia="zh-CN"/>
                    </w:rPr>
                    <w:t>一并接管至太湖新城污水处理厂进行处理，尾水排入京杭运。</w:t>
                  </w:r>
                </w:p>
              </w:tc>
              <w:tc>
                <w:tcPr>
                  <w:tcW w:w="536" w:type="pct"/>
                  <w:noWrap w:val="0"/>
                  <w:vAlign w:val="center"/>
                </w:tcPr>
                <w:p w14:paraId="7EC52FBF">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rPr>
                  </w:pPr>
                  <w:r>
                    <w:rPr>
                      <w:rFonts w:hint="eastAsia" w:ascii="Times New Roman" w:hAnsi="Times New Roman" w:eastAsia="宋体"/>
                      <w:color w:val="auto"/>
                      <w:szCs w:val="21"/>
                      <w:highlight w:val="none"/>
                    </w:rPr>
                    <w:t>相符</w:t>
                  </w:r>
                </w:p>
              </w:tc>
            </w:tr>
          </w:tbl>
          <w:p w14:paraId="02E366C5">
            <w:pPr>
              <w:keepNext w:val="0"/>
              <w:keepLines w:val="0"/>
              <w:pageBreakBefore w:val="0"/>
              <w:widowControl w:val="0"/>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由上表可见，本项目符合</w:t>
            </w:r>
            <w:r>
              <w:rPr>
                <w:rFonts w:hint="eastAsia" w:ascii="Times New Roman" w:hAnsi="Times New Roman" w:eastAsia="宋体" w:cs="Times New Roman"/>
                <w:color w:val="auto"/>
                <w:sz w:val="24"/>
                <w:lang w:val="en-US" w:eastAsia="zh-CN"/>
              </w:rPr>
              <w:t>无锡市中心城区（新吴区）环境管控单元</w:t>
            </w:r>
            <w:r>
              <w:rPr>
                <w:rFonts w:hint="default" w:ascii="Times New Roman" w:hAnsi="Times New Roman" w:eastAsia="宋体" w:cs="Times New Roman"/>
                <w:color w:val="auto"/>
                <w:sz w:val="24"/>
                <w:lang w:val="en-US" w:eastAsia="zh-CN"/>
              </w:rPr>
              <w:t>的生态环境准入清单要求</w:t>
            </w:r>
            <w:r>
              <w:rPr>
                <w:rFonts w:hint="eastAsia" w:ascii="Times New Roman" w:hAnsi="Times New Roman" w:eastAsia="宋体" w:cs="Times New Roman"/>
                <w:color w:val="auto"/>
                <w:sz w:val="24"/>
                <w:lang w:val="en-US" w:eastAsia="zh-CN"/>
              </w:rPr>
              <w:t>。</w:t>
            </w:r>
          </w:p>
          <w:p w14:paraId="21108424">
            <w:pPr>
              <w:keepNext w:val="0"/>
              <w:keepLines w:val="0"/>
              <w:widowControl/>
              <w:suppressLineNumbers w:val="0"/>
              <w:snapToGrid w:val="0"/>
              <w:spacing w:before="0" w:beforeAutospacing="0" w:after="0" w:afterAutospacing="0" w:line="360" w:lineRule="auto"/>
              <w:ind w:left="0" w:right="0" w:firstLine="482"/>
              <w:rPr>
                <w:rFonts w:hint="default" w:ascii="Times New Roman" w:hAnsi="Times New Roman" w:eastAsia="宋体"/>
                <w:b/>
                <w:bCs/>
                <w:color w:val="auto"/>
                <w:kern w:val="0"/>
                <w:sz w:val="24"/>
              </w:rPr>
            </w:pPr>
            <w:r>
              <w:rPr>
                <w:rFonts w:hint="default" w:ascii="Times New Roman" w:hAnsi="Times New Roman" w:eastAsia="宋体"/>
                <w:b/>
                <w:bCs/>
                <w:color w:val="auto"/>
                <w:kern w:val="0"/>
                <w:sz w:val="24"/>
              </w:rPr>
              <w:t>（3）与环境质量底线的相符性</w:t>
            </w:r>
          </w:p>
          <w:p w14:paraId="435EA70A">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highlight w:val="none"/>
              </w:rPr>
            </w:pPr>
            <w:r>
              <w:rPr>
                <w:rFonts w:hint="eastAsia" w:ascii="Times New Roman" w:hAnsi="Times New Roman" w:eastAsia="宋体" w:cs="Times New Roman"/>
                <w:b w:val="0"/>
                <w:bCs/>
                <w:color w:val="auto"/>
                <w:sz w:val="24"/>
                <w:highlight w:val="none"/>
              </w:rPr>
              <w:t>根据《无锡市生态环境状况公报（2023年度）》，按照《环境空气质量标准》（GB 3095-2012）二级标准进行年度评价，所辖“二市六区”环境空气质量六项指标中，细颗粒物、可吸入颗粒物、二氧化氮、二氧化硫和一氧化碳浓度均达标，臭氧浓度均未达标。因此判定为非达标区。</w:t>
            </w:r>
          </w:p>
          <w:p w14:paraId="549886A0">
            <w:pPr>
              <w:keepNext w:val="0"/>
              <w:keepLines w:val="0"/>
              <w:widowControl/>
              <w:suppressLineNumbers w:val="0"/>
              <w:snapToGrid w:val="0"/>
              <w:spacing w:before="0" w:beforeAutospacing="0" w:after="0" w:afterAutospacing="0" w:line="360" w:lineRule="auto"/>
              <w:ind w:left="0" w:right="0" w:firstLine="482"/>
              <w:rPr>
                <w:rFonts w:hint="default" w:ascii="Times New Roman" w:hAnsi="Times New Roman" w:eastAsia="宋体" w:cs="Times New Roman"/>
                <w:color w:val="auto"/>
                <w:sz w:val="24"/>
                <w:highlight w:val="none"/>
              </w:rPr>
            </w:pPr>
            <w:r>
              <w:rPr>
                <w:rFonts w:hint="eastAsia" w:ascii="Times New Roman" w:hAnsi="Times New Roman" w:eastAsia="宋体" w:cs="Times New Roman"/>
                <w:b w:val="0"/>
                <w:bCs/>
                <w:color w:val="auto"/>
                <w:sz w:val="24"/>
                <w:highlight w:val="none"/>
              </w:rPr>
              <w:t>根据《无锡市大气环境质量限期达标规划（2018</w:t>
            </w:r>
            <w:r>
              <w:rPr>
                <w:rFonts w:hint="eastAsia" w:ascii="Times New Roman" w:hAnsi="Times New Roman" w:eastAsia="宋体" w:cs="Times New Roman"/>
                <w:b w:val="0"/>
                <w:bCs/>
                <w:color w:val="auto"/>
                <w:sz w:val="24"/>
                <w:highlight w:val="none"/>
                <w:lang w:val="en-US" w:eastAsia="zh-CN"/>
              </w:rPr>
              <w:t>-</w:t>
            </w:r>
            <w:r>
              <w:rPr>
                <w:rFonts w:hint="eastAsia" w:ascii="Times New Roman" w:hAnsi="Times New Roman" w:eastAsia="宋体" w:cs="Times New Roman"/>
                <w:b w:val="0"/>
                <w:bCs/>
                <w:color w:val="auto"/>
                <w:sz w:val="24"/>
                <w:highlight w:val="none"/>
              </w:rPr>
              <w:t>2025年）》，通过推进能源结构调整，推进热点整合，优化产业结构和布局；提高各行业清洁化生产水平，全面执行大气污染物特别排放限值，完成重点企业颗粒物无组织排放深度治理，从化工、电子（半导体）、涂装等工业行业挖掘VOCs减排潜力，完成重点行业低VOCs含量原辅料替代目标；以港口码头和堆场为重点提高扬尘污染控制水平；促进PM</w:t>
            </w:r>
            <w:r>
              <w:rPr>
                <w:rFonts w:hint="eastAsia" w:ascii="Times New Roman" w:hAnsi="Times New Roman" w:eastAsia="宋体" w:cs="Times New Roman"/>
                <w:b w:val="0"/>
                <w:bCs/>
                <w:color w:val="auto"/>
                <w:sz w:val="24"/>
                <w:highlight w:val="none"/>
                <w:vertAlign w:val="subscript"/>
              </w:rPr>
              <w:t>2.5</w:t>
            </w:r>
            <w:r>
              <w:rPr>
                <w:rFonts w:hint="eastAsia" w:ascii="Times New Roman" w:hAnsi="Times New Roman" w:eastAsia="宋体" w:cs="Times New Roman"/>
                <w:b w:val="0"/>
                <w:bCs/>
                <w:color w:val="auto"/>
                <w:sz w:val="24"/>
                <w:highlight w:val="none"/>
              </w:rPr>
              <w:t>和臭氧协同控制，推进区域联防联控等措施，环境空气质量在2025年实现全面达标。</w:t>
            </w:r>
          </w:p>
          <w:p w14:paraId="07114EED">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w:t>
            </w:r>
            <w:r>
              <w:rPr>
                <w:rFonts w:hint="eastAsia" w:ascii="Times New Roman" w:hAnsi="Times New Roman" w:eastAsia="宋体" w:cs="Times New Roman"/>
                <w:color w:val="auto"/>
                <w:sz w:val="24"/>
                <w:highlight w:val="none"/>
                <w:lang w:eastAsia="zh-CN"/>
              </w:rPr>
              <w:t>所在地</w:t>
            </w:r>
            <w:r>
              <w:rPr>
                <w:rFonts w:hint="default" w:ascii="Times New Roman" w:hAnsi="Times New Roman" w:eastAsia="宋体" w:cs="Times New Roman"/>
                <w:color w:val="auto"/>
                <w:sz w:val="24"/>
                <w:highlight w:val="none"/>
              </w:rPr>
              <w:t>非甲烷总烃满足《大气污染物综合排放标准详解》中推荐值标准</w:t>
            </w:r>
            <w:r>
              <w:rPr>
                <w:rFonts w:hint="eastAsia" w:ascii="Times New Roman" w:hAnsi="Times New Roman" w:eastAsia="宋体" w:cs="Times New Roman"/>
                <w:b w:val="0"/>
                <w:bCs/>
                <w:color w:val="auto"/>
                <w:sz w:val="24"/>
                <w:highlight w:val="none"/>
              </w:rPr>
              <w:t>，该区域环境空气质量较好</w:t>
            </w:r>
            <w:r>
              <w:rPr>
                <w:rFonts w:hint="default" w:ascii="Times New Roman" w:hAnsi="Times New Roman" w:eastAsia="宋体" w:cs="Times New Roman"/>
                <w:color w:val="auto"/>
                <w:sz w:val="24"/>
                <w:highlight w:val="none"/>
              </w:rPr>
              <w:t>。</w:t>
            </w:r>
          </w:p>
          <w:p w14:paraId="60F0AC78">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b w:val="0"/>
                <w:bCs/>
                <w:color w:val="auto"/>
                <w:sz w:val="24"/>
                <w:highlight w:val="none"/>
              </w:rPr>
              <w:t>建设项目</w:t>
            </w:r>
            <w:r>
              <w:rPr>
                <w:rFonts w:hint="default" w:ascii="Times New Roman" w:hAnsi="Times New Roman" w:eastAsia="宋体" w:cs="Times New Roman"/>
                <w:color w:val="auto"/>
                <w:sz w:val="24"/>
                <w:szCs w:val="32"/>
                <w:highlight w:val="none"/>
              </w:rPr>
              <w:t>纳污</w:t>
            </w:r>
            <w:r>
              <w:rPr>
                <w:rFonts w:hint="default" w:ascii="Times New Roman" w:hAnsi="Times New Roman" w:eastAsia="宋体" w:cs="Times New Roman"/>
                <w:color w:val="auto"/>
                <w:sz w:val="24"/>
                <w:highlight w:val="none"/>
              </w:rPr>
              <w:t>水体京杭运河在太湖新城水处理厂排放口上游500m、下游1000m处断面水质达到《地表水环境质量标准》（GB3838-2002）Ⅳ类标准</w:t>
            </w:r>
            <w:r>
              <w:rPr>
                <w:rFonts w:hint="default" w:ascii="Times New Roman" w:hAnsi="Times New Roman" w:eastAsia="宋体" w:cs="Times New Roman"/>
                <w:color w:val="auto"/>
                <w:sz w:val="24"/>
                <w:highlight w:val="none"/>
                <w:lang w:eastAsia="zh-CN"/>
              </w:rPr>
              <w:t>，表明监测时间段内该区域地表水质量较好</w:t>
            </w:r>
            <w:r>
              <w:rPr>
                <w:rFonts w:hint="default" w:ascii="Times New Roman" w:hAnsi="Times New Roman" w:eastAsia="宋体" w:cs="Times New Roman"/>
                <w:color w:val="auto"/>
                <w:sz w:val="24"/>
                <w:highlight w:val="none"/>
              </w:rPr>
              <w:t>。</w:t>
            </w:r>
          </w:p>
          <w:p w14:paraId="3C7ECBBC">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snapToGrid w:val="0"/>
                <w:color w:val="auto"/>
                <w:sz w:val="24"/>
                <w:highlight w:val="none"/>
                <w:shd w:val="clear" w:color="auto" w:fill="auto"/>
                <w:lang w:val="zh-CN"/>
              </w:rPr>
            </w:pPr>
            <w:r>
              <w:rPr>
                <w:rFonts w:hint="eastAsia" w:ascii="Times New Roman" w:hAnsi="Times New Roman" w:eastAsia="宋体"/>
                <w:snapToGrid w:val="0"/>
                <w:color w:val="auto"/>
                <w:sz w:val="24"/>
                <w:highlight w:val="none"/>
                <w:shd w:val="clear" w:color="auto" w:fill="auto"/>
                <w:lang w:val="zh-CN"/>
              </w:rPr>
              <w:t>根据《无锡市生态环境状况公报（2023年度）》，2023年全市声环境质量总体较好，昼间和夜间声环境质量基本保持稳定。</w:t>
            </w:r>
          </w:p>
          <w:p w14:paraId="5676744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 w:val="0"/>
                <w:bCs/>
                <w:color w:val="auto"/>
                <w:sz w:val="24"/>
                <w:highlight w:val="none"/>
              </w:rPr>
              <w:t>本项目产生的废气</w:t>
            </w:r>
            <w:r>
              <w:rPr>
                <w:rFonts w:hint="eastAsia" w:ascii="Times New Roman" w:hAnsi="Times New Roman" w:eastAsia="宋体" w:cs="Times New Roman"/>
                <w:b w:val="0"/>
                <w:bCs/>
                <w:color w:val="auto"/>
                <w:sz w:val="24"/>
                <w:highlight w:val="none"/>
                <w:lang w:val="en-US" w:eastAsia="zh-CN"/>
              </w:rPr>
              <w:t>经有效收集和处理后</w:t>
            </w:r>
            <w:r>
              <w:rPr>
                <w:rFonts w:hint="eastAsia" w:ascii="Times New Roman" w:hAnsi="Times New Roman" w:eastAsia="宋体"/>
                <w:color w:val="auto"/>
                <w:sz w:val="24"/>
                <w:highlight w:val="none"/>
              </w:rPr>
              <w:t>对周围大气环境影响较小，本项目</w:t>
            </w:r>
            <w:r>
              <w:rPr>
                <w:rFonts w:hint="eastAsia" w:ascii="Times New Roman" w:hAnsi="Times New Roman" w:eastAsia="宋体"/>
                <w:color w:val="auto"/>
                <w:sz w:val="24"/>
                <w:highlight w:val="none"/>
                <w:lang w:val="en-US" w:eastAsia="zh-CN"/>
              </w:rPr>
              <w:t>非甲烷总烃</w:t>
            </w:r>
            <w:r>
              <w:rPr>
                <w:rFonts w:hint="eastAsia"/>
                <w:color w:val="auto"/>
                <w:sz w:val="24"/>
                <w:highlight w:val="none"/>
                <w:lang w:val="en-US" w:eastAsia="zh-CN"/>
              </w:rPr>
              <w:t>（包含甲醇）</w:t>
            </w:r>
            <w:r>
              <w:rPr>
                <w:rFonts w:hint="eastAsia" w:ascii="Times New Roman" w:hAnsi="Times New Roman" w:eastAsia="宋体"/>
                <w:color w:val="auto"/>
                <w:sz w:val="24"/>
                <w:highlight w:val="none"/>
              </w:rPr>
              <w:t>的排放总量在新吴区内平衡</w:t>
            </w:r>
            <w:r>
              <w:rPr>
                <w:rFonts w:hint="default" w:ascii="Times New Roman" w:hAnsi="Times New Roman" w:eastAsia="宋体" w:cs="Times New Roman"/>
                <w:b w:val="0"/>
                <w:bCs/>
                <w:color w:val="auto"/>
                <w:sz w:val="24"/>
                <w:highlight w:val="none"/>
              </w:rPr>
              <w:t>；</w:t>
            </w:r>
            <w:r>
              <w:rPr>
                <w:rFonts w:hint="default" w:ascii="Times New Roman" w:hAnsi="Times New Roman" w:eastAsia="宋体" w:cs="Times New Roman"/>
                <w:b w:val="0"/>
                <w:bCs/>
                <w:color w:val="auto"/>
                <w:sz w:val="24"/>
                <w:highlight w:val="none"/>
                <w:lang w:val="en-US" w:eastAsia="zh-CN"/>
              </w:rPr>
              <w:t>产生的纯水制备浓水、水浴锅排水和经化粪池处理后的生活污水</w:t>
            </w:r>
            <w:r>
              <w:rPr>
                <w:rFonts w:hint="eastAsia" w:cs="Times New Roman"/>
                <w:b w:val="0"/>
                <w:bCs/>
                <w:color w:val="auto"/>
                <w:sz w:val="24"/>
                <w:highlight w:val="none"/>
                <w:lang w:val="en-US" w:eastAsia="zh-CN"/>
              </w:rPr>
              <w:t>、淋浴废水</w:t>
            </w:r>
            <w:r>
              <w:rPr>
                <w:rFonts w:hint="default" w:ascii="Times New Roman" w:hAnsi="Times New Roman" w:eastAsia="宋体" w:cs="Times New Roman"/>
                <w:b w:val="0"/>
                <w:bCs/>
                <w:color w:val="auto"/>
                <w:sz w:val="24"/>
                <w:highlight w:val="none"/>
                <w:lang w:val="en-US" w:eastAsia="zh-CN"/>
              </w:rPr>
              <w:t>一并接管至太湖新城污水处理厂进行处理，尾水排入京杭运</w:t>
            </w:r>
            <w:r>
              <w:rPr>
                <w:rFonts w:hint="default" w:ascii="Times New Roman" w:hAnsi="Times New Roman" w:eastAsia="宋体" w:cs="Times New Roman"/>
                <w:b w:val="0"/>
                <w:bCs/>
                <w:color w:val="auto"/>
                <w:sz w:val="24"/>
                <w:highlight w:val="none"/>
              </w:rPr>
              <w:t>；各类噪声设备经</w:t>
            </w:r>
            <w:r>
              <w:rPr>
                <w:rFonts w:hint="default" w:ascii="Times New Roman" w:hAnsi="Times New Roman" w:eastAsia="宋体" w:cs="Times New Roman"/>
                <w:color w:val="auto"/>
                <w:kern w:val="0"/>
                <w:sz w:val="24"/>
                <w:szCs w:val="24"/>
                <w:highlight w:val="none"/>
                <w:lang w:eastAsia="zh-CN"/>
              </w:rPr>
              <w:t>厂房</w:t>
            </w:r>
            <w:r>
              <w:rPr>
                <w:rFonts w:hint="default" w:ascii="Times New Roman" w:hAnsi="Times New Roman" w:eastAsia="宋体" w:cs="Times New Roman"/>
                <w:color w:val="auto"/>
                <w:kern w:val="0"/>
                <w:sz w:val="24"/>
                <w:szCs w:val="24"/>
                <w:highlight w:val="none"/>
              </w:rPr>
              <w:t>隔声</w:t>
            </w:r>
            <w:r>
              <w:rPr>
                <w:rFonts w:hint="default" w:ascii="Times New Roman" w:hAnsi="Times New Roman" w:eastAsia="宋体" w:cs="Times New Roman"/>
                <w:color w:val="auto"/>
                <w:kern w:val="0"/>
                <w:sz w:val="24"/>
                <w:szCs w:val="24"/>
                <w:highlight w:val="none"/>
                <w:lang w:eastAsia="zh-CN"/>
              </w:rPr>
              <w:t>、距离衰</w:t>
            </w:r>
            <w:r>
              <w:rPr>
                <w:rFonts w:hint="eastAsia" w:ascii="Times New Roman" w:hAnsi="Times New Roman" w:eastAsia="宋体" w:cs="Times New Roman"/>
                <w:color w:val="auto"/>
                <w:kern w:val="0"/>
                <w:sz w:val="24"/>
                <w:szCs w:val="24"/>
                <w:highlight w:val="none"/>
                <w:lang w:eastAsia="zh-CN"/>
              </w:rPr>
              <w:t>减</w:t>
            </w:r>
            <w:r>
              <w:rPr>
                <w:rFonts w:hint="default" w:ascii="Times New Roman" w:hAnsi="Times New Roman" w:eastAsia="宋体" w:cs="Times New Roman"/>
                <w:b w:val="0"/>
                <w:bCs/>
                <w:color w:val="auto"/>
                <w:sz w:val="24"/>
                <w:highlight w:val="none"/>
              </w:rPr>
              <w:t>等措施后，经预测厂界噪声达标；项目产生的固废分类收集、妥善处置。</w:t>
            </w:r>
          </w:p>
          <w:p w14:paraId="01F11B7B">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因此，本项目符合环境质量底线的要求。</w:t>
            </w:r>
          </w:p>
          <w:p w14:paraId="01673E8E">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b/>
                <w:bCs/>
                <w:color w:val="auto"/>
                <w:kern w:val="0"/>
                <w:sz w:val="24"/>
              </w:rPr>
            </w:pPr>
            <w:r>
              <w:rPr>
                <w:rFonts w:hint="default" w:ascii="Times New Roman" w:hAnsi="Times New Roman" w:eastAsia="宋体"/>
                <w:b/>
                <w:bCs/>
                <w:color w:val="auto"/>
                <w:kern w:val="0"/>
                <w:sz w:val="24"/>
              </w:rPr>
              <w:t>（4）与资源利用上线的相符性</w:t>
            </w:r>
          </w:p>
          <w:p w14:paraId="30ECC088">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本项目位于江苏省无锡市新吴区净慧东道</w:t>
            </w:r>
            <w:r>
              <w:rPr>
                <w:rFonts w:hint="default" w:ascii="Times New Roman" w:hAnsi="Times New Roman" w:eastAsia="宋体" w:cs="Times New Roman"/>
                <w:color w:val="auto"/>
                <w:spacing w:val="20"/>
                <w:sz w:val="24"/>
                <w:highlight w:val="none"/>
                <w:lang w:val="en-US" w:eastAsia="zh-CN"/>
              </w:rPr>
              <w:t>196号F楼2楼</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购置已建成厂房进行生产</w:t>
            </w:r>
            <w:r>
              <w:rPr>
                <w:rFonts w:hint="default" w:ascii="Times New Roman" w:hAnsi="Times New Roman" w:eastAsia="宋体" w:cs="Times New Roman"/>
                <w:bCs/>
                <w:color w:val="auto"/>
                <w:sz w:val="24"/>
                <w:szCs w:val="24"/>
                <w:highlight w:val="none"/>
                <w:lang w:val="en-US" w:eastAsia="zh-CN"/>
              </w:rPr>
              <w:t>，位于无锡(太湖)国际科技园规划范围内</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highlight w:val="none"/>
              </w:rPr>
              <w:t>所使用的能源主要为</w:t>
            </w:r>
            <w:r>
              <w:rPr>
                <w:rFonts w:hint="default" w:ascii="Times New Roman" w:hAnsi="Times New Roman" w:eastAsia="宋体" w:cs="Times New Roman"/>
                <w:snapToGrid w:val="0"/>
                <w:color w:val="auto"/>
                <w:kern w:val="0"/>
                <w:sz w:val="24"/>
                <w:highlight w:val="none"/>
              </w:rPr>
              <w:t>水、电</w:t>
            </w:r>
            <w:r>
              <w:rPr>
                <w:rFonts w:hint="default" w:ascii="Times New Roman" w:hAnsi="Times New Roman" w:eastAsia="宋体" w:cs="Times New Roman"/>
                <w:color w:val="auto"/>
                <w:sz w:val="24"/>
                <w:szCs w:val="24"/>
                <w:highlight w:val="none"/>
              </w:rPr>
              <w:t>。本项目用水水源来自市政管网，用电由市政供电系统供电，能满足本项目的用水和用电</w:t>
            </w:r>
            <w:r>
              <w:rPr>
                <w:rFonts w:hint="default" w:ascii="Times New Roman" w:hAnsi="Times New Roman" w:eastAsia="宋体" w:cs="Times New Roman"/>
                <w:color w:val="auto"/>
                <w:sz w:val="24"/>
                <w:szCs w:val="24"/>
                <w:highlight w:val="none"/>
                <w:lang w:eastAsia="zh-CN"/>
              </w:rPr>
              <w:t>需求，</w:t>
            </w:r>
            <w:r>
              <w:rPr>
                <w:rFonts w:hint="default" w:ascii="Times New Roman" w:hAnsi="Times New Roman" w:eastAsia="宋体" w:cs="Times New Roman"/>
                <w:color w:val="auto"/>
                <w:sz w:val="24"/>
                <w:highlight w:val="none"/>
              </w:rPr>
              <w:t>不会达到资源利用上线</w:t>
            </w:r>
            <w:r>
              <w:rPr>
                <w:rFonts w:hint="default" w:ascii="Times New Roman" w:hAnsi="Times New Roman" w:eastAsia="宋体" w:cs="Times New Roman"/>
                <w:color w:val="auto"/>
                <w:sz w:val="24"/>
                <w:highlight w:val="none"/>
                <w:lang w:val="en-US" w:eastAsia="zh-CN"/>
              </w:rPr>
              <w:t>。</w:t>
            </w:r>
          </w:p>
          <w:p w14:paraId="2E826ED0">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b/>
                <w:bCs/>
                <w:color w:val="auto"/>
                <w:kern w:val="0"/>
                <w:sz w:val="24"/>
              </w:rPr>
            </w:pPr>
            <w:r>
              <w:rPr>
                <w:rFonts w:hint="default" w:ascii="Times New Roman" w:hAnsi="Times New Roman" w:eastAsia="宋体"/>
                <w:b/>
                <w:bCs/>
                <w:color w:val="auto"/>
                <w:kern w:val="0"/>
                <w:sz w:val="24"/>
              </w:rPr>
              <w:t>（5）环境准入负面清单</w:t>
            </w:r>
          </w:p>
          <w:p w14:paraId="041BAD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①与无锡（太湖）国际科技园环境准入负面清单的相符性</w:t>
            </w:r>
          </w:p>
          <w:p w14:paraId="12052B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本项目位于江苏省无锡市新吴区净慧东道196号F楼2楼</w:t>
            </w:r>
            <w:r>
              <w:rPr>
                <w:rFonts w:hint="default" w:ascii="Times New Roman" w:hAnsi="Times New Roman" w:eastAsia="宋体" w:cs="Times New Roman"/>
                <w:color w:val="auto"/>
                <w:sz w:val="24"/>
                <w:highlight w:val="none"/>
              </w:rPr>
              <w:t>，参照《无锡（太湖）国际科技园规划环境影响跟踪评价报告书》（</w:t>
            </w:r>
            <w:r>
              <w:rPr>
                <w:rFonts w:hint="default" w:ascii="Times New Roman" w:hAnsi="Times New Roman" w:eastAsia="宋体" w:cs="Times New Roman"/>
                <w:color w:val="auto"/>
                <w:sz w:val="24"/>
                <w:szCs w:val="24"/>
                <w:highlight w:val="none"/>
              </w:rPr>
              <w:t>锡环管新[2017]3号</w:t>
            </w:r>
            <w:r>
              <w:rPr>
                <w:rFonts w:hint="default" w:ascii="Times New Roman" w:hAnsi="Times New Roman" w:eastAsia="宋体" w:cs="Times New Roman"/>
                <w:color w:val="auto"/>
                <w:sz w:val="24"/>
                <w:highlight w:val="none"/>
              </w:rPr>
              <w:t>）中提出</w:t>
            </w:r>
            <w:r>
              <w:rPr>
                <w:rFonts w:hint="eastAsia" w:ascii="Times New Roman" w:hAnsi="Times New Roman" w:eastAsia="宋体" w:cs="Times New Roman"/>
                <w:color w:val="auto"/>
                <w:sz w:val="24"/>
                <w:highlight w:val="none"/>
              </w:rPr>
              <w:t>的</w:t>
            </w:r>
            <w:r>
              <w:rPr>
                <w:rFonts w:hint="default" w:ascii="Times New Roman" w:hAnsi="Times New Roman" w:eastAsia="宋体" w:cs="Times New Roman"/>
                <w:color w:val="auto"/>
                <w:sz w:val="24"/>
                <w:highlight w:val="none"/>
              </w:rPr>
              <w:t>相关限制条件，本项目区域环境准入负面清单相符性分析具体情况见</w:t>
            </w:r>
            <w:r>
              <w:rPr>
                <w:rFonts w:hint="eastAsia" w:ascii="Times New Roman" w:hAnsi="Times New Roman" w:eastAsia="宋体" w:cs="Times New Roman"/>
                <w:color w:val="auto"/>
                <w:sz w:val="24"/>
                <w:highlight w:val="none"/>
              </w:rPr>
              <w:t>下表</w:t>
            </w:r>
            <w:r>
              <w:rPr>
                <w:rFonts w:hint="default" w:ascii="Times New Roman" w:hAnsi="Times New Roman" w:eastAsia="宋体" w:cs="Times New Roman"/>
                <w:color w:val="auto"/>
                <w:sz w:val="24"/>
                <w:highlight w:val="none"/>
              </w:rPr>
              <w:t>。</w:t>
            </w:r>
          </w:p>
          <w:p w14:paraId="0C875457">
            <w:pPr>
              <w:keepNext w:val="0"/>
              <w:keepLines w:val="0"/>
              <w:numPr>
                <w:ilvl w:val="0"/>
                <w:numId w:val="0"/>
              </w:numPr>
              <w:suppressLineNumbers w:val="0"/>
              <w:snapToGrid w:val="0"/>
              <w:spacing w:before="0" w:beforeAutospacing="0" w:after="0" w:afterAutospacing="0"/>
              <w:ind w:left="425" w:leftChars="0" w:right="0" w:rightChars="0" w:hanging="425" w:firstLineChars="0"/>
              <w:jc w:val="center"/>
              <w:rPr>
                <w:rFonts w:hint="eastAsia" w:ascii="Times New Roman" w:hAnsi="Times New Roman" w:eastAsia="宋体" w:cs="Times New Roman"/>
                <w:b/>
                <w:bCs/>
                <w:color w:val="auto"/>
                <w:sz w:val="24"/>
                <w:highlight w:val="none"/>
                <w:lang w:eastAsia="zh-CN"/>
              </w:rPr>
            </w:pPr>
            <w:r>
              <w:rPr>
                <w:rFonts w:hint="default" w:ascii="Times New Roman" w:hAnsi="Times New Roman" w:eastAsia="宋体" w:cs="宋体"/>
                <w:b/>
                <w:bCs/>
                <w:color w:val="auto"/>
                <w:kern w:val="2"/>
                <w:sz w:val="24"/>
                <w:szCs w:val="24"/>
                <w:highlight w:val="none"/>
                <w:lang w:val="en-US" w:eastAsia="zh-CN" w:bidi="ar-SA"/>
              </w:rPr>
              <w:t>表1-</w:t>
            </w:r>
            <w:r>
              <w:rPr>
                <w:rFonts w:hint="eastAsia" w:ascii="Times New Roman" w:hAnsi="Times New Roman" w:eastAsia="宋体" w:cs="宋体"/>
                <w:b/>
                <w:bCs/>
                <w:color w:val="auto"/>
                <w:kern w:val="2"/>
                <w:sz w:val="24"/>
                <w:szCs w:val="24"/>
                <w:highlight w:val="none"/>
                <w:lang w:val="en-US" w:eastAsia="zh-CN" w:bidi="ar-SA"/>
              </w:rPr>
              <w:t xml:space="preserve">6  </w:t>
            </w:r>
            <w:r>
              <w:rPr>
                <w:rFonts w:hint="default" w:ascii="Times New Roman" w:hAnsi="Times New Roman" w:eastAsia="宋体"/>
                <w:b/>
                <w:bCs/>
                <w:color w:val="auto"/>
                <w:sz w:val="24"/>
                <w:highlight w:val="none"/>
              </w:rPr>
              <w:t>无锡（太湖）国际科技园</w:t>
            </w:r>
            <w:r>
              <w:rPr>
                <w:rFonts w:hint="eastAsia" w:ascii="Times New Roman" w:hAnsi="Times New Roman" w:eastAsia="宋体" w:cs="Times New Roman"/>
                <w:b/>
                <w:bCs/>
                <w:color w:val="auto"/>
                <w:sz w:val="24"/>
                <w:highlight w:val="none"/>
                <w:lang w:eastAsia="zh-CN"/>
              </w:rPr>
              <w:t>环境准入负面清单</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3" w:type="dxa"/>
                <w:bottom w:w="0" w:type="dxa"/>
                <w:right w:w="23" w:type="dxa"/>
              </w:tblCellMar>
            </w:tblPr>
            <w:tblGrid>
              <w:gridCol w:w="581"/>
              <w:gridCol w:w="868"/>
              <w:gridCol w:w="2934"/>
              <w:gridCol w:w="4080"/>
              <w:gridCol w:w="807"/>
            </w:tblGrid>
            <w:tr w14:paraId="1BB949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14" w:type="pct"/>
                  <w:noWrap w:val="0"/>
                  <w:vAlign w:val="center"/>
                </w:tcPr>
                <w:p w14:paraId="50DFBC7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序号</w:t>
                  </w:r>
                </w:p>
              </w:tc>
              <w:tc>
                <w:tcPr>
                  <w:tcW w:w="2050" w:type="pct"/>
                  <w:gridSpan w:val="2"/>
                  <w:noWrap w:val="0"/>
                  <w:vAlign w:val="center"/>
                </w:tcPr>
                <w:p w14:paraId="15EC852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具体要求</w:t>
                  </w:r>
                </w:p>
              </w:tc>
              <w:tc>
                <w:tcPr>
                  <w:tcW w:w="2200" w:type="pct"/>
                  <w:noWrap w:val="0"/>
                  <w:vAlign w:val="center"/>
                </w:tcPr>
                <w:p w14:paraId="3FBBF69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本项目</w:t>
                  </w:r>
                </w:p>
              </w:tc>
              <w:tc>
                <w:tcPr>
                  <w:tcW w:w="435" w:type="pct"/>
                  <w:noWrap w:val="0"/>
                  <w:vAlign w:val="center"/>
                </w:tcPr>
                <w:p w14:paraId="59C4E02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相符性</w:t>
                  </w:r>
                </w:p>
              </w:tc>
            </w:tr>
            <w:tr w14:paraId="697A92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14" w:type="pct"/>
                  <w:noWrap w:val="0"/>
                  <w:vAlign w:val="center"/>
                </w:tcPr>
                <w:p w14:paraId="3008804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1</w:t>
                  </w:r>
                </w:p>
              </w:tc>
              <w:tc>
                <w:tcPr>
                  <w:tcW w:w="2050" w:type="pct"/>
                  <w:gridSpan w:val="2"/>
                  <w:noWrap w:val="0"/>
                  <w:vAlign w:val="center"/>
                </w:tcPr>
                <w:p w14:paraId="6AF40664">
                  <w:pPr>
                    <w:keepNext w:val="0"/>
                    <w:keepLines w:val="0"/>
                    <w:suppressLineNumbers w:val="0"/>
                    <w:spacing w:before="0" w:beforeAutospacing="0" w:after="0" w:afterAutospacing="0"/>
                    <w:ind w:left="0" w:right="0"/>
                    <w:jc w:val="left"/>
                    <w:rPr>
                      <w:rFonts w:hint="default" w:ascii="Times New Roman" w:hAnsi="Times New Roman" w:eastAsia="宋体"/>
                      <w:color w:val="auto"/>
                      <w:highlight w:val="none"/>
                    </w:rPr>
                  </w:pPr>
                  <w:r>
                    <w:rPr>
                      <w:rFonts w:hint="default" w:ascii="Times New Roman" w:hAnsi="Times New Roman" w:eastAsia="宋体"/>
                      <w:color w:val="auto"/>
                      <w:highlight w:val="none"/>
                    </w:rPr>
                    <w:t>太科园引入项目应符合《产业结构调整指导目录（2011年本）》（2013年修正）、《外商投资产业指导目录（2015年修订）》、《产业转移指导目录（2012年本）》、《江苏省工业和信息产业结构调整指导目录（2012年本）》（2013年修正）、《江苏省限制用地项目目录（2013年本）》和《江苏省禁止用地项目目录（2013年本）》等国家和地方相关产业政策法规要求</w:t>
                  </w:r>
                </w:p>
              </w:tc>
              <w:tc>
                <w:tcPr>
                  <w:tcW w:w="2200" w:type="pct"/>
                  <w:noWrap w:val="0"/>
                  <w:vAlign w:val="center"/>
                </w:tcPr>
                <w:p w14:paraId="124585B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olor w:val="auto"/>
                      <w:highlight w:val="none"/>
                      <w:lang w:eastAsia="zh-CN"/>
                    </w:rPr>
                  </w:pPr>
                  <w:r>
                    <w:rPr>
                      <w:rFonts w:hint="eastAsia" w:ascii="Times New Roman" w:hAnsi="Times New Roman" w:eastAsia="宋体"/>
                      <w:color w:val="auto"/>
                      <w:sz w:val="21"/>
                      <w:szCs w:val="21"/>
                      <w:highlight w:val="none"/>
                      <w:lang w:val="en-US" w:eastAsia="zh-CN"/>
                    </w:rPr>
                    <w:t>本项目针对小分子抗肿瘤药进行早期小试研发，建成后可年产化合物测试500个</w:t>
                  </w:r>
                  <w:r>
                    <w:rPr>
                      <w:rFonts w:hint="eastAsia" w:ascii="Times New Roman" w:hAnsi="Times New Roman" w:eastAsia="宋体"/>
                      <w:color w:val="auto"/>
                      <w:sz w:val="21"/>
                      <w:szCs w:val="21"/>
                      <w:highlight w:val="none"/>
                    </w:rPr>
                    <w:t>，</w:t>
                  </w:r>
                  <w:r>
                    <w:rPr>
                      <w:rFonts w:hint="eastAsia" w:ascii="Times New Roman" w:hAnsi="Times New Roman" w:eastAsia="宋体"/>
                      <w:color w:val="auto"/>
                      <w:highlight w:val="none"/>
                      <w:lang w:val="en-US" w:eastAsia="zh-CN"/>
                    </w:rPr>
                    <w:t>行业类</w:t>
                  </w:r>
                  <w:r>
                    <w:rPr>
                      <w:rFonts w:hint="eastAsia" w:ascii="Times New Roman" w:hAnsi="Times New Roman" w:eastAsia="宋体" w:cs="Times New Roman"/>
                      <w:color w:val="auto"/>
                      <w:highlight w:val="none"/>
                      <w:lang w:val="en-US" w:eastAsia="zh-CN"/>
                    </w:rPr>
                    <w:t>别为[M7340]医学研究和试验发展；不</w:t>
                  </w:r>
                  <w:r>
                    <w:rPr>
                      <w:rFonts w:hint="default" w:ascii="Times New Roman" w:hAnsi="Times New Roman" w:eastAsia="宋体" w:cs="Times New Roman"/>
                      <w:color w:val="auto"/>
                      <w:sz w:val="21"/>
                      <w:szCs w:val="21"/>
                      <w:highlight w:val="none"/>
                    </w:rPr>
                    <w:t>属于《</w:t>
                  </w:r>
                  <w:r>
                    <w:rPr>
                      <w:rFonts w:hint="eastAsia" w:ascii="Times New Roman" w:hAnsi="Times New Roman" w:eastAsia="宋体" w:cs="Times New Roman"/>
                      <w:color w:val="auto"/>
                      <w:sz w:val="21"/>
                      <w:szCs w:val="21"/>
                      <w:highlight w:val="none"/>
                      <w:lang w:eastAsia="zh-CN"/>
                    </w:rPr>
                    <w:t>产业结构调整指导目录（2024年本）</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中限制类、淘汰类</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lang w:val="en-US" w:eastAsia="zh-CN"/>
                    </w:rPr>
                    <w:t>不</w:t>
                  </w:r>
                  <w:r>
                    <w:rPr>
                      <w:rFonts w:hint="eastAsia" w:ascii="Times New Roman" w:hAnsi="Times New Roman" w:eastAsia="宋体" w:cs="Times New Roman"/>
                      <w:color w:val="auto"/>
                      <w:sz w:val="21"/>
                      <w:szCs w:val="21"/>
                      <w:highlight w:val="none"/>
                    </w:rPr>
                    <w:t>属于《无锡市产业结构调整指导目录》（锡政办发</w:t>
                  </w:r>
                  <w:r>
                    <w:rPr>
                      <w:rFonts w:hint="eastAsia" w:ascii="Times New Roman" w:hAnsi="Times New Roman" w:eastAsia="宋体" w:cs="Times New Roman"/>
                      <w:color w:val="auto"/>
                      <w:sz w:val="21"/>
                      <w:szCs w:val="21"/>
                      <w:highlight w:val="none"/>
                      <w:lang w:eastAsia="zh-CN"/>
                    </w:rPr>
                    <w:t>〔2008〕6号</w:t>
                  </w:r>
                  <w:r>
                    <w:rPr>
                      <w:rFonts w:hint="eastAsia" w:ascii="Times New Roman" w:hAnsi="Times New Roman" w:eastAsia="宋体" w:cs="Times New Roman"/>
                      <w:color w:val="auto"/>
                      <w:sz w:val="21"/>
                      <w:szCs w:val="21"/>
                      <w:highlight w:val="none"/>
                    </w:rPr>
                    <w:t>）中</w:t>
                  </w:r>
                  <w:r>
                    <w:rPr>
                      <w:rFonts w:hint="eastAsia" w:ascii="Times New Roman" w:hAnsi="Times New Roman" w:eastAsia="宋体" w:cs="Times New Roman"/>
                      <w:color w:val="auto"/>
                      <w:sz w:val="21"/>
                      <w:szCs w:val="21"/>
                      <w:highlight w:val="none"/>
                      <w:lang w:val="en-US" w:eastAsia="zh-CN"/>
                    </w:rPr>
                    <w:t>淘汰类、禁止类</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不属于《无锡市制造业转型发展</w:t>
                  </w:r>
                  <w:r>
                    <w:rPr>
                      <w:rFonts w:hint="eastAsia" w:ascii="Times New Roman" w:hAnsi="Times New Roman" w:eastAsia="宋体" w:cs="Times New Roman"/>
                      <w:color w:val="auto"/>
                      <w:sz w:val="21"/>
                      <w:szCs w:val="21"/>
                      <w:highlight w:val="none"/>
                      <w:lang w:val="en-US" w:eastAsia="zh-CN"/>
                    </w:rPr>
                    <w:t>指导</w:t>
                  </w:r>
                  <w:r>
                    <w:rPr>
                      <w:rFonts w:hint="eastAsia" w:ascii="Times New Roman" w:hAnsi="Times New Roman" w:eastAsia="宋体" w:cs="Times New Roman"/>
                      <w:color w:val="auto"/>
                      <w:sz w:val="21"/>
                      <w:szCs w:val="21"/>
                      <w:highlight w:val="none"/>
                    </w:rPr>
                    <w:t>目录（2012）年本》中的</w:t>
                  </w:r>
                  <w:r>
                    <w:rPr>
                      <w:rFonts w:hint="eastAsia" w:ascii="Times New Roman" w:hAnsi="Times New Roman" w:eastAsia="宋体" w:cs="Times New Roman"/>
                      <w:color w:val="auto"/>
                      <w:sz w:val="21"/>
                      <w:szCs w:val="21"/>
                      <w:highlight w:val="none"/>
                      <w:lang w:val="en-US" w:eastAsia="zh-CN"/>
                    </w:rPr>
                    <w:t>鼓励类</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highlight w:val="none"/>
                    </w:rPr>
                    <w:t>亦不</w:t>
                  </w:r>
                  <w:r>
                    <w:rPr>
                      <w:rFonts w:hint="eastAsia" w:ascii="Times New Roman" w:hAnsi="Times New Roman" w:eastAsia="宋体" w:cs="Times New Roman"/>
                      <w:color w:val="auto"/>
                      <w:highlight w:val="none"/>
                      <w:lang w:eastAsia="zh-CN"/>
                    </w:rPr>
                    <w:t>属于其他</w:t>
                  </w:r>
                  <w:r>
                    <w:rPr>
                      <w:rFonts w:hint="default" w:ascii="Times New Roman" w:hAnsi="Times New Roman" w:eastAsia="宋体" w:cs="Times New Roman"/>
                      <w:color w:val="auto"/>
                      <w:highlight w:val="none"/>
                    </w:rPr>
                    <w:t>相关法律法规要求淘汰和限制的产业。本项目符合国家和地方的产业政策</w:t>
                  </w:r>
                  <w:r>
                    <w:rPr>
                      <w:rFonts w:hint="eastAsia" w:ascii="Times New Roman" w:hAnsi="Times New Roman" w:eastAsia="宋体" w:cs="Times New Roman"/>
                      <w:color w:val="auto"/>
                      <w:highlight w:val="none"/>
                      <w:lang w:eastAsia="zh-CN"/>
                    </w:rPr>
                    <w:t>。</w:t>
                  </w:r>
                </w:p>
              </w:tc>
              <w:tc>
                <w:tcPr>
                  <w:tcW w:w="435" w:type="pct"/>
                  <w:noWrap w:val="0"/>
                  <w:vAlign w:val="center"/>
                </w:tcPr>
                <w:p w14:paraId="28ABA817">
                  <w:pPr>
                    <w:keepNext w:val="0"/>
                    <w:keepLines w:val="0"/>
                    <w:suppressLineNumbers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相符</w:t>
                  </w:r>
                </w:p>
              </w:tc>
            </w:tr>
            <w:tr w14:paraId="12CC38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14" w:type="pct"/>
                  <w:noWrap w:val="0"/>
                  <w:vAlign w:val="center"/>
                </w:tcPr>
                <w:p w14:paraId="3CECA56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2</w:t>
                  </w:r>
                </w:p>
              </w:tc>
              <w:tc>
                <w:tcPr>
                  <w:tcW w:w="2050" w:type="pct"/>
                  <w:gridSpan w:val="2"/>
                  <w:noWrap w:val="0"/>
                  <w:vAlign w:val="center"/>
                </w:tcPr>
                <w:p w14:paraId="3CE8E36F">
                  <w:pPr>
                    <w:keepNext w:val="0"/>
                    <w:keepLines w:val="0"/>
                    <w:suppressLineNumbers w:val="0"/>
                    <w:adjustRightInd w:val="0"/>
                    <w:snapToGrid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选址应符合城乡总体规划、土地利用总体规划、环境保护规划和其他相关规划要求，生态红线区域内的建设项目须符合生态红线区域管控规定；</w:t>
                  </w:r>
                </w:p>
              </w:tc>
              <w:tc>
                <w:tcPr>
                  <w:tcW w:w="2200" w:type="pct"/>
                  <w:noWrap w:val="0"/>
                  <w:vAlign w:val="center"/>
                </w:tcPr>
                <w:p w14:paraId="70FA4AF1">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olor w:val="auto"/>
                      <w:highlight w:val="none"/>
                    </w:rPr>
                  </w:pPr>
                  <w:r>
                    <w:rPr>
                      <w:rFonts w:hint="eastAsia" w:ascii="Times New Roman" w:hAnsi="Times New Roman" w:eastAsia="宋体" w:cs="Times New Roman"/>
                      <w:color w:val="auto"/>
                      <w:highlight w:val="none"/>
                      <w:lang w:eastAsia="zh-CN"/>
                    </w:rPr>
                    <w:t>本</w:t>
                  </w:r>
                  <w:r>
                    <w:rPr>
                      <w:rFonts w:hint="default" w:ascii="Times New Roman" w:hAnsi="Times New Roman" w:eastAsia="宋体" w:cs="Times New Roman"/>
                      <w:color w:val="auto"/>
                      <w:highlight w:val="none"/>
                    </w:rPr>
                    <w:t>项目所在区域规划为</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生产研发用地+科研设计用地</w:t>
                  </w:r>
                  <w:r>
                    <w:rPr>
                      <w:rFonts w:hint="eastAsia" w:ascii="Times New Roman" w:hAnsi="Times New Roman" w:eastAsia="宋体" w:cs="Times New Roman"/>
                      <w:color w:val="auto"/>
                      <w:highlight w:val="none"/>
                      <w:lang w:eastAsia="zh-CN"/>
                    </w:rPr>
                    <w:t>”，</w:t>
                  </w:r>
                  <w:r>
                    <w:rPr>
                      <w:rFonts w:hint="eastAsia" w:ascii="Times New Roman" w:hAnsi="Times New Roman" w:eastAsia="宋体"/>
                      <w:color w:val="auto"/>
                      <w:sz w:val="21"/>
                      <w:szCs w:val="21"/>
                      <w:highlight w:val="none"/>
                      <w:lang w:val="en-US" w:eastAsia="zh-CN"/>
                    </w:rPr>
                    <w:t>本项目引进、购置国内外先进实验设施，针对小分子抗肿瘤药进行早期小试研发，</w:t>
                  </w:r>
                  <w:r>
                    <w:rPr>
                      <w:rFonts w:hint="default" w:ascii="Times New Roman" w:hAnsi="Times New Roman" w:eastAsia="宋体" w:cs="Times New Roman"/>
                      <w:color w:val="auto"/>
                      <w:highlight w:val="none"/>
                    </w:rPr>
                    <w:t>符合项目所在地规划</w:t>
                  </w: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eastAsia="zh-CN"/>
                    </w:rPr>
                    <w:t>本项目</w:t>
                  </w:r>
                  <w:r>
                    <w:rPr>
                      <w:rFonts w:hint="eastAsia" w:ascii="Times New Roman" w:hAnsi="Times New Roman" w:eastAsia="宋体" w:cs="Times New Roman"/>
                      <w:color w:val="auto"/>
                      <w:highlight w:val="none"/>
                    </w:rPr>
                    <w:t>符合《江苏省国家级生态保护红线规划》与《江苏省生态空间管控区域规划》的要求</w:t>
                  </w:r>
                  <w:r>
                    <w:rPr>
                      <w:rFonts w:hint="eastAsia" w:ascii="Times New Roman" w:hAnsi="Times New Roman" w:eastAsia="宋体"/>
                      <w:color w:val="auto"/>
                      <w:highlight w:val="none"/>
                    </w:rPr>
                    <w:t>。</w:t>
                  </w:r>
                </w:p>
              </w:tc>
              <w:tc>
                <w:tcPr>
                  <w:tcW w:w="435" w:type="pct"/>
                  <w:noWrap w:val="0"/>
                  <w:vAlign w:val="center"/>
                </w:tcPr>
                <w:p w14:paraId="7691919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符合</w:t>
                  </w:r>
                </w:p>
              </w:tc>
            </w:tr>
            <w:tr w14:paraId="2DF647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14" w:type="pct"/>
                  <w:noWrap w:val="0"/>
                  <w:vAlign w:val="center"/>
                </w:tcPr>
                <w:p w14:paraId="43F4900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3</w:t>
                  </w:r>
                </w:p>
              </w:tc>
              <w:tc>
                <w:tcPr>
                  <w:tcW w:w="2050" w:type="pct"/>
                  <w:gridSpan w:val="2"/>
                  <w:noWrap w:val="0"/>
                  <w:vAlign w:val="center"/>
                </w:tcPr>
                <w:p w14:paraId="6DE1326F">
                  <w:pPr>
                    <w:keepNext w:val="0"/>
                    <w:keepLines w:val="0"/>
                    <w:suppressLineNumbers w:val="0"/>
                    <w:adjustRightInd w:val="0"/>
                    <w:snapToGrid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新改扩建项目污染物排放严格执行国家和地方标准，并满足区域总量控制要求。对主要污染物排放总量实行区域和企业排放总量控制制度。新增主要污染物排放的建设项目，需取得主要污染物排放总量指标。其中，新、改、扩建项目的二氧化硫、氮氧化物、烟粉尘、挥发性有机物等排放指标，实行现役源2倍削减量替代，其他主要污染物排放总量指标与可用于建设项目指标总量实行等量削减替代。</w:t>
                  </w:r>
                </w:p>
              </w:tc>
              <w:tc>
                <w:tcPr>
                  <w:tcW w:w="2200" w:type="pct"/>
                  <w:noWrap w:val="0"/>
                  <w:vAlign w:val="center"/>
                </w:tcPr>
                <w:p w14:paraId="5A62581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本项目为</w:t>
                  </w:r>
                  <w:r>
                    <w:rPr>
                      <w:rFonts w:hint="eastAsia" w:ascii="Times New Roman" w:hAnsi="Times New Roman" w:eastAsia="宋体"/>
                      <w:color w:val="auto"/>
                      <w:highlight w:val="none"/>
                      <w:lang w:val="en-US" w:eastAsia="zh-CN"/>
                    </w:rPr>
                    <w:t>新建</w:t>
                  </w:r>
                  <w:r>
                    <w:rPr>
                      <w:rFonts w:hint="default" w:ascii="Times New Roman" w:hAnsi="Times New Roman" w:eastAsia="宋体"/>
                      <w:color w:val="auto"/>
                      <w:highlight w:val="none"/>
                    </w:rPr>
                    <w:t>项目，</w:t>
                  </w:r>
                  <w:r>
                    <w:rPr>
                      <w:rFonts w:hint="eastAsia" w:ascii="Times New Roman" w:hAnsi="Times New Roman" w:eastAsia="宋体"/>
                      <w:color w:val="auto"/>
                      <w:highlight w:val="none"/>
                    </w:rPr>
                    <w:t>各类污染物经处理后可达到</w:t>
                  </w:r>
                  <w:r>
                    <w:rPr>
                      <w:rFonts w:hint="default" w:ascii="Times New Roman" w:hAnsi="Times New Roman" w:eastAsia="宋体"/>
                      <w:color w:val="auto"/>
                      <w:highlight w:val="none"/>
                    </w:rPr>
                    <w:t>国家和地方标准，并满足区域总量控制要求。本项目</w:t>
                  </w:r>
                  <w:r>
                    <w:rPr>
                      <w:rFonts w:hint="eastAsia" w:ascii="Times New Roman" w:hAnsi="Times New Roman" w:eastAsia="宋体"/>
                      <w:color w:val="auto"/>
                      <w:highlight w:val="none"/>
                      <w:lang w:val="en-US" w:eastAsia="zh-CN"/>
                    </w:rPr>
                    <w:t>非甲烷总烃</w:t>
                  </w:r>
                  <w:r>
                    <w:rPr>
                      <w:rFonts w:hint="eastAsia"/>
                      <w:color w:val="auto"/>
                      <w:highlight w:val="none"/>
                      <w:lang w:val="en-US" w:eastAsia="zh-CN"/>
                    </w:rPr>
                    <w:t>（包含甲醇）</w:t>
                  </w:r>
                  <w:r>
                    <w:rPr>
                      <w:rFonts w:hint="default" w:ascii="Times New Roman" w:hAnsi="Times New Roman" w:eastAsia="宋体"/>
                      <w:color w:val="auto"/>
                      <w:highlight w:val="none"/>
                    </w:rPr>
                    <w:t>的排放总量在新吴区内平衡</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纯水制备浓水、水浴锅排水和经化粪池处理后的生活污水</w:t>
                  </w:r>
                  <w:r>
                    <w:rPr>
                      <w:rFonts w:hint="eastAsia"/>
                      <w:color w:val="auto"/>
                      <w:highlight w:val="none"/>
                      <w:lang w:val="en-US" w:eastAsia="zh-CN"/>
                    </w:rPr>
                    <w:t>、淋浴废水</w:t>
                  </w:r>
                  <w:r>
                    <w:rPr>
                      <w:rFonts w:hint="eastAsia" w:ascii="Times New Roman" w:hAnsi="Times New Roman" w:eastAsia="宋体"/>
                      <w:color w:val="auto"/>
                      <w:highlight w:val="none"/>
                      <w:lang w:val="en-US" w:eastAsia="zh-CN"/>
                    </w:rPr>
                    <w:t>一并接管至太湖新城污水处理厂进行处理，尾水排入京杭运</w:t>
                  </w:r>
                  <w:r>
                    <w:rPr>
                      <w:rFonts w:hint="default" w:ascii="Times New Roman" w:hAnsi="Times New Roman" w:eastAsia="宋体"/>
                      <w:color w:val="auto"/>
                      <w:highlight w:val="none"/>
                    </w:rPr>
                    <w:t>；固废“零”排放。</w:t>
                  </w:r>
                </w:p>
              </w:tc>
              <w:tc>
                <w:tcPr>
                  <w:tcW w:w="435" w:type="pct"/>
                  <w:noWrap w:val="0"/>
                  <w:vAlign w:val="center"/>
                </w:tcPr>
                <w:p w14:paraId="3039FDC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符合</w:t>
                  </w:r>
                </w:p>
              </w:tc>
            </w:tr>
            <w:tr w14:paraId="5816C7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14" w:type="pct"/>
                  <w:noWrap w:val="0"/>
                  <w:vAlign w:val="center"/>
                </w:tcPr>
                <w:p w14:paraId="6FDAEB1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4</w:t>
                  </w:r>
                </w:p>
              </w:tc>
              <w:tc>
                <w:tcPr>
                  <w:tcW w:w="2050" w:type="pct"/>
                  <w:gridSpan w:val="2"/>
                  <w:noWrap w:val="0"/>
                  <w:vAlign w:val="center"/>
                </w:tcPr>
                <w:p w14:paraId="594AC1F8">
                  <w:pPr>
                    <w:keepNext w:val="0"/>
                    <w:keepLines w:val="0"/>
                    <w:suppressLineNumbers w:val="0"/>
                    <w:adjustRightInd w:val="0"/>
                    <w:snapToGrid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禁止新改扩建工业生产项目，节能减排、清洁生产、安全隐患以及为研发配套的组装加工项目除外；禁止引入使用溶剂型涂料（油漆）的项目，新改扩建排放含磷、氮等特征因子的项目，建设排放含汞、砷、镉、铬、铅等重金属污染物以及持久性有机污染物的项目，以及其他与规划产业定位或用地性质不相符的项目；现有工业企业应按要求逐步关停或搬迁退入其他工业园区。</w:t>
                  </w:r>
                </w:p>
              </w:tc>
              <w:tc>
                <w:tcPr>
                  <w:tcW w:w="2200" w:type="pct"/>
                  <w:noWrap w:val="0"/>
                  <w:vAlign w:val="center"/>
                </w:tcPr>
                <w:p w14:paraId="42B628D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olor w:val="auto"/>
                      <w:highlight w:val="none"/>
                      <w:lang w:eastAsia="zh-CN"/>
                    </w:rPr>
                  </w:pPr>
                  <w:r>
                    <w:rPr>
                      <w:rFonts w:hint="default" w:ascii="Times New Roman" w:hAnsi="Times New Roman" w:eastAsia="宋体"/>
                      <w:color w:val="auto"/>
                      <w:highlight w:val="none"/>
                    </w:rPr>
                    <w:t>本项目为</w:t>
                  </w:r>
                  <w:r>
                    <w:rPr>
                      <w:rFonts w:hint="eastAsia" w:ascii="Times New Roman" w:hAnsi="Times New Roman" w:eastAsia="宋体"/>
                      <w:color w:val="auto"/>
                      <w:highlight w:val="none"/>
                      <w:lang w:val="en-US" w:eastAsia="zh-CN"/>
                    </w:rPr>
                    <w:t>新建</w:t>
                  </w:r>
                  <w:r>
                    <w:rPr>
                      <w:rFonts w:hint="eastAsia" w:ascii="Times New Roman" w:hAnsi="Times New Roman" w:eastAsia="宋体"/>
                      <w:color w:val="auto"/>
                      <w:highlight w:val="none"/>
                    </w:rPr>
                    <w:t>项目</w:t>
                  </w:r>
                  <w:r>
                    <w:rPr>
                      <w:rFonts w:hint="default" w:ascii="Times New Roman" w:hAnsi="Times New Roman" w:eastAsia="宋体"/>
                      <w:color w:val="auto"/>
                      <w:highlight w:val="none"/>
                    </w:rPr>
                    <w:t>，</w:t>
                  </w:r>
                  <w:r>
                    <w:rPr>
                      <w:rFonts w:hint="eastAsia" w:ascii="Times New Roman" w:hAnsi="Times New Roman" w:eastAsia="宋体"/>
                      <w:color w:val="auto"/>
                      <w:highlight w:val="none"/>
                      <w:lang w:val="en-US" w:eastAsia="zh-CN"/>
                    </w:rPr>
                    <w:t>主要</w:t>
                  </w:r>
                  <w:r>
                    <w:rPr>
                      <w:rFonts w:hint="eastAsia" w:ascii="Times New Roman" w:hAnsi="Times New Roman" w:eastAsia="宋体"/>
                      <w:color w:val="auto"/>
                      <w:sz w:val="21"/>
                      <w:szCs w:val="21"/>
                      <w:highlight w:val="none"/>
                      <w:lang w:val="en-US" w:eastAsia="zh-CN"/>
                    </w:rPr>
                    <w:t>针对小分子抗肿瘤药进行早期小试研发，建成后可年产化合物测试500个。</w:t>
                  </w:r>
                  <w:r>
                    <w:rPr>
                      <w:rFonts w:hint="default" w:ascii="Times New Roman" w:hAnsi="Times New Roman" w:eastAsia="宋体" w:cs="Times New Roman"/>
                      <w:color w:val="auto"/>
                      <w:highlight w:val="none"/>
                    </w:rPr>
                    <w:t>所在区域规划为</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生产研发用地+科研设计用地</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项目内容</w:t>
                  </w:r>
                  <w:r>
                    <w:rPr>
                      <w:rFonts w:hint="default" w:ascii="Times New Roman" w:hAnsi="Times New Roman" w:eastAsia="宋体" w:cs="Times New Roman"/>
                      <w:color w:val="auto"/>
                      <w:highlight w:val="none"/>
                    </w:rPr>
                    <w:t>符合项目所在地规划</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并且</w:t>
                  </w:r>
                  <w:r>
                    <w:rPr>
                      <w:rFonts w:hint="eastAsia" w:ascii="Times New Roman" w:hAnsi="Times New Roman" w:eastAsia="宋体"/>
                      <w:color w:val="auto"/>
                      <w:highlight w:val="none"/>
                      <w:lang w:eastAsia="zh-CN"/>
                    </w:rPr>
                    <w:t>本项目</w:t>
                  </w:r>
                  <w:r>
                    <w:rPr>
                      <w:rFonts w:hint="default" w:ascii="Times New Roman" w:hAnsi="Times New Roman" w:eastAsia="宋体"/>
                      <w:color w:val="auto"/>
                      <w:highlight w:val="none"/>
                    </w:rPr>
                    <w:t>不使用溶剂型涂料（油漆），不排放磷、氮等特征因子，不排放汞、砷、镉、铬、铅等重金属污染物以及持久性有机污染物。</w:t>
                  </w:r>
                </w:p>
              </w:tc>
              <w:tc>
                <w:tcPr>
                  <w:tcW w:w="435" w:type="pct"/>
                  <w:noWrap w:val="0"/>
                  <w:vAlign w:val="center"/>
                </w:tcPr>
                <w:p w14:paraId="27D7348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符合</w:t>
                  </w:r>
                </w:p>
              </w:tc>
            </w:tr>
            <w:tr w14:paraId="525CBE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14" w:type="pct"/>
                  <w:noWrap w:val="0"/>
                  <w:vAlign w:val="center"/>
                </w:tcPr>
                <w:p w14:paraId="5D665E8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5</w:t>
                  </w:r>
                </w:p>
              </w:tc>
              <w:tc>
                <w:tcPr>
                  <w:tcW w:w="2050" w:type="pct"/>
                  <w:gridSpan w:val="2"/>
                  <w:noWrap w:val="0"/>
                  <w:vAlign w:val="center"/>
                </w:tcPr>
                <w:p w14:paraId="62A5A779">
                  <w:pPr>
                    <w:keepNext w:val="0"/>
                    <w:keepLines w:val="0"/>
                    <w:suppressLineNumbers w:val="0"/>
                    <w:spacing w:before="0" w:beforeAutospacing="0" w:after="0" w:afterAutospacing="0"/>
                    <w:ind w:left="0" w:right="0"/>
                    <w:jc w:val="left"/>
                    <w:rPr>
                      <w:rFonts w:hint="default" w:ascii="Times New Roman" w:hAnsi="Times New Roman" w:eastAsia="宋体"/>
                      <w:color w:val="auto"/>
                      <w:highlight w:val="none"/>
                    </w:rPr>
                  </w:pPr>
                  <w:r>
                    <w:rPr>
                      <w:rFonts w:hint="default" w:ascii="Times New Roman" w:hAnsi="Times New Roman" w:eastAsia="宋体"/>
                      <w:color w:val="auto"/>
                      <w:highlight w:val="none"/>
                    </w:rPr>
                    <w:t>禁止引入环境风险较大或污染较重的研发项目，如P3、P4生物安全实验室、转基因实验室等。</w:t>
                  </w:r>
                </w:p>
              </w:tc>
              <w:tc>
                <w:tcPr>
                  <w:tcW w:w="2200" w:type="pct"/>
                  <w:noWrap w:val="0"/>
                  <w:vAlign w:val="center"/>
                </w:tcPr>
                <w:p w14:paraId="314BDB70">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olor w:val="auto"/>
                      <w:highlight w:val="none"/>
                    </w:rPr>
                  </w:pPr>
                  <w:r>
                    <w:rPr>
                      <w:rFonts w:hint="default" w:ascii="Times New Roman" w:hAnsi="Times New Roman" w:eastAsia="宋体" w:cs="Times New Roman"/>
                      <w:color w:val="auto"/>
                      <w:highlight w:val="none"/>
                    </w:rPr>
                    <w:t>本项目</w:t>
                  </w:r>
                  <w:r>
                    <w:rPr>
                      <w:rFonts w:hint="eastAsia" w:ascii="Times New Roman" w:hAnsi="Times New Roman" w:eastAsia="宋体" w:cs="Times New Roman"/>
                      <w:color w:val="auto"/>
                      <w:highlight w:val="none"/>
                    </w:rPr>
                    <w:t>经采取风险防范措施及应急措施后，环境风险较小，环境风险可接受</w:t>
                  </w: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本项目不</w:t>
                  </w:r>
                  <w:r>
                    <w:rPr>
                      <w:rFonts w:hint="eastAsia" w:ascii="Times New Roman" w:hAnsi="Times New Roman" w:eastAsia="宋体" w:cs="Times New Roman"/>
                      <w:color w:val="auto"/>
                      <w:highlight w:val="none"/>
                      <w:lang w:val="en-US" w:eastAsia="zh-CN"/>
                    </w:rPr>
                    <w:t>设置</w:t>
                  </w:r>
                  <w:r>
                    <w:rPr>
                      <w:rFonts w:hint="default" w:ascii="Times New Roman" w:hAnsi="Times New Roman" w:eastAsia="宋体" w:cs="Times New Roman"/>
                      <w:color w:val="auto"/>
                      <w:highlight w:val="none"/>
                    </w:rPr>
                    <w:t>P3、P4生物安全实验室、转基因实验室等环境风险较大或污染较重的研发项目</w:t>
                  </w:r>
                  <w:r>
                    <w:rPr>
                      <w:rFonts w:hint="eastAsia" w:ascii="Times New Roman" w:hAnsi="Times New Roman" w:eastAsia="宋体" w:cs="Times New Roman"/>
                      <w:color w:val="auto"/>
                      <w:highlight w:val="none"/>
                    </w:rPr>
                    <w:t>。</w:t>
                  </w:r>
                </w:p>
              </w:tc>
              <w:tc>
                <w:tcPr>
                  <w:tcW w:w="435" w:type="pct"/>
                  <w:noWrap w:val="0"/>
                  <w:vAlign w:val="center"/>
                </w:tcPr>
                <w:p w14:paraId="533B7CE9">
                  <w:pPr>
                    <w:keepNext w:val="0"/>
                    <w:keepLines w:val="0"/>
                    <w:suppressLineNumbers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符合</w:t>
                  </w:r>
                </w:p>
              </w:tc>
            </w:tr>
            <w:tr w14:paraId="085F5E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14" w:type="pct"/>
                  <w:noWrap w:val="0"/>
                  <w:vAlign w:val="center"/>
                </w:tcPr>
                <w:p w14:paraId="12C029D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6</w:t>
                  </w:r>
                </w:p>
              </w:tc>
              <w:tc>
                <w:tcPr>
                  <w:tcW w:w="2050" w:type="pct"/>
                  <w:gridSpan w:val="2"/>
                  <w:noWrap w:val="0"/>
                  <w:vAlign w:val="center"/>
                </w:tcPr>
                <w:p w14:paraId="76005A1F">
                  <w:pPr>
                    <w:keepNext w:val="0"/>
                    <w:keepLines w:val="0"/>
                    <w:suppressLineNumbers w:val="0"/>
                    <w:spacing w:before="0" w:beforeAutospacing="0" w:after="0" w:afterAutospacing="0"/>
                    <w:ind w:left="0" w:right="0"/>
                    <w:jc w:val="left"/>
                    <w:rPr>
                      <w:rFonts w:hint="default" w:ascii="Times New Roman" w:hAnsi="Times New Roman" w:eastAsia="宋体"/>
                      <w:color w:val="auto"/>
                      <w:highlight w:val="none"/>
                    </w:rPr>
                  </w:pPr>
                  <w:r>
                    <w:rPr>
                      <w:rFonts w:hint="default" w:ascii="Times New Roman" w:hAnsi="Times New Roman" w:eastAsia="宋体"/>
                      <w:color w:val="auto"/>
                      <w:highlight w:val="none"/>
                    </w:rPr>
                    <w:t>禁止新建、扩建燃烧原（散）煤、重油、渣油、石油焦等高污染燃料或者直接燃用各种可燃废物的设施和装置。</w:t>
                  </w:r>
                </w:p>
              </w:tc>
              <w:tc>
                <w:tcPr>
                  <w:tcW w:w="2200" w:type="pct"/>
                  <w:noWrap w:val="0"/>
                  <w:vAlign w:val="center"/>
                </w:tcPr>
                <w:p w14:paraId="72BC3ED3">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olor w:val="auto"/>
                      <w:highlight w:val="none"/>
                    </w:rPr>
                  </w:pPr>
                  <w:r>
                    <w:rPr>
                      <w:rFonts w:hint="default" w:ascii="Times New Roman" w:hAnsi="Times New Roman" w:eastAsia="宋体" w:cs="Times New Roman"/>
                      <w:color w:val="auto"/>
                      <w:highlight w:val="none"/>
                    </w:rPr>
                    <w:t>本项目不属于燃烧原（散）煤、重油、渣油、石油焦等高污染燃料或者直接燃用各种可燃废物的设施和装置的项目。</w:t>
                  </w:r>
                </w:p>
              </w:tc>
              <w:tc>
                <w:tcPr>
                  <w:tcW w:w="435" w:type="pct"/>
                  <w:noWrap w:val="0"/>
                  <w:vAlign w:val="center"/>
                </w:tcPr>
                <w:p w14:paraId="6B491655">
                  <w:pPr>
                    <w:keepNext w:val="0"/>
                    <w:keepLines w:val="0"/>
                    <w:suppressLineNumbers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符合</w:t>
                  </w:r>
                </w:p>
              </w:tc>
            </w:tr>
            <w:tr w14:paraId="0C254A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14" w:type="pct"/>
                  <w:noWrap w:val="0"/>
                  <w:vAlign w:val="center"/>
                </w:tcPr>
                <w:p w14:paraId="2FCF20A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7</w:t>
                  </w:r>
                </w:p>
              </w:tc>
              <w:tc>
                <w:tcPr>
                  <w:tcW w:w="2050" w:type="pct"/>
                  <w:gridSpan w:val="2"/>
                  <w:noWrap w:val="0"/>
                  <w:vAlign w:val="center"/>
                </w:tcPr>
                <w:p w14:paraId="1465AE65">
                  <w:pPr>
                    <w:keepNext w:val="0"/>
                    <w:keepLines w:val="0"/>
                    <w:suppressLineNumbers w:val="0"/>
                    <w:spacing w:before="0" w:beforeAutospacing="0" w:after="0" w:afterAutospacing="0"/>
                    <w:ind w:left="0" w:right="0"/>
                    <w:jc w:val="left"/>
                    <w:rPr>
                      <w:rFonts w:hint="default" w:ascii="Times New Roman" w:hAnsi="Times New Roman" w:eastAsia="宋体"/>
                      <w:color w:val="auto"/>
                      <w:highlight w:val="none"/>
                    </w:rPr>
                  </w:pPr>
                  <w:r>
                    <w:rPr>
                      <w:rFonts w:hint="default" w:ascii="Times New Roman" w:hAnsi="Times New Roman" w:eastAsia="宋体"/>
                      <w:color w:val="auto"/>
                      <w:highlight w:val="none"/>
                    </w:rPr>
                    <w:t>新、扩建环境敏感建筑（住宅、学校、医院等）应退让交通设施（铁路、城市轨道交通、高架快速道路、高速公路、交通干道、公交首末站等，含已规划的）足够距离。</w:t>
                  </w:r>
                </w:p>
              </w:tc>
              <w:tc>
                <w:tcPr>
                  <w:tcW w:w="2200" w:type="pct"/>
                  <w:noWrap w:val="0"/>
                  <w:vAlign w:val="center"/>
                </w:tcPr>
                <w:p w14:paraId="1ABCCFD4">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olor w:val="auto"/>
                      <w:highlight w:val="none"/>
                    </w:rPr>
                  </w:pPr>
                  <w:r>
                    <w:rPr>
                      <w:rFonts w:hint="default" w:ascii="Times New Roman" w:hAnsi="Times New Roman" w:eastAsia="宋体" w:cs="Times New Roman"/>
                      <w:color w:val="auto"/>
                      <w:highlight w:val="none"/>
                    </w:rPr>
                    <w:t>本项目不属于环境敏感建筑（住宅、学校、医院等）。</w:t>
                  </w:r>
                </w:p>
              </w:tc>
              <w:tc>
                <w:tcPr>
                  <w:tcW w:w="435" w:type="pct"/>
                  <w:noWrap w:val="0"/>
                  <w:vAlign w:val="center"/>
                </w:tcPr>
                <w:p w14:paraId="34C15B3E">
                  <w:pPr>
                    <w:keepNext w:val="0"/>
                    <w:keepLines w:val="0"/>
                    <w:suppressLineNumbers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符合</w:t>
                  </w:r>
                </w:p>
              </w:tc>
            </w:tr>
            <w:tr w14:paraId="7DFABF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14" w:type="pct"/>
                  <w:noWrap w:val="0"/>
                  <w:vAlign w:val="center"/>
                </w:tcPr>
                <w:p w14:paraId="1BC6027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8</w:t>
                  </w:r>
                </w:p>
              </w:tc>
              <w:tc>
                <w:tcPr>
                  <w:tcW w:w="2050" w:type="pct"/>
                  <w:gridSpan w:val="2"/>
                  <w:noWrap w:val="0"/>
                  <w:vAlign w:val="center"/>
                </w:tcPr>
                <w:p w14:paraId="487B809C">
                  <w:pPr>
                    <w:keepNext w:val="0"/>
                    <w:keepLines w:val="0"/>
                    <w:suppressLineNumbers w:val="0"/>
                    <w:spacing w:before="0" w:beforeAutospacing="0" w:after="0" w:afterAutospacing="0"/>
                    <w:ind w:left="0" w:right="0"/>
                    <w:jc w:val="left"/>
                    <w:rPr>
                      <w:rFonts w:hint="default" w:ascii="Times New Roman" w:hAnsi="Times New Roman" w:eastAsia="宋体"/>
                      <w:color w:val="auto"/>
                      <w:highlight w:val="none"/>
                    </w:rPr>
                  </w:pPr>
                  <w:r>
                    <w:rPr>
                      <w:rFonts w:hint="default" w:ascii="Times New Roman" w:hAnsi="Times New Roman" w:eastAsia="宋体"/>
                      <w:color w:val="auto"/>
                      <w:highlight w:val="none"/>
                    </w:rPr>
                    <w:t>道路交通项目在规划选址阶段应充分比选路线，尽量避让生态红线管控区和成片居住区等环境保护敏感目标。确实无法避让的，必须采取有效防治措施，减小影响。涉及生态红线的，需按规定征求相关部门意见。</w:t>
                  </w:r>
                </w:p>
              </w:tc>
              <w:tc>
                <w:tcPr>
                  <w:tcW w:w="2200" w:type="pct"/>
                  <w:noWrap w:val="0"/>
                  <w:vAlign w:val="center"/>
                </w:tcPr>
                <w:p w14:paraId="11B81AB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olor w:val="auto"/>
                      <w:highlight w:val="none"/>
                    </w:rPr>
                  </w:pPr>
                  <w:r>
                    <w:rPr>
                      <w:rFonts w:hint="default" w:ascii="Times New Roman" w:hAnsi="Times New Roman" w:eastAsia="宋体" w:cs="Times New Roman"/>
                      <w:color w:val="auto"/>
                      <w:highlight w:val="none"/>
                    </w:rPr>
                    <w:t>本项目</w:t>
                  </w:r>
                  <w:r>
                    <w:rPr>
                      <w:rFonts w:hint="eastAsia" w:ascii="Times New Roman" w:hAnsi="Times New Roman" w:eastAsia="宋体" w:cs="Times New Roman"/>
                      <w:color w:val="auto"/>
                      <w:highlight w:val="none"/>
                    </w:rPr>
                    <w:t>不属于道路交通项目，</w:t>
                  </w:r>
                  <w:r>
                    <w:rPr>
                      <w:rFonts w:hint="default" w:ascii="Times New Roman" w:hAnsi="Times New Roman" w:eastAsia="宋体" w:cs="Times New Roman"/>
                      <w:color w:val="auto"/>
                      <w:highlight w:val="none"/>
                    </w:rPr>
                    <w:t>项目选址符合《江苏省国家级生态保护红线规划》、</w:t>
                  </w:r>
                  <w:r>
                    <w:rPr>
                      <w:rFonts w:hint="default" w:ascii="Times New Roman" w:hAnsi="Times New Roman" w:eastAsia="宋体" w:cs="Times New Roman"/>
                      <w:color w:val="auto"/>
                      <w:highlight w:val="none"/>
                      <w:lang w:val="zh-CN"/>
                    </w:rPr>
                    <w:t>《江苏省生态空间管控区域规划》</w:t>
                  </w:r>
                  <w:r>
                    <w:rPr>
                      <w:rFonts w:hint="default" w:ascii="Times New Roman" w:hAnsi="Times New Roman" w:eastAsia="宋体" w:cs="Times New Roman"/>
                      <w:color w:val="auto"/>
                      <w:highlight w:val="none"/>
                    </w:rPr>
                    <w:t>的要求。</w:t>
                  </w:r>
                </w:p>
              </w:tc>
              <w:tc>
                <w:tcPr>
                  <w:tcW w:w="435" w:type="pct"/>
                  <w:noWrap w:val="0"/>
                  <w:vAlign w:val="center"/>
                </w:tcPr>
                <w:p w14:paraId="63A46B9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符合</w:t>
                  </w:r>
                </w:p>
              </w:tc>
            </w:tr>
            <w:tr w14:paraId="3699C1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14" w:type="pct"/>
                  <w:noWrap w:val="0"/>
                  <w:vAlign w:val="center"/>
                </w:tcPr>
                <w:p w14:paraId="2CDD732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9</w:t>
                  </w:r>
                </w:p>
              </w:tc>
              <w:tc>
                <w:tcPr>
                  <w:tcW w:w="2050" w:type="pct"/>
                  <w:gridSpan w:val="2"/>
                  <w:noWrap w:val="0"/>
                  <w:vAlign w:val="center"/>
                </w:tcPr>
                <w:p w14:paraId="64E79830">
                  <w:pPr>
                    <w:keepNext w:val="0"/>
                    <w:keepLines w:val="0"/>
                    <w:suppressLineNumbers w:val="0"/>
                    <w:spacing w:before="0" w:beforeAutospacing="0" w:after="0" w:afterAutospacing="0"/>
                    <w:ind w:left="0" w:right="0"/>
                    <w:jc w:val="left"/>
                    <w:rPr>
                      <w:rFonts w:hint="default" w:ascii="Times New Roman" w:hAnsi="Times New Roman" w:eastAsia="宋体"/>
                      <w:color w:val="auto"/>
                      <w:highlight w:val="none"/>
                    </w:rPr>
                  </w:pPr>
                  <w:r>
                    <w:rPr>
                      <w:rFonts w:hint="default" w:ascii="Times New Roman" w:hAnsi="Times New Roman" w:eastAsia="宋体"/>
                      <w:color w:val="auto"/>
                      <w:highlight w:val="none"/>
                    </w:rPr>
                    <w:t>新改扩建垃圾转运站须对恶臭源实施封闭，并对废气进行收集处理，按标准规范要求设置足够的卫生防护距离；新建地面污水提升泵站，应以集水池、泵房外边缘为界设置不低于50米的卫生防护距离。</w:t>
                  </w:r>
                </w:p>
              </w:tc>
              <w:tc>
                <w:tcPr>
                  <w:tcW w:w="2200" w:type="pct"/>
                  <w:noWrap w:val="0"/>
                  <w:vAlign w:val="center"/>
                </w:tcPr>
                <w:p w14:paraId="2F68C74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olor w:val="auto"/>
                      <w:highlight w:val="none"/>
                    </w:rPr>
                  </w:pPr>
                  <w:r>
                    <w:rPr>
                      <w:rFonts w:hint="default" w:ascii="Times New Roman" w:hAnsi="Times New Roman" w:eastAsia="宋体" w:cs="Times New Roman"/>
                      <w:color w:val="auto"/>
                      <w:highlight w:val="none"/>
                    </w:rPr>
                    <w:t>本项目</w:t>
                  </w:r>
                  <w:r>
                    <w:rPr>
                      <w:rFonts w:hint="eastAsia" w:ascii="Times New Roman" w:hAnsi="Times New Roman" w:eastAsia="宋体" w:cs="Times New Roman"/>
                      <w:color w:val="auto"/>
                      <w:highlight w:val="none"/>
                    </w:rPr>
                    <w:t>不设置垃圾转运站，生活垃圾将每日清运，并按照规范要求设置卫生防护距离。</w:t>
                  </w:r>
                </w:p>
              </w:tc>
              <w:tc>
                <w:tcPr>
                  <w:tcW w:w="435" w:type="pct"/>
                  <w:noWrap w:val="0"/>
                  <w:vAlign w:val="center"/>
                </w:tcPr>
                <w:p w14:paraId="384B4D1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符合</w:t>
                  </w:r>
                </w:p>
              </w:tc>
            </w:tr>
            <w:tr w14:paraId="650A71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90" w:hRule="atLeast"/>
                <w:jc w:val="center"/>
              </w:trPr>
              <w:tc>
                <w:tcPr>
                  <w:tcW w:w="314" w:type="pct"/>
                  <w:noWrap w:val="0"/>
                  <w:vAlign w:val="center"/>
                </w:tcPr>
                <w:p w14:paraId="6422F37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10</w:t>
                  </w:r>
                </w:p>
              </w:tc>
              <w:tc>
                <w:tcPr>
                  <w:tcW w:w="2050" w:type="pct"/>
                  <w:gridSpan w:val="2"/>
                  <w:noWrap w:val="0"/>
                  <w:vAlign w:val="center"/>
                </w:tcPr>
                <w:p w14:paraId="73D5E0B2">
                  <w:pPr>
                    <w:keepNext w:val="0"/>
                    <w:keepLines w:val="0"/>
                    <w:suppressLineNumbers w:val="0"/>
                    <w:spacing w:before="0" w:beforeAutospacing="0" w:after="0" w:afterAutospacing="0"/>
                    <w:ind w:left="0" w:right="0"/>
                    <w:jc w:val="left"/>
                    <w:rPr>
                      <w:rFonts w:hint="default" w:ascii="Times New Roman" w:hAnsi="Times New Roman" w:eastAsia="宋体"/>
                      <w:color w:val="auto"/>
                      <w:highlight w:val="none"/>
                    </w:rPr>
                  </w:pPr>
                  <w:r>
                    <w:rPr>
                      <w:rFonts w:hint="default" w:ascii="Times New Roman" w:hAnsi="Times New Roman" w:eastAsia="宋体"/>
                      <w:color w:val="auto"/>
                      <w:highlight w:val="none"/>
                    </w:rPr>
                    <w:t>禁止投资别墅类房地产开发、高尔夫球场、赛马场项目，以及党政机关（含国有企事业单位）新建、改扩建培训中心（基地）和各类具有住宿、会议、餐饮等接待功能的设施或场所建设项目。</w:t>
                  </w:r>
                </w:p>
              </w:tc>
              <w:tc>
                <w:tcPr>
                  <w:tcW w:w="2200" w:type="pct"/>
                  <w:noWrap w:val="0"/>
                  <w:vAlign w:val="center"/>
                </w:tcPr>
                <w:p w14:paraId="3985A60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olor w:val="auto"/>
                      <w:highlight w:val="none"/>
                    </w:rPr>
                  </w:pPr>
                  <w:r>
                    <w:rPr>
                      <w:rFonts w:hint="default" w:ascii="Times New Roman" w:hAnsi="Times New Roman" w:eastAsia="宋体" w:cs="Times New Roman"/>
                      <w:color w:val="auto"/>
                      <w:highlight w:val="none"/>
                    </w:rPr>
                    <w:t>本项目不属于别墅类房地产开发、高尔夫球场、赛马场项目，以及党政机关（含国有企事业单位）新建、改扩建培训中心（基地）和各类具有住宿、会议、餐饮等接待功能的设施或场所建设项目。</w:t>
                  </w:r>
                </w:p>
              </w:tc>
              <w:tc>
                <w:tcPr>
                  <w:tcW w:w="435" w:type="pct"/>
                  <w:noWrap w:val="0"/>
                  <w:vAlign w:val="center"/>
                </w:tcPr>
                <w:p w14:paraId="40B5FFF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符合</w:t>
                  </w:r>
                </w:p>
              </w:tc>
            </w:tr>
            <w:tr w14:paraId="2A1772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14" w:type="pct"/>
                  <w:noWrap w:val="0"/>
                  <w:vAlign w:val="center"/>
                </w:tcPr>
                <w:p w14:paraId="21128A4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11</w:t>
                  </w:r>
                </w:p>
              </w:tc>
              <w:tc>
                <w:tcPr>
                  <w:tcW w:w="2050" w:type="pct"/>
                  <w:gridSpan w:val="2"/>
                  <w:noWrap w:val="0"/>
                  <w:vAlign w:val="center"/>
                </w:tcPr>
                <w:p w14:paraId="3D204E34">
                  <w:pPr>
                    <w:keepNext w:val="0"/>
                    <w:keepLines w:val="0"/>
                    <w:suppressLineNumbers w:val="0"/>
                    <w:spacing w:before="0" w:beforeAutospacing="0" w:after="0" w:afterAutospacing="0"/>
                    <w:ind w:left="0" w:right="0"/>
                    <w:jc w:val="left"/>
                    <w:rPr>
                      <w:rFonts w:hint="default" w:ascii="Times New Roman" w:hAnsi="Times New Roman" w:eastAsia="宋体"/>
                      <w:color w:val="auto"/>
                      <w:highlight w:val="none"/>
                    </w:rPr>
                  </w:pPr>
                  <w:r>
                    <w:rPr>
                      <w:rFonts w:hint="default" w:ascii="Times New Roman" w:hAnsi="Times New Roman" w:eastAsia="宋体"/>
                      <w:color w:val="auto"/>
                      <w:highlight w:val="none"/>
                    </w:rPr>
                    <w:t>居民住宅楼等非商用建筑、未设立配套规划专用烟道的商住综合楼、商住综合楼内与居住层相邻的楼层禁止新、扩建排放油烟的饮食服务项目；在成片新开发小区，新、扩建可能产生噪声、油烟及异味等污染的商业用房应独立于住宅楼；在城市居住区、居住小区内新建按照规划设计要求配套的可能产生环境噪声污染的生活、消费、娱乐等经营场所和设施，与相邻最近的居民住宅边界的直线距离不得小于30米。</w:t>
                  </w:r>
                </w:p>
              </w:tc>
              <w:tc>
                <w:tcPr>
                  <w:tcW w:w="2200" w:type="pct"/>
                  <w:noWrap w:val="0"/>
                  <w:vAlign w:val="center"/>
                </w:tcPr>
                <w:p w14:paraId="5F0D063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olor w:val="auto"/>
                      <w:highlight w:val="none"/>
                    </w:rPr>
                  </w:pPr>
                  <w:r>
                    <w:rPr>
                      <w:rFonts w:hint="default" w:ascii="Times New Roman" w:hAnsi="Times New Roman" w:eastAsia="宋体" w:cs="Times New Roman"/>
                      <w:color w:val="auto"/>
                      <w:highlight w:val="none"/>
                    </w:rPr>
                    <w:t>本项目不属于饮食服务项目、商业用房、生活、消费、娱乐等经营场所和设施。</w:t>
                  </w:r>
                </w:p>
              </w:tc>
              <w:tc>
                <w:tcPr>
                  <w:tcW w:w="435" w:type="pct"/>
                  <w:noWrap w:val="0"/>
                  <w:vAlign w:val="center"/>
                </w:tcPr>
                <w:p w14:paraId="38EF013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符合</w:t>
                  </w:r>
                </w:p>
              </w:tc>
            </w:tr>
            <w:tr w14:paraId="049731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14" w:type="pct"/>
                  <w:vMerge w:val="restart"/>
                  <w:noWrap w:val="0"/>
                  <w:vAlign w:val="center"/>
                </w:tcPr>
                <w:p w14:paraId="0CCBF1F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rPr>
                  </w:pPr>
                  <w:r>
                    <w:rPr>
                      <w:rFonts w:hint="eastAsia" w:ascii="Times New Roman" w:hAnsi="Times New Roman" w:eastAsia="宋体"/>
                      <w:color w:val="auto"/>
                      <w:highlight w:val="none"/>
                    </w:rPr>
                    <w:t>12</w:t>
                  </w:r>
                </w:p>
              </w:tc>
              <w:tc>
                <w:tcPr>
                  <w:tcW w:w="468" w:type="pct"/>
                  <w:vMerge w:val="restart"/>
                  <w:noWrap w:val="0"/>
                  <w:vAlign w:val="center"/>
                </w:tcPr>
                <w:p w14:paraId="25B05A49">
                  <w:pPr>
                    <w:keepNext w:val="0"/>
                    <w:keepLines w:val="0"/>
                    <w:suppressLineNumbers w:val="0"/>
                    <w:spacing w:before="0" w:beforeAutospacing="0" w:after="0" w:afterAutospacing="0"/>
                    <w:ind w:left="0" w:right="0"/>
                    <w:jc w:val="left"/>
                    <w:rPr>
                      <w:rFonts w:hint="default" w:ascii="Times New Roman" w:hAnsi="Times New Roman" w:eastAsia="宋体"/>
                      <w:color w:val="auto"/>
                      <w:highlight w:val="none"/>
                    </w:rPr>
                  </w:pPr>
                  <w:r>
                    <w:rPr>
                      <w:rFonts w:hint="eastAsia" w:ascii="Times New Roman" w:hAnsi="Times New Roman" w:eastAsia="宋体"/>
                      <w:color w:val="auto"/>
                      <w:highlight w:val="none"/>
                    </w:rPr>
                    <w:t>其它要求</w:t>
                  </w:r>
                </w:p>
              </w:tc>
              <w:tc>
                <w:tcPr>
                  <w:tcW w:w="1582" w:type="pct"/>
                  <w:noWrap w:val="0"/>
                  <w:vAlign w:val="center"/>
                </w:tcPr>
                <w:p w14:paraId="0BBB031B">
                  <w:pPr>
                    <w:keepNext w:val="0"/>
                    <w:keepLines w:val="0"/>
                    <w:suppressLineNumbers w:val="0"/>
                    <w:spacing w:before="0" w:beforeAutospacing="0" w:after="0" w:afterAutospacing="0"/>
                    <w:ind w:left="0" w:right="0"/>
                    <w:jc w:val="left"/>
                    <w:rPr>
                      <w:rFonts w:hint="default" w:ascii="Times New Roman" w:hAnsi="Times New Roman" w:eastAsia="宋体"/>
                      <w:color w:val="auto"/>
                      <w:highlight w:val="none"/>
                    </w:rPr>
                  </w:pPr>
                  <w:r>
                    <w:rPr>
                      <w:rFonts w:hint="default" w:ascii="Times New Roman" w:hAnsi="Times New Roman" w:eastAsia="宋体"/>
                      <w:color w:val="auto"/>
                      <w:highlight w:val="none"/>
                    </w:rPr>
                    <w:t>不得引进排放重金属等污染物的研发型企业和项目</w:t>
                  </w:r>
                </w:p>
              </w:tc>
              <w:tc>
                <w:tcPr>
                  <w:tcW w:w="2200" w:type="pct"/>
                  <w:noWrap w:val="0"/>
                  <w:vAlign w:val="center"/>
                </w:tcPr>
                <w:p w14:paraId="793ECD9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olor w:val="auto"/>
                      <w:highlight w:val="none"/>
                    </w:rPr>
                  </w:pPr>
                  <w:r>
                    <w:rPr>
                      <w:rFonts w:hint="eastAsia" w:ascii="Times New Roman" w:hAnsi="Times New Roman" w:eastAsia="宋体" w:cs="Times New Roman"/>
                      <w:color w:val="auto"/>
                      <w:highlight w:val="none"/>
                    </w:rPr>
                    <w:t>本项目</w:t>
                  </w:r>
                  <w:r>
                    <w:rPr>
                      <w:rFonts w:hint="eastAsia" w:ascii="Times New Roman" w:hAnsi="Times New Roman" w:eastAsia="宋体" w:cs="Times New Roman"/>
                      <w:color w:val="auto"/>
                      <w:highlight w:val="none"/>
                      <w:lang w:val="en-US" w:eastAsia="zh-CN"/>
                    </w:rPr>
                    <w:t>不排放重金属污染物。</w:t>
                  </w:r>
                </w:p>
              </w:tc>
              <w:tc>
                <w:tcPr>
                  <w:tcW w:w="435" w:type="pct"/>
                  <w:noWrap w:val="0"/>
                  <w:vAlign w:val="center"/>
                </w:tcPr>
                <w:p w14:paraId="3BFFF586">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olor w:val="auto"/>
                      <w:highlight w:val="none"/>
                    </w:rPr>
                  </w:pPr>
                  <w:r>
                    <w:rPr>
                      <w:rFonts w:hint="eastAsia" w:ascii="Times New Roman" w:hAnsi="Times New Roman" w:eastAsia="宋体"/>
                      <w:color w:val="auto"/>
                      <w:highlight w:val="none"/>
                    </w:rPr>
                    <w:t>符合</w:t>
                  </w:r>
                </w:p>
              </w:tc>
            </w:tr>
            <w:tr w14:paraId="3F5164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14" w:type="pct"/>
                  <w:vMerge w:val="continue"/>
                  <w:noWrap w:val="0"/>
                  <w:vAlign w:val="center"/>
                </w:tcPr>
                <w:p w14:paraId="3065E3F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rPr>
                  </w:pPr>
                </w:p>
              </w:tc>
              <w:tc>
                <w:tcPr>
                  <w:tcW w:w="468" w:type="pct"/>
                  <w:vMerge w:val="continue"/>
                  <w:noWrap w:val="0"/>
                  <w:vAlign w:val="center"/>
                </w:tcPr>
                <w:p w14:paraId="6994D1BA">
                  <w:pPr>
                    <w:keepNext w:val="0"/>
                    <w:keepLines w:val="0"/>
                    <w:suppressLineNumbers w:val="0"/>
                    <w:spacing w:before="0" w:beforeAutospacing="0" w:after="0" w:afterAutospacing="0"/>
                    <w:ind w:left="0" w:right="0"/>
                    <w:jc w:val="left"/>
                    <w:rPr>
                      <w:rFonts w:hint="default" w:ascii="Times New Roman" w:hAnsi="Times New Roman" w:eastAsia="宋体"/>
                      <w:color w:val="auto"/>
                      <w:highlight w:val="none"/>
                    </w:rPr>
                  </w:pPr>
                </w:p>
              </w:tc>
              <w:tc>
                <w:tcPr>
                  <w:tcW w:w="1582" w:type="pct"/>
                  <w:noWrap w:val="0"/>
                  <w:vAlign w:val="center"/>
                </w:tcPr>
                <w:p w14:paraId="09FA98A0">
                  <w:pPr>
                    <w:keepNext w:val="0"/>
                    <w:keepLines w:val="0"/>
                    <w:suppressLineNumbers w:val="0"/>
                    <w:spacing w:before="0" w:beforeAutospacing="0" w:after="0" w:afterAutospacing="0"/>
                    <w:ind w:left="0" w:right="0"/>
                    <w:jc w:val="left"/>
                    <w:rPr>
                      <w:rFonts w:hint="default" w:ascii="Times New Roman" w:hAnsi="Times New Roman" w:eastAsia="宋体"/>
                      <w:color w:val="auto"/>
                      <w:highlight w:val="none"/>
                    </w:rPr>
                  </w:pPr>
                  <w:r>
                    <w:rPr>
                      <w:rFonts w:hint="default" w:ascii="Times New Roman" w:hAnsi="Times New Roman" w:eastAsia="宋体"/>
                      <w:color w:val="auto"/>
                      <w:highlight w:val="none"/>
                    </w:rPr>
                    <w:t>不得引进排气量大、排放有毒废气、排放恶臭气体的研发型企业和项目</w:t>
                  </w:r>
                </w:p>
              </w:tc>
              <w:tc>
                <w:tcPr>
                  <w:tcW w:w="2200" w:type="pct"/>
                  <w:noWrap w:val="0"/>
                  <w:vAlign w:val="center"/>
                </w:tcPr>
                <w:p w14:paraId="1DA7721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olor w:val="auto"/>
                      <w:highlight w:val="none"/>
                    </w:rPr>
                  </w:pPr>
                  <w:r>
                    <w:rPr>
                      <w:rFonts w:hint="default" w:ascii="Times New Roman" w:hAnsi="Times New Roman" w:eastAsia="宋体" w:cs="Times New Roman"/>
                      <w:color w:val="auto"/>
                      <w:sz w:val="21"/>
                      <w:szCs w:val="21"/>
                      <w:highlight w:val="none"/>
                    </w:rPr>
                    <w:t>本项目生产过程产生的各类废气经严格落实报告中提出的各项废气治理设施处理后，排放量较小；本项目不排放有毒废气</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不排放恶臭气体</w:t>
                  </w:r>
                  <w:r>
                    <w:rPr>
                      <w:rFonts w:hint="default" w:ascii="Times New Roman" w:hAnsi="Times New Roman" w:eastAsia="宋体" w:cs="Times New Roman"/>
                      <w:color w:val="auto"/>
                      <w:sz w:val="21"/>
                      <w:szCs w:val="21"/>
                      <w:highlight w:val="none"/>
                    </w:rPr>
                    <w:t>。</w:t>
                  </w:r>
                </w:p>
              </w:tc>
              <w:tc>
                <w:tcPr>
                  <w:tcW w:w="435" w:type="pct"/>
                  <w:noWrap w:val="0"/>
                  <w:vAlign w:val="center"/>
                </w:tcPr>
                <w:p w14:paraId="2CEBF79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olor w:val="auto"/>
                      <w:highlight w:val="none"/>
                    </w:rPr>
                  </w:pPr>
                  <w:r>
                    <w:rPr>
                      <w:rFonts w:hint="eastAsia" w:ascii="Times New Roman" w:hAnsi="Times New Roman" w:eastAsia="宋体"/>
                      <w:color w:val="auto"/>
                      <w:highlight w:val="none"/>
                    </w:rPr>
                    <w:t>符合</w:t>
                  </w:r>
                </w:p>
              </w:tc>
            </w:tr>
            <w:tr w14:paraId="16E939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14" w:type="pct"/>
                  <w:vMerge w:val="continue"/>
                  <w:noWrap w:val="0"/>
                  <w:vAlign w:val="center"/>
                </w:tcPr>
                <w:p w14:paraId="5EF250F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rPr>
                  </w:pPr>
                </w:p>
              </w:tc>
              <w:tc>
                <w:tcPr>
                  <w:tcW w:w="468" w:type="pct"/>
                  <w:vMerge w:val="continue"/>
                  <w:noWrap w:val="0"/>
                  <w:vAlign w:val="center"/>
                </w:tcPr>
                <w:p w14:paraId="718AB3D8">
                  <w:pPr>
                    <w:keepNext w:val="0"/>
                    <w:keepLines w:val="0"/>
                    <w:suppressLineNumbers w:val="0"/>
                    <w:spacing w:before="0" w:beforeAutospacing="0" w:after="0" w:afterAutospacing="0"/>
                    <w:ind w:left="0" w:right="0"/>
                    <w:jc w:val="left"/>
                    <w:rPr>
                      <w:rFonts w:hint="default" w:ascii="Times New Roman" w:hAnsi="Times New Roman" w:eastAsia="宋体"/>
                      <w:color w:val="auto"/>
                      <w:highlight w:val="none"/>
                    </w:rPr>
                  </w:pPr>
                </w:p>
              </w:tc>
              <w:tc>
                <w:tcPr>
                  <w:tcW w:w="1582" w:type="pct"/>
                  <w:noWrap w:val="0"/>
                  <w:vAlign w:val="center"/>
                </w:tcPr>
                <w:p w14:paraId="01DA35F1">
                  <w:pPr>
                    <w:keepNext w:val="0"/>
                    <w:keepLines w:val="0"/>
                    <w:suppressLineNumbers w:val="0"/>
                    <w:spacing w:before="0" w:beforeAutospacing="0" w:after="0" w:afterAutospacing="0"/>
                    <w:ind w:left="0" w:right="0"/>
                    <w:jc w:val="left"/>
                    <w:rPr>
                      <w:rFonts w:hint="default" w:ascii="Times New Roman" w:hAnsi="Times New Roman" w:eastAsia="宋体"/>
                      <w:color w:val="auto"/>
                      <w:highlight w:val="none"/>
                    </w:rPr>
                  </w:pPr>
                  <w:r>
                    <w:rPr>
                      <w:rFonts w:hint="default" w:ascii="Times New Roman" w:hAnsi="Times New Roman" w:eastAsia="宋体"/>
                      <w:color w:val="auto"/>
                      <w:highlight w:val="none"/>
                    </w:rPr>
                    <w:t>禁止生产工艺及设备落后、环境风险较大的项目入区</w:t>
                  </w:r>
                </w:p>
              </w:tc>
              <w:tc>
                <w:tcPr>
                  <w:tcW w:w="2200" w:type="pct"/>
                  <w:noWrap w:val="0"/>
                  <w:vAlign w:val="center"/>
                </w:tcPr>
                <w:p w14:paraId="520C6E2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olor w:val="auto"/>
                      <w:highlight w:val="none"/>
                    </w:rPr>
                  </w:pPr>
                  <w:r>
                    <w:rPr>
                      <w:rFonts w:hint="eastAsia" w:ascii="Times New Roman" w:hAnsi="Times New Roman" w:eastAsia="宋体" w:cs="Times New Roman"/>
                      <w:color w:val="auto"/>
                      <w:highlight w:val="none"/>
                    </w:rPr>
                    <w:t>本项目生产工艺及设备均较为先进，本项目经采取风险防范措施后，风险可接受。</w:t>
                  </w:r>
                </w:p>
              </w:tc>
              <w:tc>
                <w:tcPr>
                  <w:tcW w:w="435" w:type="pct"/>
                  <w:noWrap w:val="0"/>
                  <w:vAlign w:val="center"/>
                </w:tcPr>
                <w:p w14:paraId="7EF4A177">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olor w:val="auto"/>
                      <w:highlight w:val="none"/>
                    </w:rPr>
                  </w:pPr>
                  <w:r>
                    <w:rPr>
                      <w:rFonts w:hint="eastAsia" w:ascii="Times New Roman" w:hAnsi="Times New Roman" w:eastAsia="宋体"/>
                      <w:color w:val="auto"/>
                      <w:highlight w:val="none"/>
                    </w:rPr>
                    <w:t>符合</w:t>
                  </w:r>
                </w:p>
              </w:tc>
            </w:tr>
          </w:tbl>
          <w:p w14:paraId="1EC8CD73">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66" w:firstLineChars="200"/>
              <w:jc w:val="both"/>
              <w:textAlignment w:val="auto"/>
              <w:rPr>
                <w:rFonts w:hint="eastAsia" w:ascii="Times New Roman" w:hAnsi="Times New Roman" w:eastAsia="宋体" w:cs="Times New Roman"/>
                <w:color w:val="auto"/>
                <w:spacing w:val="-4"/>
                <w:highlight w:val="none"/>
              </w:rPr>
            </w:pPr>
            <w:r>
              <w:rPr>
                <w:rFonts w:hint="eastAsia" w:ascii="Times New Roman" w:hAnsi="Times New Roman" w:eastAsia="宋体" w:cs="Times New Roman"/>
                <w:b/>
                <w:bCs/>
                <w:color w:val="auto"/>
                <w:spacing w:val="-4"/>
                <w:sz w:val="24"/>
                <w:szCs w:val="32"/>
                <w:highlight w:val="none"/>
                <w:lang w:val="en-US" w:eastAsia="zh-CN"/>
              </w:rPr>
              <w:t>②</w:t>
            </w:r>
            <w:r>
              <w:rPr>
                <w:rFonts w:hint="eastAsia" w:ascii="Times New Roman" w:hAnsi="Times New Roman" w:eastAsia="宋体" w:cs="Times New Roman"/>
                <w:b/>
                <w:bCs/>
                <w:color w:val="auto"/>
                <w:sz w:val="24"/>
                <w:szCs w:val="32"/>
                <w:highlight w:val="none"/>
              </w:rPr>
              <w:t>与</w:t>
            </w:r>
            <w:r>
              <w:rPr>
                <w:rFonts w:hint="default" w:ascii="Times New Roman" w:hAnsi="Times New Roman" w:eastAsia="宋体" w:cs="Times New Roman"/>
                <w:b/>
                <w:bCs/>
                <w:color w:val="auto"/>
                <w:sz w:val="24"/>
                <w:szCs w:val="24"/>
                <w:highlight w:val="none"/>
              </w:rPr>
              <w:t>《市场准入负面清单》（</w:t>
            </w:r>
            <w:r>
              <w:rPr>
                <w:rFonts w:hint="eastAsia" w:ascii="Times New Roman" w:hAnsi="Times New Roman" w:eastAsia="宋体" w:cs="Times New Roman"/>
                <w:b/>
                <w:bCs/>
                <w:color w:val="auto"/>
                <w:sz w:val="24"/>
                <w:szCs w:val="24"/>
                <w:highlight w:val="none"/>
                <w:lang w:val="en-US" w:eastAsia="zh-CN"/>
              </w:rPr>
              <w:t>2025</w:t>
            </w:r>
            <w:r>
              <w:rPr>
                <w:rFonts w:hint="default" w:ascii="Times New Roman" w:hAnsi="Times New Roman" w:eastAsia="宋体" w:cs="Times New Roman"/>
                <w:b/>
                <w:bCs/>
                <w:color w:val="auto"/>
                <w:sz w:val="24"/>
                <w:szCs w:val="24"/>
                <w:highlight w:val="none"/>
              </w:rPr>
              <w:t>年版）</w:t>
            </w:r>
            <w:r>
              <w:rPr>
                <w:rFonts w:hint="default" w:ascii="Times New Roman" w:hAnsi="Times New Roman" w:eastAsia="宋体" w:cs="Times New Roman"/>
                <w:b/>
                <w:bCs/>
                <w:color w:val="auto"/>
                <w:sz w:val="24"/>
                <w:szCs w:val="24"/>
                <w:highlight w:val="none"/>
                <w:lang w:eastAsia="zh-CN"/>
              </w:rPr>
              <w:t>、《长江经济带发展负面清单指南（试行，2022年版）》（长江办</w:t>
            </w:r>
            <w:r>
              <w:rPr>
                <w:rFonts w:hint="eastAsia"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eastAsia="zh-CN"/>
              </w:rPr>
              <w:t>2022</w:t>
            </w:r>
            <w:r>
              <w:rPr>
                <w:rFonts w:hint="eastAsia"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eastAsia="zh-CN"/>
              </w:rPr>
              <w:t>7号）</w:t>
            </w:r>
            <w:r>
              <w:rPr>
                <w:rFonts w:hint="eastAsia"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kern w:val="0"/>
                <w:sz w:val="24"/>
                <w:szCs w:val="24"/>
                <w:highlight w:val="none"/>
              </w:rPr>
              <w:t>《长江经济带发展负面清单指南（试行，2022版）江苏省实施细则》（长江办</w:t>
            </w:r>
            <w:r>
              <w:rPr>
                <w:rFonts w:hint="eastAsia" w:ascii="Times New Roman" w:hAnsi="Times New Roman" w:eastAsia="宋体" w:cs="Times New Roman"/>
                <w:b/>
                <w:bCs/>
                <w:color w:val="auto"/>
                <w:kern w:val="0"/>
                <w:sz w:val="24"/>
                <w:szCs w:val="24"/>
                <w:highlight w:val="none"/>
                <w:lang w:eastAsia="zh-CN"/>
              </w:rPr>
              <w:t>〔</w:t>
            </w:r>
            <w:r>
              <w:rPr>
                <w:rFonts w:hint="default" w:ascii="Times New Roman" w:hAnsi="Times New Roman" w:eastAsia="宋体" w:cs="Times New Roman"/>
                <w:b/>
                <w:bCs/>
                <w:color w:val="auto"/>
                <w:kern w:val="0"/>
                <w:sz w:val="24"/>
                <w:szCs w:val="24"/>
                <w:highlight w:val="none"/>
              </w:rPr>
              <w:t>2022</w:t>
            </w:r>
            <w:r>
              <w:rPr>
                <w:rFonts w:hint="eastAsia" w:ascii="Times New Roman" w:hAnsi="Times New Roman" w:eastAsia="宋体" w:cs="Times New Roman"/>
                <w:b/>
                <w:bCs/>
                <w:color w:val="auto"/>
                <w:kern w:val="0"/>
                <w:sz w:val="24"/>
                <w:szCs w:val="24"/>
                <w:highlight w:val="none"/>
                <w:lang w:eastAsia="zh-CN"/>
              </w:rPr>
              <w:t>〕</w:t>
            </w:r>
            <w:r>
              <w:rPr>
                <w:rFonts w:hint="default" w:ascii="Times New Roman" w:hAnsi="Times New Roman" w:eastAsia="宋体" w:cs="Times New Roman"/>
                <w:b/>
                <w:bCs/>
                <w:color w:val="auto"/>
                <w:kern w:val="0"/>
                <w:sz w:val="24"/>
                <w:szCs w:val="24"/>
                <w:highlight w:val="none"/>
              </w:rPr>
              <w:t>55号）</w:t>
            </w:r>
            <w:r>
              <w:rPr>
                <w:rFonts w:hint="default" w:ascii="Times New Roman" w:hAnsi="Times New Roman" w:eastAsia="宋体" w:cs="Times New Roman"/>
                <w:b/>
                <w:bCs/>
                <w:color w:val="auto"/>
                <w:sz w:val="24"/>
                <w:szCs w:val="24"/>
                <w:highlight w:val="none"/>
              </w:rPr>
              <w:t>相符性</w:t>
            </w:r>
          </w:p>
          <w:p w14:paraId="70C6FB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本项目行业类别为[</w:t>
            </w:r>
            <w:r>
              <w:rPr>
                <w:rFonts w:hint="eastAsia" w:ascii="Times New Roman" w:hAnsi="Times New Roman" w:eastAsia="宋体" w:cs="Times New Roman"/>
                <w:color w:val="auto"/>
                <w:kern w:val="2"/>
                <w:sz w:val="24"/>
                <w:szCs w:val="24"/>
                <w:highlight w:val="none"/>
                <w:lang w:val="en-US" w:eastAsia="zh-CN" w:bidi="ar-SA"/>
              </w:rPr>
              <w:t>M7340</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医学研究和试验发展</w:t>
            </w:r>
            <w:r>
              <w:rPr>
                <w:rFonts w:hint="default" w:ascii="Times New Roman" w:hAnsi="Times New Roman" w:eastAsia="宋体" w:cs="Times New Roman"/>
                <w:color w:val="auto"/>
                <w:kern w:val="2"/>
                <w:sz w:val="24"/>
                <w:szCs w:val="24"/>
                <w:highlight w:val="none"/>
                <w:lang w:val="en-US" w:eastAsia="zh-CN" w:bidi="ar-SA"/>
              </w:rPr>
              <w:t>，经对照《市场准入负面清单》（</w:t>
            </w:r>
            <w:r>
              <w:rPr>
                <w:rFonts w:hint="eastAsia" w:ascii="Times New Roman" w:hAnsi="Times New Roman" w:eastAsia="宋体" w:cs="Times New Roman"/>
                <w:color w:val="auto"/>
                <w:kern w:val="2"/>
                <w:sz w:val="24"/>
                <w:szCs w:val="24"/>
                <w:highlight w:val="none"/>
                <w:lang w:val="en-US" w:eastAsia="zh-CN" w:bidi="ar-SA"/>
              </w:rPr>
              <w:t>2025</w:t>
            </w:r>
            <w:r>
              <w:rPr>
                <w:rFonts w:hint="default" w:ascii="Times New Roman" w:hAnsi="Times New Roman" w:eastAsia="宋体" w:cs="Times New Roman"/>
                <w:color w:val="auto"/>
                <w:kern w:val="2"/>
                <w:sz w:val="24"/>
                <w:szCs w:val="24"/>
                <w:highlight w:val="none"/>
                <w:lang w:val="en-US" w:eastAsia="zh-CN" w:bidi="ar-SA"/>
              </w:rPr>
              <w:t>年版），本项目的建设不属于禁止准入类。因此，本项目的建设未列入《市场准入负面清单》（</w:t>
            </w:r>
            <w:r>
              <w:rPr>
                <w:rFonts w:hint="eastAsia" w:ascii="Times New Roman" w:hAnsi="Times New Roman" w:eastAsia="宋体" w:cs="Times New Roman"/>
                <w:color w:val="auto"/>
                <w:kern w:val="2"/>
                <w:sz w:val="24"/>
                <w:szCs w:val="24"/>
                <w:highlight w:val="none"/>
                <w:lang w:val="en-US" w:eastAsia="zh-CN" w:bidi="ar-SA"/>
              </w:rPr>
              <w:t>2025</w:t>
            </w:r>
            <w:r>
              <w:rPr>
                <w:rFonts w:hint="default" w:ascii="Times New Roman" w:hAnsi="Times New Roman" w:eastAsia="宋体" w:cs="Times New Roman"/>
                <w:color w:val="auto"/>
                <w:kern w:val="2"/>
                <w:sz w:val="24"/>
                <w:szCs w:val="24"/>
                <w:highlight w:val="none"/>
                <w:lang w:val="en-US" w:eastAsia="zh-CN" w:bidi="ar-SA"/>
              </w:rPr>
              <w:t>年版）。</w:t>
            </w:r>
          </w:p>
          <w:p w14:paraId="4EDFC0F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bCs/>
                <w:color w:val="auto"/>
                <w:sz w:val="24"/>
                <w:highlight w:val="none"/>
              </w:rPr>
            </w:pPr>
            <w:r>
              <w:rPr>
                <w:rFonts w:hint="default" w:ascii="Times New Roman" w:hAnsi="Times New Roman" w:eastAsia="宋体" w:cs="Times New Roman"/>
                <w:color w:val="auto"/>
                <w:sz w:val="24"/>
                <w:szCs w:val="24"/>
                <w:highlight w:val="none"/>
              </w:rPr>
              <w:t>此外，对照《长江经济带发展负面清单指南（试行，2022年版）》（长江办</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2022</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7号）、《长江经济带发展负面清单指南（试行，2022年版）》江苏省实施细则（苏长江办发</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2022</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55号），本项目无码头，不涉及生态红线区域，不涉及饮用水源地保护区，不属于文件中禁止建设的项目，不违背文件要求</w:t>
            </w:r>
            <w:r>
              <w:rPr>
                <w:rFonts w:hint="eastAsia" w:ascii="Times New Roman" w:hAnsi="Times New Roman" w:eastAsia="宋体" w:cs="Times New Roman"/>
                <w:color w:val="auto"/>
                <w:sz w:val="24"/>
                <w:szCs w:val="24"/>
                <w:highlight w:val="none"/>
                <w:lang w:eastAsia="zh-CN"/>
              </w:rPr>
              <w:t>。</w:t>
            </w:r>
          </w:p>
          <w:p w14:paraId="0F9E980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综上所述，建设项目符合国家、地方产业政策，项目选址符合区域总体规划，并能够满足生态保护红线，环境质量底线、资源利用上限以及环境准入负面清单的要求</w:t>
            </w:r>
            <w:r>
              <w:rPr>
                <w:rFonts w:hint="eastAsia" w:ascii="Times New Roman" w:hAnsi="Times New Roman" w:eastAsia="宋体" w:cs="宋体"/>
                <w:color w:val="auto"/>
                <w:kern w:val="2"/>
                <w:sz w:val="24"/>
                <w:szCs w:val="24"/>
                <w:highlight w:val="none"/>
                <w:lang w:val="en-US" w:eastAsia="zh-CN" w:bidi="ar-SA"/>
              </w:rPr>
              <w:t>。</w:t>
            </w:r>
          </w:p>
          <w:p w14:paraId="5F77E3C1">
            <w:pPr>
              <w:keepNext w:val="0"/>
              <w:keepLines w:val="0"/>
              <w:suppressLineNumbers w:val="0"/>
              <w:snapToGrid w:val="0"/>
              <w:spacing w:before="0" w:beforeAutospacing="0" w:after="0" w:afterAutospacing="0" w:line="360" w:lineRule="auto"/>
              <w:ind w:left="0" w:right="0"/>
              <w:rPr>
                <w:rFonts w:hint="eastAsia" w:ascii="Times New Roman" w:hAnsi="Times New Roman" w:eastAsia="宋体" w:cs="Times New Roman"/>
                <w:color w:val="auto"/>
                <w:spacing w:val="-4"/>
                <w:highlight w:val="none"/>
              </w:rPr>
            </w:pPr>
            <w:r>
              <w:rPr>
                <w:rFonts w:hint="eastAsia" w:ascii="Times New Roman" w:hAnsi="Times New Roman" w:eastAsia="宋体" w:cs="Times New Roman"/>
                <w:b/>
                <w:bCs/>
                <w:color w:val="auto"/>
                <w:spacing w:val="-4"/>
                <w:sz w:val="24"/>
                <w:szCs w:val="32"/>
                <w:highlight w:val="none"/>
                <w:lang w:val="en-US" w:eastAsia="zh-CN"/>
              </w:rPr>
              <w:t>2、</w:t>
            </w:r>
            <w:r>
              <w:rPr>
                <w:rFonts w:hint="eastAsia" w:ascii="Times New Roman" w:hAnsi="Times New Roman" w:eastAsia="宋体" w:cs="Times New Roman"/>
                <w:b/>
                <w:bCs/>
                <w:color w:val="auto"/>
                <w:sz w:val="24"/>
                <w:szCs w:val="32"/>
                <w:highlight w:val="none"/>
              </w:rPr>
              <w:t>与《关于印发大运河江苏段核心监控区国土空间管控暂行办法的通知》（苏政发〔2021〕20号）、《市政府关于印发大运河无锡段核心监控区国土空间管控细则（试行）的通知》（锡政规〔2023〕7号）的相符性分析</w:t>
            </w:r>
          </w:p>
          <w:p w14:paraId="0E1D2663">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right="113" w:rightChars="0"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本项目距离京杭运河约800米，位于大运河无锡段核心监控区，属于核心监控区内的建成区。</w:t>
            </w:r>
          </w:p>
          <w:p w14:paraId="23F5085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firstLine="181" w:firstLineChars="75"/>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表1-</w:t>
            </w:r>
            <w:r>
              <w:rPr>
                <w:rFonts w:hint="eastAsia" w:ascii="Times New Roman" w:hAnsi="Times New Roman" w:eastAsia="宋体"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rPr>
              <w:t xml:space="preserve"> 与苏政发〔2021〕20号的相符性分析</w:t>
            </w:r>
          </w:p>
          <w:tbl>
            <w:tblPr>
              <w:tblStyle w:val="26"/>
              <w:tblW w:w="498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6"/>
              <w:gridCol w:w="476"/>
              <w:gridCol w:w="3565"/>
              <w:gridCol w:w="3763"/>
              <w:gridCol w:w="974"/>
            </w:tblGrid>
            <w:tr w14:paraId="381E9C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57" w:type="pct"/>
                  <w:tcBorders>
                    <w:tl2br w:val="nil"/>
                    <w:tr2bl w:val="nil"/>
                  </w:tcBorders>
                  <w:noWrap w:val="0"/>
                  <w:vAlign w:val="center"/>
                </w:tcPr>
                <w:p w14:paraId="279640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项目</w:t>
                  </w:r>
                </w:p>
              </w:tc>
              <w:tc>
                <w:tcPr>
                  <w:tcW w:w="257" w:type="pct"/>
                  <w:tcBorders>
                    <w:tl2br w:val="nil"/>
                    <w:tr2bl w:val="nil"/>
                  </w:tcBorders>
                  <w:noWrap w:val="0"/>
                  <w:vAlign w:val="center"/>
                </w:tcPr>
                <w:p w14:paraId="0C4482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条款</w:t>
                  </w:r>
                </w:p>
              </w:tc>
              <w:tc>
                <w:tcPr>
                  <w:tcW w:w="1925" w:type="pct"/>
                  <w:tcBorders>
                    <w:tl2br w:val="nil"/>
                    <w:tr2bl w:val="nil"/>
                  </w:tcBorders>
                  <w:noWrap w:val="0"/>
                  <w:vAlign w:val="center"/>
                </w:tcPr>
                <w:p w14:paraId="663349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内容</w:t>
                  </w:r>
                </w:p>
              </w:tc>
              <w:tc>
                <w:tcPr>
                  <w:tcW w:w="2032" w:type="pct"/>
                  <w:tcBorders>
                    <w:tl2br w:val="nil"/>
                    <w:tr2bl w:val="nil"/>
                  </w:tcBorders>
                  <w:noWrap w:val="0"/>
                  <w:vAlign w:val="center"/>
                </w:tcPr>
                <w:p w14:paraId="7C9481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rPr>
                    <w:t>本项目</w:t>
                  </w:r>
                  <w:r>
                    <w:rPr>
                      <w:rFonts w:hint="default" w:ascii="Times New Roman" w:hAnsi="Times New Roman" w:eastAsia="宋体" w:cs="Times New Roman"/>
                      <w:b/>
                      <w:bCs/>
                      <w:color w:val="auto"/>
                      <w:sz w:val="21"/>
                      <w:szCs w:val="21"/>
                      <w:highlight w:val="none"/>
                      <w:lang w:eastAsia="zh-CN"/>
                    </w:rPr>
                    <w:t>情况</w:t>
                  </w:r>
                </w:p>
              </w:tc>
              <w:tc>
                <w:tcPr>
                  <w:tcW w:w="526" w:type="pct"/>
                  <w:tcBorders>
                    <w:tl2br w:val="nil"/>
                    <w:tr2bl w:val="nil"/>
                  </w:tcBorders>
                  <w:noWrap w:val="0"/>
                  <w:vAlign w:val="center"/>
                </w:tcPr>
                <w:p w14:paraId="328590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相符性分析</w:t>
                  </w:r>
                </w:p>
              </w:tc>
            </w:tr>
            <w:tr w14:paraId="065601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57" w:type="pct"/>
                  <w:vMerge w:val="restart"/>
                  <w:tcBorders>
                    <w:tl2br w:val="nil"/>
                    <w:tr2bl w:val="nil"/>
                  </w:tcBorders>
                  <w:noWrap w:val="0"/>
                  <w:vAlign w:val="center"/>
                </w:tcPr>
                <w:p w14:paraId="03B266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国土空间规划</w:t>
                  </w:r>
                </w:p>
              </w:tc>
              <w:tc>
                <w:tcPr>
                  <w:tcW w:w="257" w:type="pct"/>
                  <w:tcBorders>
                    <w:tl2br w:val="nil"/>
                    <w:tr2bl w:val="nil"/>
                  </w:tcBorders>
                  <w:noWrap w:val="0"/>
                  <w:vAlign w:val="center"/>
                </w:tcPr>
                <w:p w14:paraId="3596A8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第七条</w:t>
                  </w:r>
                </w:p>
              </w:tc>
              <w:tc>
                <w:tcPr>
                  <w:tcW w:w="1925" w:type="pct"/>
                  <w:tcBorders>
                    <w:tl2br w:val="nil"/>
                    <w:tr2bl w:val="nil"/>
                  </w:tcBorders>
                  <w:noWrap w:val="0"/>
                  <w:vAlign w:val="center"/>
                </w:tcPr>
                <w:p w14:paraId="6BAB27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落实管控范围。各地在编制国土空间规划时，应明确核心监控区和滨河生态空间具体范围，结合《中国大运河（江苏段）遗产保护规划（2011－2030）》划定的文化遗产保护区域，细化管控要求。</w:t>
                  </w:r>
                </w:p>
              </w:tc>
              <w:tc>
                <w:tcPr>
                  <w:tcW w:w="2032" w:type="pct"/>
                  <w:tcBorders>
                    <w:tl2br w:val="nil"/>
                    <w:tr2bl w:val="nil"/>
                  </w:tcBorders>
                  <w:noWrap w:val="0"/>
                  <w:vAlign w:val="center"/>
                </w:tcPr>
                <w:p w14:paraId="5BBE10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本项目位于无锡市新吴区净慧东道196号F楼2楼，根据</w:t>
                  </w:r>
                  <w:r>
                    <w:rPr>
                      <w:rFonts w:hint="eastAsia" w:ascii="Times New Roman" w:hAnsi="Times New Roman" w:eastAsia="宋体" w:cs="Times New Roman"/>
                      <w:color w:val="auto"/>
                      <w:sz w:val="21"/>
                      <w:szCs w:val="21"/>
                      <w:highlight w:val="red"/>
                      <w:vertAlign w:val="baseline"/>
                      <w:lang w:val="en-US" w:eastAsia="zh-CN"/>
                    </w:rPr>
                    <w:t>附图1无锡（太湖）国际科技园区创区-孵化区管理单元土地利用规划图</w:t>
                  </w: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rPr>
                    <w:t>项目所在地规划为“生产研发用地</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科研设计用地”</w:t>
                  </w:r>
                  <w:r>
                    <w:rPr>
                      <w:rFonts w:hint="default" w:ascii="Times New Roman" w:hAnsi="Times New Roman" w:eastAsia="宋体" w:cs="Times New Roman"/>
                      <w:color w:val="auto"/>
                      <w:sz w:val="21"/>
                      <w:szCs w:val="21"/>
                      <w:highlight w:val="none"/>
                      <w:vertAlign w:val="baseline"/>
                      <w:lang w:val="en-US" w:eastAsia="zh-CN"/>
                    </w:rPr>
                    <w:t>，不属于文化遗产保护区域。</w:t>
                  </w:r>
                </w:p>
              </w:tc>
              <w:tc>
                <w:tcPr>
                  <w:tcW w:w="526" w:type="pct"/>
                  <w:tcBorders>
                    <w:tl2br w:val="nil"/>
                    <w:tr2bl w:val="nil"/>
                  </w:tcBorders>
                  <w:noWrap w:val="0"/>
                  <w:vAlign w:val="center"/>
                </w:tcPr>
                <w:p w14:paraId="538946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60E177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57" w:type="pct"/>
                  <w:vMerge w:val="continue"/>
                  <w:tcBorders>
                    <w:tl2br w:val="nil"/>
                    <w:tr2bl w:val="nil"/>
                  </w:tcBorders>
                  <w:noWrap w:val="0"/>
                  <w:vAlign w:val="center"/>
                </w:tcPr>
                <w:p w14:paraId="6A26A4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57" w:type="pct"/>
                  <w:tcBorders>
                    <w:tl2br w:val="nil"/>
                    <w:tr2bl w:val="nil"/>
                  </w:tcBorders>
                  <w:noWrap w:val="0"/>
                  <w:vAlign w:val="center"/>
                </w:tcPr>
                <w:p w14:paraId="5CF5AB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第八条</w:t>
                  </w:r>
                </w:p>
              </w:tc>
              <w:tc>
                <w:tcPr>
                  <w:tcW w:w="1925" w:type="pct"/>
                  <w:tcBorders>
                    <w:tl2br w:val="nil"/>
                    <w:tr2bl w:val="nil"/>
                  </w:tcBorders>
                  <w:noWrap w:val="0"/>
                  <w:vAlign w:val="center"/>
                </w:tcPr>
                <w:p w14:paraId="4AF944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优化空间布局。统筹划定生态保护红线、永久基本农田、城镇开发边界，强化核心监控区内文化遗产保护、生态保护和文化创意、文化旅游、休闲游憩、绿色现代航运等与大运河文化保护传承利用相关功能建设，并与河道岸线功能分区相协调，合理安排与主导功能相符的产业布局。</w:t>
                  </w:r>
                </w:p>
              </w:tc>
              <w:tc>
                <w:tcPr>
                  <w:tcW w:w="2032" w:type="pct"/>
                  <w:tcBorders>
                    <w:tl2br w:val="nil"/>
                    <w:tr2bl w:val="nil"/>
                  </w:tcBorders>
                  <w:noWrap w:val="0"/>
                  <w:vAlign w:val="center"/>
                </w:tcPr>
                <w:p w14:paraId="24F434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本项目位于无锡市新吴区净慧东道196号F楼2楼</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项目所在地规划为“生产研发用地</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科研设计用地”</w:t>
                  </w: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不占用生态红线</w:t>
                  </w:r>
                  <w:r>
                    <w:rPr>
                      <w:rFonts w:hint="eastAsia" w:ascii="Times New Roman" w:hAnsi="Times New Roman" w:eastAsia="宋体" w:cs="Times New Roman"/>
                      <w:color w:val="auto"/>
                      <w:sz w:val="21"/>
                      <w:szCs w:val="21"/>
                      <w:highlight w:val="none"/>
                      <w:vertAlign w:val="baseline"/>
                      <w:lang w:val="en-US" w:eastAsia="zh-CN"/>
                    </w:rPr>
                    <w:t>和永久基本农田。</w:t>
                  </w:r>
                </w:p>
                <w:p w14:paraId="5E9DAA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本项目行业类别为[</w:t>
                  </w:r>
                  <w:r>
                    <w:rPr>
                      <w:rFonts w:hint="eastAsia" w:ascii="Times New Roman" w:hAnsi="Times New Roman" w:eastAsia="宋体" w:cs="Times New Roman"/>
                      <w:color w:val="auto"/>
                      <w:sz w:val="21"/>
                      <w:szCs w:val="21"/>
                      <w:highlight w:val="none"/>
                      <w:vertAlign w:val="baseline"/>
                      <w:lang w:val="en-US" w:eastAsia="zh-CN"/>
                    </w:rPr>
                    <w:t>M7340</w:t>
                  </w:r>
                  <w:r>
                    <w:rPr>
                      <w:rFonts w:hint="default" w:ascii="Times New Roman" w:hAnsi="Times New Roman" w:eastAsia="宋体"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医学研究和试验发展</w:t>
                  </w:r>
                  <w:r>
                    <w:rPr>
                      <w:rFonts w:hint="default" w:ascii="Times New Roman" w:hAnsi="Times New Roman" w:eastAsia="宋体" w:cs="Times New Roman"/>
                      <w:color w:val="auto"/>
                      <w:sz w:val="21"/>
                      <w:szCs w:val="21"/>
                      <w:highlight w:val="none"/>
                      <w:vertAlign w:val="baseline"/>
                      <w:lang w:val="en-US" w:eastAsia="zh-CN"/>
                    </w:rPr>
                    <w:t>，</w:t>
                  </w:r>
                  <w:r>
                    <w:rPr>
                      <w:rFonts w:hint="eastAsia" w:ascii="Times New Roman" w:hAnsi="Times New Roman" w:eastAsia="宋体"/>
                      <w:color w:val="auto"/>
                      <w:sz w:val="21"/>
                      <w:szCs w:val="21"/>
                      <w:highlight w:val="none"/>
                      <w:lang w:val="en-US" w:eastAsia="zh-CN"/>
                    </w:rPr>
                    <w:t>引进、购置国内外先进实验设施，针对小分子抗肿瘤药进行早期小试研发，</w:t>
                  </w:r>
                  <w:r>
                    <w:rPr>
                      <w:rFonts w:hint="default" w:ascii="Times New Roman" w:hAnsi="Times New Roman" w:eastAsia="宋体" w:cs="Times New Roman"/>
                      <w:color w:val="auto"/>
                      <w:sz w:val="21"/>
                      <w:szCs w:val="21"/>
                      <w:highlight w:val="none"/>
                      <w:vertAlign w:val="baseline"/>
                      <w:lang w:val="en-US" w:eastAsia="zh-CN"/>
                    </w:rPr>
                    <w:t>属于自主创新的高科技产业，符合无锡（太湖）国际科技园的产业定位</w:t>
                  </w:r>
                  <w:r>
                    <w:rPr>
                      <w:rFonts w:hint="eastAsia" w:ascii="Times New Roman" w:hAnsi="Times New Roman" w:eastAsia="宋体"/>
                      <w:color w:val="auto"/>
                      <w:szCs w:val="21"/>
                      <w:highlight w:val="none"/>
                      <w:lang w:eastAsia="zh-CN"/>
                    </w:rPr>
                    <w:t>，</w:t>
                  </w:r>
                  <w:r>
                    <w:rPr>
                      <w:rFonts w:hint="default" w:ascii="Times New Roman" w:hAnsi="Times New Roman" w:eastAsia="宋体" w:cs="Times New Roman"/>
                      <w:color w:val="auto"/>
                      <w:sz w:val="21"/>
                      <w:szCs w:val="21"/>
                      <w:highlight w:val="none"/>
                      <w:vertAlign w:val="baseline"/>
                      <w:lang w:val="en-US" w:eastAsia="zh-CN"/>
                    </w:rPr>
                    <w:t>符合产业政策要求，满足运河沿线产业布局要求。</w:t>
                  </w:r>
                </w:p>
              </w:tc>
              <w:tc>
                <w:tcPr>
                  <w:tcW w:w="526" w:type="pct"/>
                  <w:tcBorders>
                    <w:tl2br w:val="nil"/>
                    <w:tr2bl w:val="nil"/>
                  </w:tcBorders>
                  <w:noWrap w:val="0"/>
                  <w:vAlign w:val="center"/>
                </w:tcPr>
                <w:p w14:paraId="2D8E8C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2A466F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57" w:type="pct"/>
                  <w:vMerge w:val="restart"/>
                  <w:tcBorders>
                    <w:tl2br w:val="nil"/>
                    <w:tr2bl w:val="nil"/>
                  </w:tcBorders>
                  <w:noWrap w:val="0"/>
                  <w:vAlign w:val="center"/>
                </w:tcPr>
                <w:p w14:paraId="3AD224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国土空间准入</w:t>
                  </w:r>
                </w:p>
              </w:tc>
              <w:tc>
                <w:tcPr>
                  <w:tcW w:w="257" w:type="pct"/>
                  <w:tcBorders>
                    <w:tl2br w:val="nil"/>
                    <w:tr2bl w:val="nil"/>
                  </w:tcBorders>
                  <w:noWrap w:val="0"/>
                  <w:vAlign w:val="center"/>
                </w:tcPr>
                <w:p w14:paraId="32793C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第十条</w:t>
                  </w:r>
                </w:p>
              </w:tc>
              <w:tc>
                <w:tcPr>
                  <w:tcW w:w="1925" w:type="pct"/>
                  <w:tcBorders>
                    <w:tl2br w:val="nil"/>
                    <w:tr2bl w:val="nil"/>
                  </w:tcBorders>
                  <w:noWrap w:val="0"/>
                  <w:vAlign w:val="center"/>
                </w:tcPr>
                <w:p w14:paraId="2C44CF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严格准入管理。核心监控区内，实行国土空间准入正（负）面清单管理制度，控制开发规模和强度，严禁不符合主体功能定位的各类开发活动。</w:t>
                  </w:r>
                </w:p>
              </w:tc>
              <w:tc>
                <w:tcPr>
                  <w:tcW w:w="2032" w:type="pct"/>
                  <w:tcBorders>
                    <w:tl2br w:val="nil"/>
                    <w:tr2bl w:val="nil"/>
                  </w:tcBorders>
                  <w:noWrap w:val="0"/>
                  <w:vAlign w:val="center"/>
                </w:tcPr>
                <w:p w14:paraId="6BE012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本项目位于无锡市新吴区净慧东道196号F楼2楼，</w:t>
                  </w:r>
                  <w:r>
                    <w:rPr>
                      <w:rFonts w:hint="eastAsia" w:ascii="Times New Roman" w:hAnsi="Times New Roman" w:eastAsia="宋体" w:cs="Times New Roman"/>
                      <w:color w:val="auto"/>
                      <w:sz w:val="21"/>
                      <w:szCs w:val="21"/>
                      <w:highlight w:val="none"/>
                      <w:vertAlign w:val="baseline"/>
                      <w:lang w:val="en-US" w:eastAsia="zh-CN"/>
                    </w:rPr>
                    <w:t>属于核心监控区内的建成区，</w:t>
                  </w:r>
                  <w:r>
                    <w:rPr>
                      <w:rFonts w:hint="default" w:ascii="Times New Roman" w:hAnsi="Times New Roman" w:eastAsia="宋体" w:cs="Times New Roman"/>
                      <w:color w:val="auto"/>
                      <w:sz w:val="21"/>
                      <w:szCs w:val="21"/>
                      <w:highlight w:val="none"/>
                      <w:vertAlign w:val="baseline"/>
                      <w:lang w:val="en-US" w:eastAsia="zh-CN"/>
                    </w:rPr>
                    <w:t>经对照符合无锡（太湖）国际科技园</w:t>
                  </w:r>
                  <w:r>
                    <w:rPr>
                      <w:rFonts w:hint="eastAsia" w:ascii="Times New Roman" w:hAnsi="Times New Roman" w:eastAsia="宋体" w:cs="Times New Roman"/>
                      <w:color w:val="auto"/>
                      <w:sz w:val="21"/>
                      <w:szCs w:val="21"/>
                      <w:highlight w:val="none"/>
                      <w:vertAlign w:val="baseline"/>
                      <w:lang w:val="en-US" w:eastAsia="zh-CN"/>
                    </w:rPr>
                    <w:t>的</w:t>
                  </w:r>
                  <w:r>
                    <w:rPr>
                      <w:rFonts w:hint="default" w:ascii="Times New Roman" w:hAnsi="Times New Roman" w:eastAsia="宋体" w:cs="Times New Roman"/>
                      <w:color w:val="auto"/>
                      <w:sz w:val="21"/>
                      <w:szCs w:val="21"/>
                      <w:highlight w:val="none"/>
                      <w:vertAlign w:val="baseline"/>
                      <w:lang w:val="en-US" w:eastAsia="zh-CN"/>
                    </w:rPr>
                    <w:t>产业定位，符合国家和地方产业政策相关要求，符合运河沿线产业布局要求。</w:t>
                  </w:r>
                </w:p>
              </w:tc>
              <w:tc>
                <w:tcPr>
                  <w:tcW w:w="526" w:type="pct"/>
                  <w:tcBorders>
                    <w:tl2br w:val="nil"/>
                    <w:tr2bl w:val="nil"/>
                  </w:tcBorders>
                  <w:noWrap w:val="0"/>
                  <w:vAlign w:val="center"/>
                </w:tcPr>
                <w:p w14:paraId="712405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57D451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57" w:type="pct"/>
                  <w:vMerge w:val="continue"/>
                  <w:tcBorders>
                    <w:tl2br w:val="nil"/>
                    <w:tr2bl w:val="nil"/>
                  </w:tcBorders>
                  <w:noWrap w:val="0"/>
                  <w:vAlign w:val="center"/>
                </w:tcPr>
                <w:p w14:paraId="1EEFCF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57" w:type="pct"/>
                  <w:tcBorders>
                    <w:tl2br w:val="nil"/>
                    <w:tr2bl w:val="nil"/>
                  </w:tcBorders>
                  <w:noWrap w:val="0"/>
                  <w:vAlign w:val="center"/>
                </w:tcPr>
                <w:p w14:paraId="422102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第十</w:t>
                  </w:r>
                  <w:r>
                    <w:rPr>
                      <w:rFonts w:hint="eastAsia" w:ascii="Times New Roman" w:hAnsi="Times New Roman" w:eastAsia="宋体" w:cs="Times New Roman"/>
                      <w:color w:val="auto"/>
                      <w:sz w:val="21"/>
                      <w:szCs w:val="21"/>
                      <w:highlight w:val="none"/>
                      <w:vertAlign w:val="baseline"/>
                      <w:lang w:val="en-US" w:eastAsia="zh-CN"/>
                    </w:rPr>
                    <w:t>四</w:t>
                  </w:r>
                  <w:r>
                    <w:rPr>
                      <w:rFonts w:hint="default" w:ascii="Times New Roman" w:hAnsi="Times New Roman" w:eastAsia="宋体" w:cs="Times New Roman"/>
                      <w:color w:val="auto"/>
                      <w:sz w:val="21"/>
                      <w:szCs w:val="21"/>
                      <w:highlight w:val="none"/>
                      <w:vertAlign w:val="baseline"/>
                      <w:lang w:val="en-US" w:eastAsia="zh-CN"/>
                    </w:rPr>
                    <w:t>条</w:t>
                  </w:r>
                </w:p>
              </w:tc>
              <w:tc>
                <w:tcPr>
                  <w:tcW w:w="1925" w:type="pct"/>
                  <w:tcBorders>
                    <w:tl2br w:val="nil"/>
                    <w:tr2bl w:val="nil"/>
                  </w:tcBorders>
                  <w:noWrap w:val="0"/>
                  <w:vAlign w:val="center"/>
                </w:tcPr>
                <w:p w14:paraId="3C02F2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建成区（城市、建制镇）内，严禁实施不符合产业政策、规划和管制要求的建设项目</w:t>
                  </w:r>
                  <w:r>
                    <w:rPr>
                      <w:rFonts w:hint="eastAsia" w:ascii="Times New Roman" w:hAnsi="Times New Roman" w:eastAsia="宋体" w:cs="Times New Roman"/>
                      <w:color w:val="auto"/>
                      <w:sz w:val="21"/>
                      <w:szCs w:val="21"/>
                      <w:highlight w:val="none"/>
                      <w:vertAlign w:val="baseline"/>
                      <w:lang w:val="en-US" w:eastAsia="zh-CN"/>
                    </w:rPr>
                    <w:t>。</w:t>
                  </w:r>
                </w:p>
                <w:p w14:paraId="46CAB5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城市建成区老城改造应加强建筑高度管控，开展建筑高度影响分析，按照高层禁建区管理，落实限高、限密度的具体要求，限制各类用地调整为大型的工商业、商务办公、住宅商品房、仓储物流设施等项目用地</w:t>
                  </w:r>
                  <w:r>
                    <w:rPr>
                      <w:rFonts w:hint="eastAsia" w:ascii="Times New Roman" w:hAnsi="Times New Roman" w:eastAsia="宋体" w:cs="Times New Roman"/>
                      <w:color w:val="auto"/>
                      <w:sz w:val="21"/>
                      <w:szCs w:val="21"/>
                      <w:highlight w:val="none"/>
                      <w:vertAlign w:val="baseline"/>
                      <w:lang w:val="en-US" w:eastAsia="zh-CN"/>
                    </w:rPr>
                    <w:t>。</w:t>
                  </w:r>
                </w:p>
              </w:tc>
              <w:tc>
                <w:tcPr>
                  <w:tcW w:w="2032" w:type="pct"/>
                  <w:tcBorders>
                    <w:tl2br w:val="nil"/>
                    <w:tr2bl w:val="nil"/>
                  </w:tcBorders>
                  <w:noWrap w:val="0"/>
                  <w:vAlign w:val="center"/>
                </w:tcPr>
                <w:p w14:paraId="0A2271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vertAlign w:val="baseline"/>
                      <w:lang w:val="en-US" w:eastAsia="zh-CN"/>
                    </w:rPr>
                    <w:t>本项目位于无锡市新吴区净慧东道196号F楼2楼，属于核心监控区内的建成区，</w:t>
                  </w:r>
                  <w:r>
                    <w:rPr>
                      <w:rFonts w:hint="default" w:ascii="Times New Roman" w:hAnsi="Times New Roman" w:eastAsia="宋体" w:cs="Times New Roman"/>
                      <w:color w:val="auto"/>
                      <w:sz w:val="21"/>
                      <w:szCs w:val="21"/>
                      <w:highlight w:val="none"/>
                      <w:vertAlign w:val="baseline"/>
                      <w:lang w:val="en-US" w:eastAsia="zh-CN"/>
                    </w:rPr>
                    <w:t>行业类别为[C3589]其他医疗设备及器械制造</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经</w:t>
                  </w:r>
                  <w:r>
                    <w:rPr>
                      <w:rFonts w:hint="default" w:ascii="Times New Roman" w:hAnsi="Times New Roman" w:eastAsia="宋体" w:cs="Times New Roman"/>
                      <w:color w:val="auto"/>
                      <w:sz w:val="21"/>
                      <w:szCs w:val="21"/>
                      <w:highlight w:val="none"/>
                      <w:lang w:val="en-US" w:eastAsia="zh-CN"/>
                    </w:rPr>
                    <w:t>对照符合国家和地方产业政策要求</w:t>
                  </w:r>
                  <w:r>
                    <w:rPr>
                      <w:rFonts w:hint="eastAsia" w:ascii="Times New Roman" w:hAnsi="Times New Roman" w:eastAsia="宋体" w:cs="Times New Roman"/>
                      <w:color w:val="auto"/>
                      <w:sz w:val="21"/>
                      <w:szCs w:val="21"/>
                      <w:highlight w:val="none"/>
                      <w:lang w:val="en-US" w:eastAsia="zh-CN"/>
                    </w:rPr>
                    <w:t>，符合用地规划</w:t>
                  </w:r>
                  <w:r>
                    <w:rPr>
                      <w:rFonts w:hint="default" w:ascii="Times New Roman" w:hAnsi="Times New Roman" w:eastAsia="宋体" w:cs="Times New Roman"/>
                      <w:color w:val="auto"/>
                      <w:sz w:val="21"/>
                      <w:szCs w:val="21"/>
                      <w:highlight w:val="none"/>
                      <w:lang w:val="en-US" w:eastAsia="zh-CN"/>
                    </w:rPr>
                    <w:t>；此外，项目</w:t>
                  </w:r>
                  <w:r>
                    <w:rPr>
                      <w:rFonts w:hint="eastAsia" w:ascii="Times New Roman" w:hAnsi="Times New Roman" w:eastAsia="宋体" w:cs="Times New Roman"/>
                      <w:color w:val="auto"/>
                      <w:sz w:val="21"/>
                      <w:szCs w:val="21"/>
                      <w:highlight w:val="none"/>
                      <w:lang w:val="en-US" w:eastAsia="zh-CN"/>
                    </w:rPr>
                    <w:t>符合</w:t>
                  </w:r>
                  <w:r>
                    <w:rPr>
                      <w:rFonts w:hint="default" w:ascii="Times New Roman" w:hAnsi="Times New Roman" w:eastAsia="宋体" w:cs="Times New Roman"/>
                      <w:color w:val="auto"/>
                      <w:sz w:val="21"/>
                      <w:szCs w:val="21"/>
                      <w:highlight w:val="none"/>
                      <w:vertAlign w:val="baseline"/>
                      <w:lang w:val="en-US" w:eastAsia="zh-CN"/>
                    </w:rPr>
                    <w:t>无锡（太湖）国际科技园</w:t>
                  </w:r>
                  <w:r>
                    <w:rPr>
                      <w:rFonts w:hint="eastAsia" w:ascii="Times New Roman" w:hAnsi="Times New Roman" w:eastAsia="宋体" w:cs="Times New Roman"/>
                      <w:color w:val="auto"/>
                      <w:sz w:val="21"/>
                      <w:szCs w:val="21"/>
                      <w:highlight w:val="none"/>
                      <w:vertAlign w:val="baseline"/>
                      <w:lang w:val="en-US" w:eastAsia="zh-CN"/>
                    </w:rPr>
                    <w:t>的</w:t>
                  </w:r>
                  <w:r>
                    <w:rPr>
                      <w:rFonts w:hint="default" w:ascii="Times New Roman" w:hAnsi="Times New Roman" w:eastAsia="宋体" w:cs="Times New Roman"/>
                      <w:color w:val="auto"/>
                      <w:sz w:val="21"/>
                      <w:szCs w:val="21"/>
                      <w:highlight w:val="none"/>
                      <w:vertAlign w:val="baseline"/>
                      <w:lang w:val="en-US" w:eastAsia="zh-CN"/>
                    </w:rPr>
                    <w:t>产业定位</w:t>
                  </w:r>
                  <w:r>
                    <w:rPr>
                      <w:rFonts w:hint="default" w:ascii="Times New Roman" w:hAnsi="Times New Roman" w:eastAsia="宋体" w:cs="Times New Roman"/>
                      <w:color w:val="auto"/>
                      <w:sz w:val="21"/>
                      <w:szCs w:val="21"/>
                      <w:highlight w:val="none"/>
                      <w:lang w:val="en-US" w:eastAsia="zh-CN"/>
                    </w:rPr>
                    <w:t>。</w:t>
                  </w:r>
                </w:p>
              </w:tc>
              <w:tc>
                <w:tcPr>
                  <w:tcW w:w="526" w:type="pct"/>
                  <w:tcBorders>
                    <w:tl2br w:val="nil"/>
                    <w:tr2bl w:val="nil"/>
                  </w:tcBorders>
                  <w:noWrap w:val="0"/>
                  <w:vAlign w:val="center"/>
                </w:tcPr>
                <w:p w14:paraId="6719CF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符合</w:t>
                  </w:r>
                </w:p>
              </w:tc>
            </w:tr>
            <w:tr w14:paraId="2C57BF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57" w:type="pct"/>
                  <w:vMerge w:val="restart"/>
                  <w:tcBorders>
                    <w:tl2br w:val="nil"/>
                    <w:tr2bl w:val="nil"/>
                  </w:tcBorders>
                  <w:noWrap w:val="0"/>
                  <w:vAlign w:val="center"/>
                </w:tcPr>
                <w:p w14:paraId="0898DE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国土空间用途管制</w:t>
                  </w:r>
                </w:p>
              </w:tc>
              <w:tc>
                <w:tcPr>
                  <w:tcW w:w="257" w:type="pct"/>
                  <w:tcBorders>
                    <w:tl2br w:val="nil"/>
                    <w:tr2bl w:val="nil"/>
                  </w:tcBorders>
                  <w:noWrap w:val="0"/>
                  <w:vAlign w:val="center"/>
                </w:tcPr>
                <w:p w14:paraId="5B8B88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第十五条</w:t>
                  </w:r>
                </w:p>
              </w:tc>
              <w:tc>
                <w:tcPr>
                  <w:tcW w:w="1925" w:type="pct"/>
                  <w:tcBorders>
                    <w:tl2br w:val="nil"/>
                    <w:tr2bl w:val="nil"/>
                  </w:tcBorders>
                  <w:noWrap w:val="0"/>
                  <w:vAlign w:val="center"/>
                </w:tcPr>
                <w:p w14:paraId="28E080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严格落实核心监控区的“三区”准入要求，健全管制制度，根据国土空间规划的用途实施差别化管理。</w:t>
                  </w:r>
                </w:p>
              </w:tc>
              <w:tc>
                <w:tcPr>
                  <w:tcW w:w="2032" w:type="pct"/>
                  <w:tcBorders>
                    <w:tl2br w:val="nil"/>
                    <w:tr2bl w:val="nil"/>
                  </w:tcBorders>
                  <w:noWrap w:val="0"/>
                  <w:vAlign w:val="center"/>
                </w:tcPr>
                <w:p w14:paraId="5101A8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本项目位于无锡市新吴区净慧东道196号F楼2楼，</w:t>
                  </w:r>
                  <w:r>
                    <w:rPr>
                      <w:rFonts w:hint="eastAsia" w:ascii="Times New Roman" w:hAnsi="Times New Roman" w:eastAsia="宋体" w:cs="Times New Roman"/>
                      <w:color w:val="auto"/>
                      <w:sz w:val="21"/>
                      <w:szCs w:val="21"/>
                      <w:highlight w:val="none"/>
                      <w:vertAlign w:val="baseline"/>
                      <w:lang w:val="en-US" w:eastAsia="zh-CN"/>
                    </w:rPr>
                    <w:t>属于核心监控区内的建成区，</w:t>
                  </w:r>
                  <w:r>
                    <w:rPr>
                      <w:rFonts w:hint="default" w:ascii="Times New Roman" w:hAnsi="Times New Roman" w:eastAsia="宋体" w:cs="Times New Roman"/>
                      <w:color w:val="auto"/>
                      <w:sz w:val="21"/>
                      <w:szCs w:val="21"/>
                      <w:highlight w:val="none"/>
                    </w:rPr>
                    <w:t>项目所在地规划为“生产研发用地</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科研设计用地”</w:t>
                  </w:r>
                  <w:r>
                    <w:rPr>
                      <w:rFonts w:hint="default" w:ascii="Times New Roman" w:hAnsi="Times New Roman" w:eastAsia="宋体" w:cs="Times New Roman"/>
                      <w:color w:val="auto"/>
                      <w:sz w:val="21"/>
                      <w:szCs w:val="21"/>
                      <w:highlight w:val="none"/>
                      <w:vertAlign w:val="baseline"/>
                      <w:lang w:val="en-US" w:eastAsia="zh-CN"/>
                    </w:rPr>
                    <w:t>，</w:t>
                  </w:r>
                  <w:r>
                    <w:rPr>
                      <w:rFonts w:hint="eastAsia" w:ascii="Times New Roman" w:hAnsi="Times New Roman" w:eastAsia="宋体"/>
                      <w:color w:val="auto"/>
                      <w:sz w:val="21"/>
                      <w:szCs w:val="21"/>
                      <w:highlight w:val="none"/>
                      <w:lang w:val="en-US" w:eastAsia="zh-CN"/>
                    </w:rPr>
                    <w:t>企业主要针对隐形矫治器进行研发生产，</w:t>
                  </w:r>
                  <w:r>
                    <w:rPr>
                      <w:rFonts w:hint="default" w:ascii="Times New Roman" w:hAnsi="Times New Roman" w:eastAsia="宋体" w:cs="Times New Roman"/>
                      <w:color w:val="auto"/>
                      <w:sz w:val="21"/>
                      <w:szCs w:val="21"/>
                      <w:highlight w:val="none"/>
                      <w:vertAlign w:val="baseline"/>
                      <w:lang w:val="en-US" w:eastAsia="zh-CN"/>
                    </w:rPr>
                    <w:t>符合规划。</w:t>
                  </w:r>
                </w:p>
              </w:tc>
              <w:tc>
                <w:tcPr>
                  <w:tcW w:w="526" w:type="pct"/>
                  <w:tcBorders>
                    <w:tl2br w:val="nil"/>
                    <w:tr2bl w:val="nil"/>
                  </w:tcBorders>
                  <w:noWrap w:val="0"/>
                  <w:vAlign w:val="center"/>
                </w:tcPr>
                <w:p w14:paraId="398A80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608ED4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57" w:type="pct"/>
                  <w:vMerge w:val="continue"/>
                  <w:tcBorders>
                    <w:tl2br w:val="nil"/>
                    <w:tr2bl w:val="nil"/>
                  </w:tcBorders>
                  <w:noWrap w:val="0"/>
                  <w:vAlign w:val="center"/>
                </w:tcPr>
                <w:p w14:paraId="40AD79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57" w:type="pct"/>
                  <w:tcBorders>
                    <w:tl2br w:val="nil"/>
                    <w:tr2bl w:val="nil"/>
                  </w:tcBorders>
                  <w:noWrap w:val="0"/>
                  <w:vAlign w:val="center"/>
                </w:tcPr>
                <w:p w14:paraId="1C535D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pacing w:val="-4"/>
                      <w:sz w:val="21"/>
                      <w:szCs w:val="21"/>
                      <w:highlight w:val="none"/>
                    </w:rPr>
                    <w:t>第十六条</w:t>
                  </w:r>
                </w:p>
              </w:tc>
              <w:tc>
                <w:tcPr>
                  <w:tcW w:w="1925" w:type="pct"/>
                  <w:tcBorders>
                    <w:tl2br w:val="nil"/>
                    <w:tr2bl w:val="nil"/>
                  </w:tcBorders>
                  <w:noWrap w:val="0"/>
                  <w:vAlign w:val="center"/>
                </w:tcPr>
                <w:p w14:paraId="50E252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生态用途区域内，严格生态保护红线管理，在符合现行法律法规前提下，除国家重大战略项目外，仅允许对生态功能不造成破坏的有限人为活动。自然保护地核心保护区原则上禁止人为活动，其他区域严格禁止开发性、生产性建设活动。</w:t>
                  </w:r>
                </w:p>
              </w:tc>
              <w:tc>
                <w:tcPr>
                  <w:tcW w:w="2032" w:type="pct"/>
                  <w:tcBorders>
                    <w:tl2br w:val="nil"/>
                    <w:tr2bl w:val="nil"/>
                  </w:tcBorders>
                  <w:noWrap w:val="0"/>
                  <w:vAlign w:val="center"/>
                </w:tcPr>
                <w:p w14:paraId="2AB0D6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本项目位于无锡市新吴区净慧东道196号F楼2楼，</w:t>
                  </w:r>
                  <w:r>
                    <w:rPr>
                      <w:rFonts w:hint="eastAsia" w:ascii="Times New Roman" w:hAnsi="Times New Roman" w:eastAsia="宋体" w:cs="Times New Roman"/>
                      <w:color w:val="auto"/>
                      <w:sz w:val="21"/>
                      <w:szCs w:val="21"/>
                      <w:highlight w:val="none"/>
                      <w:vertAlign w:val="baseline"/>
                      <w:lang w:val="en-US" w:eastAsia="zh-CN"/>
                    </w:rPr>
                    <w:t>属于核心监控区内的建成区，</w:t>
                  </w:r>
                  <w:r>
                    <w:rPr>
                      <w:rFonts w:hint="default" w:ascii="Times New Roman" w:hAnsi="Times New Roman" w:eastAsia="宋体" w:cs="Times New Roman"/>
                      <w:color w:val="auto"/>
                      <w:sz w:val="21"/>
                      <w:szCs w:val="21"/>
                      <w:highlight w:val="none"/>
                      <w:vertAlign w:val="baseline"/>
                      <w:lang w:val="en-US" w:eastAsia="zh-CN"/>
                    </w:rPr>
                    <w:t>不在生态红线区域范围、饮用水水源保护区、自然保护区、风景名胜区以及法律法规禁止占用的区域。</w:t>
                  </w:r>
                </w:p>
              </w:tc>
              <w:tc>
                <w:tcPr>
                  <w:tcW w:w="526" w:type="pct"/>
                  <w:tcBorders>
                    <w:tl2br w:val="nil"/>
                    <w:tr2bl w:val="nil"/>
                  </w:tcBorders>
                  <w:noWrap w:val="0"/>
                  <w:vAlign w:val="center"/>
                </w:tcPr>
                <w:p w14:paraId="0CA3FF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bl>
          <w:p w14:paraId="203052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2" w:firstLineChars="200"/>
              <w:jc w:val="center"/>
              <w:textAlignment w:val="auto"/>
              <w:rPr>
                <w:rFonts w:hint="default" w:ascii="Times New Roman" w:hAnsi="Times New Roman" w:eastAsia="宋体" w:cs="Times New Roman"/>
                <w:b/>
                <w:bCs/>
                <w:color w:val="auto"/>
                <w:sz w:val="24"/>
                <w:szCs w:val="24"/>
                <w:highlight w:val="none"/>
              </w:rPr>
            </w:pPr>
          </w:p>
          <w:p w14:paraId="185AB5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2" w:firstLineChars="20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表1-</w:t>
            </w:r>
            <w:r>
              <w:rPr>
                <w:rFonts w:hint="eastAsia" w:ascii="Times New Roman" w:hAnsi="Times New Roman" w:eastAsia="宋体"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rPr>
              <w:t xml:space="preserve"> 与</w:t>
            </w:r>
            <w:r>
              <w:rPr>
                <w:rFonts w:hint="default" w:ascii="Times New Roman" w:hAnsi="Times New Roman" w:eastAsia="宋体" w:cs="Times New Roman"/>
                <w:b/>
                <w:bCs/>
                <w:color w:val="auto"/>
                <w:sz w:val="24"/>
                <w:szCs w:val="24"/>
                <w:highlight w:val="none"/>
                <w:lang w:val="en-US" w:eastAsia="zh-CN"/>
              </w:rPr>
              <w:t>锡政规〔2023〕7号</w:t>
            </w:r>
            <w:r>
              <w:rPr>
                <w:rFonts w:hint="default" w:ascii="Times New Roman" w:hAnsi="Times New Roman" w:eastAsia="宋体" w:cs="Times New Roman"/>
                <w:b/>
                <w:bCs/>
                <w:color w:val="auto"/>
                <w:sz w:val="24"/>
                <w:szCs w:val="24"/>
                <w:highlight w:val="none"/>
              </w:rPr>
              <w:t>的相符性分析</w:t>
            </w:r>
          </w:p>
          <w:tbl>
            <w:tblPr>
              <w:tblStyle w:val="26"/>
              <w:tblW w:w="498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6"/>
              <w:gridCol w:w="476"/>
              <w:gridCol w:w="4279"/>
              <w:gridCol w:w="3049"/>
              <w:gridCol w:w="974"/>
            </w:tblGrid>
            <w:tr w14:paraId="725EF0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57" w:type="pct"/>
                  <w:tcBorders>
                    <w:tl2br w:val="nil"/>
                    <w:tr2bl w:val="nil"/>
                  </w:tcBorders>
                  <w:noWrap w:val="0"/>
                  <w:vAlign w:val="center"/>
                </w:tcPr>
                <w:p w14:paraId="0EA80E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项目</w:t>
                  </w:r>
                </w:p>
              </w:tc>
              <w:tc>
                <w:tcPr>
                  <w:tcW w:w="257" w:type="pct"/>
                  <w:tcBorders>
                    <w:tl2br w:val="nil"/>
                    <w:tr2bl w:val="nil"/>
                  </w:tcBorders>
                  <w:noWrap w:val="0"/>
                  <w:vAlign w:val="center"/>
                </w:tcPr>
                <w:p w14:paraId="450778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条款</w:t>
                  </w:r>
                </w:p>
              </w:tc>
              <w:tc>
                <w:tcPr>
                  <w:tcW w:w="2310" w:type="pct"/>
                  <w:tcBorders>
                    <w:tl2br w:val="nil"/>
                    <w:tr2bl w:val="nil"/>
                  </w:tcBorders>
                  <w:noWrap w:val="0"/>
                  <w:vAlign w:val="center"/>
                </w:tcPr>
                <w:p w14:paraId="7F970F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内容</w:t>
                  </w:r>
                </w:p>
              </w:tc>
              <w:tc>
                <w:tcPr>
                  <w:tcW w:w="1646" w:type="pct"/>
                  <w:tcBorders>
                    <w:tl2br w:val="nil"/>
                    <w:tr2bl w:val="nil"/>
                  </w:tcBorders>
                  <w:noWrap w:val="0"/>
                  <w:vAlign w:val="center"/>
                </w:tcPr>
                <w:p w14:paraId="6757AD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rPr>
                    <w:t>本项目</w:t>
                  </w:r>
                  <w:r>
                    <w:rPr>
                      <w:rFonts w:hint="default" w:ascii="Times New Roman" w:hAnsi="Times New Roman" w:eastAsia="宋体" w:cs="Times New Roman"/>
                      <w:b/>
                      <w:bCs/>
                      <w:color w:val="auto"/>
                      <w:sz w:val="21"/>
                      <w:szCs w:val="21"/>
                      <w:highlight w:val="none"/>
                      <w:lang w:eastAsia="zh-CN"/>
                    </w:rPr>
                    <w:t>情况</w:t>
                  </w:r>
                </w:p>
              </w:tc>
              <w:tc>
                <w:tcPr>
                  <w:tcW w:w="526" w:type="pct"/>
                  <w:tcBorders>
                    <w:tl2br w:val="nil"/>
                    <w:tr2bl w:val="nil"/>
                  </w:tcBorders>
                  <w:noWrap w:val="0"/>
                  <w:vAlign w:val="center"/>
                </w:tcPr>
                <w:p w14:paraId="210279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相符性分析</w:t>
                  </w:r>
                </w:p>
              </w:tc>
            </w:tr>
            <w:tr w14:paraId="7BF957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57" w:type="pct"/>
                  <w:tcBorders>
                    <w:tl2br w:val="nil"/>
                    <w:tr2bl w:val="nil"/>
                  </w:tcBorders>
                  <w:noWrap w:val="0"/>
                  <w:vAlign w:val="center"/>
                </w:tcPr>
                <w:p w14:paraId="75F11C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国土空间规划</w:t>
                  </w:r>
                </w:p>
              </w:tc>
              <w:tc>
                <w:tcPr>
                  <w:tcW w:w="257" w:type="pct"/>
                  <w:tcBorders>
                    <w:tl2br w:val="nil"/>
                    <w:tr2bl w:val="nil"/>
                  </w:tcBorders>
                  <w:noWrap w:val="0"/>
                  <w:vAlign w:val="center"/>
                </w:tcPr>
                <w:p w14:paraId="716D6B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第十四条</w:t>
                  </w:r>
                </w:p>
              </w:tc>
              <w:tc>
                <w:tcPr>
                  <w:tcW w:w="2310" w:type="pct"/>
                  <w:tcBorders>
                    <w:tl2br w:val="nil"/>
                    <w:tr2bl w:val="nil"/>
                  </w:tcBorders>
                  <w:noWrap w:val="0"/>
                  <w:vAlign w:val="center"/>
                </w:tcPr>
                <w:p w14:paraId="18CA76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优化空间布局。在国土空间规划中统筹划定永久基本农田、生态保护红线、城镇开发边界，围绕“文化传承、运河兴城”的总体目标，协调好文化遗产保护、生态保护和开发利用与大运河文化保护传承利用的关系，打造大运河综合发展轴，稳定水网空间，拓展绿色廊道，挖掘文化资源，强化河口、河尖节点塑造，优化“生态、生活、生产”三生空间布局，形成兼具经济发展、文化展示、生态产品价值实现与流量储备的复合型区域。</w:t>
                  </w:r>
                </w:p>
              </w:tc>
              <w:tc>
                <w:tcPr>
                  <w:tcW w:w="1646" w:type="pct"/>
                  <w:tcBorders>
                    <w:tl2br w:val="nil"/>
                    <w:tr2bl w:val="nil"/>
                  </w:tcBorders>
                  <w:noWrap w:val="0"/>
                  <w:vAlign w:val="center"/>
                </w:tcPr>
                <w:p w14:paraId="337B12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本项目位于无锡市新吴区净慧东道196号F楼2楼，</w:t>
                  </w:r>
                  <w:r>
                    <w:rPr>
                      <w:rFonts w:hint="default" w:ascii="Times New Roman" w:hAnsi="Times New Roman" w:eastAsia="宋体" w:cs="Times New Roman"/>
                      <w:color w:val="auto"/>
                      <w:sz w:val="21"/>
                      <w:szCs w:val="21"/>
                      <w:highlight w:val="none"/>
                    </w:rPr>
                    <w:t>项目所在地规划为“生产研发用地</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科研设计用地”</w:t>
                  </w: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不占用生态红线</w:t>
                  </w: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永久基本农田；本项目行业类别为[</w:t>
                  </w:r>
                  <w:r>
                    <w:rPr>
                      <w:rFonts w:hint="eastAsia" w:ascii="Times New Roman" w:hAnsi="Times New Roman" w:eastAsia="宋体" w:cs="Times New Roman"/>
                      <w:color w:val="auto"/>
                      <w:sz w:val="21"/>
                      <w:szCs w:val="21"/>
                      <w:highlight w:val="none"/>
                      <w:vertAlign w:val="baseline"/>
                      <w:lang w:val="en-US" w:eastAsia="zh-CN"/>
                    </w:rPr>
                    <w:t>M7340</w:t>
                  </w:r>
                  <w:r>
                    <w:rPr>
                      <w:rFonts w:hint="default" w:ascii="Times New Roman" w:hAnsi="Times New Roman" w:eastAsia="宋体"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医学研究和试验发展</w:t>
                  </w:r>
                  <w:r>
                    <w:rPr>
                      <w:rFonts w:hint="default" w:ascii="Times New Roman" w:hAnsi="Times New Roman" w:eastAsia="宋体" w:cs="Times New Roman"/>
                      <w:color w:val="auto"/>
                      <w:sz w:val="21"/>
                      <w:szCs w:val="21"/>
                      <w:highlight w:val="none"/>
                      <w:vertAlign w:val="baseline"/>
                      <w:lang w:val="en-US" w:eastAsia="zh-CN"/>
                    </w:rPr>
                    <w:t>，</w:t>
                  </w:r>
                  <w:r>
                    <w:rPr>
                      <w:rFonts w:hint="eastAsia" w:ascii="Times New Roman" w:hAnsi="Times New Roman" w:eastAsia="宋体"/>
                      <w:color w:val="auto"/>
                      <w:sz w:val="21"/>
                      <w:szCs w:val="21"/>
                      <w:highlight w:val="none"/>
                      <w:lang w:val="en-US" w:eastAsia="zh-CN"/>
                    </w:rPr>
                    <w:t>引进、购置国内外先进实验设施，针对小分子抗肿瘤药进行早期小试研发，建成后可年产化合物测试500个</w:t>
                  </w:r>
                  <w:r>
                    <w:rPr>
                      <w:rFonts w:hint="eastAsia" w:ascii="Times New Roman" w:hAnsi="Times New Roman" w:eastAsia="宋体"/>
                      <w:color w:val="auto"/>
                      <w:sz w:val="21"/>
                      <w:szCs w:val="21"/>
                      <w:highlight w:val="none"/>
                    </w:rPr>
                    <w:t>，</w:t>
                  </w:r>
                  <w:r>
                    <w:rPr>
                      <w:rFonts w:hint="default" w:ascii="Times New Roman" w:hAnsi="Times New Roman" w:eastAsia="宋体" w:cs="Times New Roman"/>
                      <w:color w:val="auto"/>
                      <w:sz w:val="21"/>
                      <w:szCs w:val="21"/>
                      <w:highlight w:val="none"/>
                      <w:vertAlign w:val="baseline"/>
                      <w:lang w:val="en-US" w:eastAsia="zh-CN"/>
                    </w:rPr>
                    <w:t>属于自主创新的高科技产业，符合无锡（太湖）国际科技园的产业定位</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vertAlign w:val="baseline"/>
                      <w:lang w:val="en-US" w:eastAsia="zh-CN"/>
                    </w:rPr>
                    <w:t>符合产业政策要求，满足运河沿线产业布局要求。</w:t>
                  </w:r>
                </w:p>
              </w:tc>
              <w:tc>
                <w:tcPr>
                  <w:tcW w:w="526" w:type="pct"/>
                  <w:tcBorders>
                    <w:tl2br w:val="nil"/>
                    <w:tr2bl w:val="nil"/>
                  </w:tcBorders>
                  <w:noWrap w:val="0"/>
                  <w:vAlign w:val="center"/>
                </w:tcPr>
                <w:p w14:paraId="085C6B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0FB9D1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57" w:type="pct"/>
                  <w:vMerge w:val="restart"/>
                  <w:tcBorders>
                    <w:tl2br w:val="nil"/>
                    <w:tr2bl w:val="nil"/>
                  </w:tcBorders>
                  <w:noWrap w:val="0"/>
                  <w:vAlign w:val="center"/>
                </w:tcPr>
                <w:p w14:paraId="026AE7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国土空间准入</w:t>
                  </w:r>
                </w:p>
              </w:tc>
              <w:tc>
                <w:tcPr>
                  <w:tcW w:w="257" w:type="pct"/>
                  <w:tcBorders>
                    <w:tl2br w:val="nil"/>
                    <w:tr2bl w:val="nil"/>
                  </w:tcBorders>
                  <w:noWrap w:val="0"/>
                  <w:vAlign w:val="center"/>
                </w:tcPr>
                <w:p w14:paraId="44D346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第十六条</w:t>
                  </w:r>
                </w:p>
              </w:tc>
              <w:tc>
                <w:tcPr>
                  <w:tcW w:w="2310" w:type="pct"/>
                  <w:tcBorders>
                    <w:tl2br w:val="nil"/>
                    <w:tr2bl w:val="nil"/>
                  </w:tcBorders>
                  <w:noWrap w:val="0"/>
                  <w:vAlign w:val="center"/>
                </w:tcPr>
                <w:p w14:paraId="4948C1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严格准入管理。实行国土空间准入正（负）面清单管理制度，严禁不符合主体功能定位的各类开发活动。</w:t>
                  </w:r>
                </w:p>
              </w:tc>
              <w:tc>
                <w:tcPr>
                  <w:tcW w:w="1646" w:type="pct"/>
                  <w:tcBorders>
                    <w:tl2br w:val="nil"/>
                    <w:tr2bl w:val="nil"/>
                  </w:tcBorders>
                  <w:noWrap w:val="0"/>
                  <w:vAlign w:val="center"/>
                </w:tcPr>
                <w:p w14:paraId="4A8BBB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本项目位于无锡市新吴区净慧东道196号F楼2楼，经对照</w:t>
                  </w:r>
                  <w:r>
                    <w:rPr>
                      <w:rFonts w:hint="eastAsia" w:ascii="Times New Roman" w:hAnsi="Times New Roman" w:eastAsia="宋体" w:cs="Times New Roman"/>
                      <w:color w:val="auto"/>
                      <w:sz w:val="21"/>
                      <w:szCs w:val="21"/>
                      <w:highlight w:val="none"/>
                      <w:lang w:val="en-US" w:eastAsia="zh-CN"/>
                    </w:rPr>
                    <w:t>符合</w:t>
                  </w:r>
                  <w:r>
                    <w:rPr>
                      <w:rFonts w:hint="default" w:ascii="Times New Roman" w:hAnsi="Times New Roman" w:eastAsia="宋体" w:cs="Times New Roman"/>
                      <w:color w:val="auto"/>
                      <w:sz w:val="21"/>
                      <w:szCs w:val="21"/>
                      <w:highlight w:val="none"/>
                      <w:vertAlign w:val="baseline"/>
                      <w:lang w:val="en-US" w:eastAsia="zh-CN"/>
                    </w:rPr>
                    <w:t>无锡（太湖）国际科技园</w:t>
                  </w:r>
                  <w:r>
                    <w:rPr>
                      <w:rFonts w:hint="eastAsia" w:ascii="Times New Roman" w:hAnsi="Times New Roman" w:eastAsia="宋体" w:cs="Times New Roman"/>
                      <w:color w:val="auto"/>
                      <w:sz w:val="21"/>
                      <w:szCs w:val="21"/>
                      <w:highlight w:val="none"/>
                      <w:vertAlign w:val="baseline"/>
                      <w:lang w:val="en-US" w:eastAsia="zh-CN"/>
                    </w:rPr>
                    <w:t>的</w:t>
                  </w:r>
                  <w:r>
                    <w:rPr>
                      <w:rFonts w:hint="default" w:ascii="Times New Roman" w:hAnsi="Times New Roman" w:eastAsia="宋体" w:cs="Times New Roman"/>
                      <w:color w:val="auto"/>
                      <w:sz w:val="21"/>
                      <w:szCs w:val="21"/>
                      <w:highlight w:val="none"/>
                      <w:vertAlign w:val="baseline"/>
                      <w:lang w:val="en-US" w:eastAsia="zh-CN"/>
                    </w:rPr>
                    <w:t>产业定位</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vertAlign w:val="baseline"/>
                      <w:lang w:val="en-US" w:eastAsia="zh-CN"/>
                    </w:rPr>
                    <w:t>符合产业政策要求，满足运河沿线产业布局要求。</w:t>
                  </w:r>
                </w:p>
              </w:tc>
              <w:tc>
                <w:tcPr>
                  <w:tcW w:w="526" w:type="pct"/>
                  <w:tcBorders>
                    <w:tl2br w:val="nil"/>
                    <w:tr2bl w:val="nil"/>
                  </w:tcBorders>
                  <w:noWrap w:val="0"/>
                  <w:vAlign w:val="center"/>
                </w:tcPr>
                <w:p w14:paraId="031EFB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71263E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57" w:type="pct"/>
                  <w:vMerge w:val="continue"/>
                  <w:tcBorders>
                    <w:tl2br w:val="nil"/>
                    <w:tr2bl w:val="nil"/>
                  </w:tcBorders>
                  <w:noWrap w:val="0"/>
                  <w:vAlign w:val="center"/>
                </w:tcPr>
                <w:p w14:paraId="308E5C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57" w:type="pct"/>
                  <w:tcBorders>
                    <w:tl2br w:val="nil"/>
                    <w:tr2bl w:val="nil"/>
                  </w:tcBorders>
                  <w:noWrap w:val="0"/>
                  <w:vAlign w:val="center"/>
                </w:tcPr>
                <w:p w14:paraId="05C635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第</w:t>
                  </w:r>
                  <w:r>
                    <w:rPr>
                      <w:rFonts w:hint="eastAsia" w:ascii="Times New Roman" w:hAnsi="Times New Roman" w:eastAsia="宋体" w:cs="Times New Roman"/>
                      <w:color w:val="auto"/>
                      <w:sz w:val="21"/>
                      <w:szCs w:val="21"/>
                      <w:highlight w:val="none"/>
                      <w:vertAlign w:val="baseline"/>
                      <w:lang w:val="en-US" w:eastAsia="zh-CN"/>
                    </w:rPr>
                    <w:t>十八</w:t>
                  </w:r>
                  <w:r>
                    <w:rPr>
                      <w:rFonts w:hint="default" w:ascii="Times New Roman" w:hAnsi="Times New Roman" w:eastAsia="宋体" w:cs="Times New Roman"/>
                      <w:color w:val="auto"/>
                      <w:sz w:val="21"/>
                      <w:szCs w:val="21"/>
                      <w:highlight w:val="none"/>
                      <w:vertAlign w:val="baseline"/>
                      <w:lang w:val="en-US" w:eastAsia="zh-CN"/>
                    </w:rPr>
                    <w:t>条</w:t>
                  </w:r>
                </w:p>
              </w:tc>
              <w:tc>
                <w:tcPr>
                  <w:tcW w:w="2310" w:type="pct"/>
                  <w:tcBorders>
                    <w:tl2br w:val="nil"/>
                    <w:tr2bl w:val="nil"/>
                  </w:tcBorders>
                  <w:noWrap w:val="0"/>
                  <w:vAlign w:val="center"/>
                </w:tcPr>
                <w:p w14:paraId="708992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建成区准入。建成区内，严禁实施不符合产业政策、规划和管制要求的建设项目：</w:t>
                  </w:r>
                </w:p>
                <w:p w14:paraId="593B05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一）老城传统风貌区指世界文化遗产中国大运河遗产区范围和历史文化街区、历史风貌区的保护范围，具体包括京杭大运河—江南运河无锡城区段世界文化遗产区，清名桥沿河历史文化街区、惠山古镇历史文化街区及小娄巷历史文化街区的核心保护范围，蓉湖浜、西水关等历史风貌区的保护范围等</w:t>
                  </w:r>
                  <w:r>
                    <w:rPr>
                      <w:rFonts w:hint="eastAsia" w:ascii="Times New Roman" w:hAnsi="Times New Roman" w:eastAsia="宋体" w:cs="Times New Roman"/>
                      <w:color w:val="auto"/>
                      <w:sz w:val="21"/>
                      <w:szCs w:val="21"/>
                      <w:highlight w:val="none"/>
                      <w:vertAlign w:val="baseline"/>
                      <w:lang w:val="en-US" w:eastAsia="zh-CN"/>
                    </w:rPr>
                    <w:t>。</w:t>
                  </w:r>
                </w:p>
                <w:p w14:paraId="7229C1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老城传统风貌区改造应加强建筑高度管控，开展建筑高度影响分析，新建建筑按照高层禁建区管理，落实限高、限密度的具体要求。老城传统风貌区内限制各类用地调整为大型的商业、商务办公、住宅商品房、仓储物流设施等项目用地。确需调整的，应征求文物保护、生态环境、住房城乡建设等相关主管部门意见</w:t>
                  </w:r>
                  <w:r>
                    <w:rPr>
                      <w:rFonts w:hint="eastAsia" w:ascii="Times New Roman" w:hAnsi="Times New Roman" w:eastAsia="宋体" w:cs="Times New Roman"/>
                      <w:color w:val="auto"/>
                      <w:sz w:val="21"/>
                      <w:szCs w:val="21"/>
                      <w:highlight w:val="none"/>
                      <w:vertAlign w:val="baseline"/>
                      <w:lang w:val="en-US" w:eastAsia="zh-CN"/>
                    </w:rPr>
                    <w:t>。</w:t>
                  </w:r>
                </w:p>
                <w:p w14:paraId="6D885A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二</w:t>
                  </w:r>
                  <w:r>
                    <w:rPr>
                      <w:rFonts w:hint="default" w:ascii="Times New Roman" w:hAnsi="Times New Roman" w:eastAsia="宋体" w:cs="Times New Roman"/>
                      <w:color w:val="auto"/>
                      <w:sz w:val="21"/>
                      <w:szCs w:val="21"/>
                      <w:highlight w:val="none"/>
                      <w:vertAlign w:val="baseline"/>
                      <w:lang w:val="en-US" w:eastAsia="zh-CN"/>
                    </w:rPr>
                    <w:t>）大运河遗产保护区，包含世界文化遗产中国大运河遗产区、缓冲区以及全国重点文物保护单位大运河保护范围等，应按照《中华人民共和国文物保护法》《大运河遗产保护管理办法》等相关法律法规及相关规划进行管理</w:t>
                  </w:r>
                  <w:r>
                    <w:rPr>
                      <w:rFonts w:hint="eastAsia" w:ascii="Times New Roman" w:hAnsi="Times New Roman" w:eastAsia="宋体" w:cs="Times New Roman"/>
                      <w:color w:val="auto"/>
                      <w:sz w:val="21"/>
                      <w:szCs w:val="21"/>
                      <w:highlight w:val="none"/>
                      <w:vertAlign w:val="baseline"/>
                      <w:lang w:val="en-US" w:eastAsia="zh-CN"/>
                    </w:rPr>
                    <w:t>。</w:t>
                  </w:r>
                </w:p>
              </w:tc>
              <w:tc>
                <w:tcPr>
                  <w:tcW w:w="1646" w:type="pct"/>
                  <w:tcBorders>
                    <w:tl2br w:val="nil"/>
                    <w:tr2bl w:val="nil"/>
                  </w:tcBorders>
                  <w:noWrap w:val="0"/>
                  <w:vAlign w:val="center"/>
                </w:tcPr>
                <w:p w14:paraId="58B25A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本项目位于无锡市新吴区净慧东道196号F楼2楼，</w:t>
                  </w:r>
                  <w:r>
                    <w:rPr>
                      <w:rFonts w:hint="eastAsia" w:ascii="Times New Roman" w:hAnsi="Times New Roman" w:eastAsia="宋体" w:cs="Times New Roman"/>
                      <w:color w:val="auto"/>
                      <w:sz w:val="21"/>
                      <w:szCs w:val="21"/>
                      <w:highlight w:val="none"/>
                      <w:vertAlign w:val="baseline"/>
                      <w:lang w:val="en-US" w:eastAsia="zh-CN"/>
                    </w:rPr>
                    <w:t>属于核心监控区内的建成区，</w:t>
                  </w:r>
                  <w:r>
                    <w:rPr>
                      <w:rFonts w:hint="default" w:ascii="Times New Roman" w:hAnsi="Times New Roman" w:eastAsia="宋体" w:cs="Times New Roman"/>
                      <w:color w:val="auto"/>
                      <w:sz w:val="21"/>
                      <w:szCs w:val="21"/>
                      <w:highlight w:val="none"/>
                      <w:vertAlign w:val="baseline"/>
                      <w:lang w:val="en-US" w:eastAsia="zh-CN"/>
                    </w:rPr>
                    <w:t>行业类别为[</w:t>
                  </w:r>
                  <w:r>
                    <w:rPr>
                      <w:rFonts w:hint="eastAsia" w:ascii="Times New Roman" w:hAnsi="Times New Roman" w:eastAsia="宋体" w:cs="Times New Roman"/>
                      <w:color w:val="auto"/>
                      <w:sz w:val="21"/>
                      <w:szCs w:val="21"/>
                      <w:highlight w:val="none"/>
                      <w:vertAlign w:val="baseline"/>
                      <w:lang w:val="en-US" w:eastAsia="zh-CN"/>
                    </w:rPr>
                    <w:t>M7340</w:t>
                  </w:r>
                  <w:r>
                    <w:rPr>
                      <w:rFonts w:hint="default" w:ascii="Times New Roman" w:hAnsi="Times New Roman" w:eastAsia="宋体"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医学研究和试验发展</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经</w:t>
                  </w:r>
                  <w:r>
                    <w:rPr>
                      <w:rFonts w:hint="default" w:ascii="Times New Roman" w:hAnsi="Times New Roman" w:eastAsia="宋体" w:cs="Times New Roman"/>
                      <w:color w:val="auto"/>
                      <w:sz w:val="21"/>
                      <w:szCs w:val="21"/>
                      <w:highlight w:val="none"/>
                      <w:lang w:val="en-US" w:eastAsia="zh-CN"/>
                    </w:rPr>
                    <w:t>对照符合国家和地方产业政策要求</w:t>
                  </w:r>
                  <w:r>
                    <w:rPr>
                      <w:rFonts w:hint="eastAsia" w:ascii="Times New Roman" w:hAnsi="Times New Roman" w:eastAsia="宋体" w:cs="Times New Roman"/>
                      <w:color w:val="auto"/>
                      <w:sz w:val="21"/>
                      <w:szCs w:val="21"/>
                      <w:highlight w:val="none"/>
                      <w:lang w:val="en-US" w:eastAsia="zh-CN"/>
                    </w:rPr>
                    <w:t>，符合用地规划</w:t>
                  </w:r>
                  <w:r>
                    <w:rPr>
                      <w:rFonts w:hint="default" w:ascii="Times New Roman" w:hAnsi="Times New Roman" w:eastAsia="宋体" w:cs="Times New Roman"/>
                      <w:color w:val="auto"/>
                      <w:sz w:val="21"/>
                      <w:szCs w:val="21"/>
                      <w:highlight w:val="none"/>
                      <w:lang w:val="en-US" w:eastAsia="zh-CN"/>
                    </w:rPr>
                    <w:t>；此外，项目</w:t>
                  </w:r>
                  <w:r>
                    <w:rPr>
                      <w:rFonts w:hint="eastAsia" w:ascii="Times New Roman" w:hAnsi="Times New Roman" w:eastAsia="宋体" w:cs="Times New Roman"/>
                      <w:color w:val="auto"/>
                      <w:sz w:val="21"/>
                      <w:szCs w:val="21"/>
                      <w:highlight w:val="none"/>
                      <w:lang w:val="en-US" w:eastAsia="zh-CN"/>
                    </w:rPr>
                    <w:t>符合</w:t>
                  </w:r>
                  <w:r>
                    <w:rPr>
                      <w:rFonts w:hint="default" w:ascii="Times New Roman" w:hAnsi="Times New Roman" w:eastAsia="宋体" w:cs="Times New Roman"/>
                      <w:color w:val="auto"/>
                      <w:sz w:val="21"/>
                      <w:szCs w:val="21"/>
                      <w:highlight w:val="none"/>
                      <w:vertAlign w:val="baseline"/>
                      <w:lang w:val="en-US" w:eastAsia="zh-CN"/>
                    </w:rPr>
                    <w:t>无锡（太湖）国际科技园</w:t>
                  </w:r>
                  <w:r>
                    <w:rPr>
                      <w:rFonts w:hint="eastAsia" w:ascii="Times New Roman" w:hAnsi="Times New Roman" w:eastAsia="宋体" w:cs="Times New Roman"/>
                      <w:color w:val="auto"/>
                      <w:sz w:val="21"/>
                      <w:szCs w:val="21"/>
                      <w:highlight w:val="none"/>
                      <w:vertAlign w:val="baseline"/>
                      <w:lang w:val="en-US" w:eastAsia="zh-CN"/>
                    </w:rPr>
                    <w:t>的</w:t>
                  </w:r>
                  <w:r>
                    <w:rPr>
                      <w:rFonts w:hint="default" w:ascii="Times New Roman" w:hAnsi="Times New Roman" w:eastAsia="宋体" w:cs="Times New Roman"/>
                      <w:color w:val="auto"/>
                      <w:sz w:val="21"/>
                      <w:szCs w:val="21"/>
                      <w:highlight w:val="none"/>
                      <w:vertAlign w:val="baseline"/>
                      <w:lang w:val="en-US" w:eastAsia="zh-CN"/>
                    </w:rPr>
                    <w:t>产业定位</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项目不涉及</w:t>
                  </w:r>
                  <w:r>
                    <w:rPr>
                      <w:rFonts w:hint="default" w:ascii="Times New Roman" w:hAnsi="Times New Roman" w:eastAsia="宋体" w:cs="Times New Roman"/>
                      <w:color w:val="auto"/>
                      <w:sz w:val="21"/>
                      <w:szCs w:val="21"/>
                      <w:highlight w:val="none"/>
                      <w:vertAlign w:val="baseline"/>
                      <w:lang w:val="en-US" w:eastAsia="zh-CN"/>
                    </w:rPr>
                    <w:t>老城传统风貌区</w:t>
                  </w:r>
                  <w:r>
                    <w:rPr>
                      <w:rFonts w:hint="eastAsia" w:ascii="Times New Roman" w:hAnsi="Times New Roman" w:eastAsia="宋体" w:cs="Times New Roman"/>
                      <w:color w:val="auto"/>
                      <w:sz w:val="21"/>
                      <w:szCs w:val="21"/>
                      <w:highlight w:val="none"/>
                      <w:vertAlign w:val="baseline"/>
                      <w:lang w:val="en-US" w:eastAsia="zh-CN"/>
                    </w:rPr>
                    <w:t>及</w:t>
                  </w:r>
                  <w:r>
                    <w:rPr>
                      <w:rFonts w:hint="default" w:ascii="Times New Roman" w:hAnsi="Times New Roman" w:eastAsia="宋体" w:cs="Times New Roman"/>
                      <w:color w:val="auto"/>
                      <w:sz w:val="21"/>
                      <w:szCs w:val="21"/>
                      <w:highlight w:val="none"/>
                      <w:vertAlign w:val="baseline"/>
                      <w:lang w:val="en-US" w:eastAsia="zh-CN"/>
                    </w:rPr>
                    <w:t>大运河遗产保护区</w:t>
                  </w:r>
                  <w:r>
                    <w:rPr>
                      <w:rFonts w:hint="eastAsia" w:ascii="Times New Roman" w:hAnsi="Times New Roman" w:eastAsia="宋体" w:cs="Times New Roman"/>
                      <w:color w:val="auto"/>
                      <w:sz w:val="21"/>
                      <w:szCs w:val="21"/>
                      <w:highlight w:val="none"/>
                      <w:vertAlign w:val="baseline"/>
                      <w:lang w:val="en-US" w:eastAsia="zh-CN"/>
                    </w:rPr>
                    <w:t>。</w:t>
                  </w:r>
                </w:p>
              </w:tc>
              <w:tc>
                <w:tcPr>
                  <w:tcW w:w="526" w:type="pct"/>
                  <w:tcBorders>
                    <w:tl2br w:val="nil"/>
                    <w:tr2bl w:val="nil"/>
                  </w:tcBorders>
                  <w:noWrap w:val="0"/>
                  <w:vAlign w:val="center"/>
                </w:tcPr>
                <w:p w14:paraId="0FFE32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符合</w:t>
                  </w:r>
                </w:p>
              </w:tc>
            </w:tr>
            <w:tr w14:paraId="372E03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57" w:type="pct"/>
                  <w:vMerge w:val="continue"/>
                  <w:tcBorders>
                    <w:tl2br w:val="nil"/>
                    <w:tr2bl w:val="nil"/>
                  </w:tcBorders>
                  <w:noWrap w:val="0"/>
                  <w:vAlign w:val="center"/>
                </w:tcPr>
                <w:p w14:paraId="5925EE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57" w:type="pct"/>
                  <w:tcBorders>
                    <w:tl2br w:val="nil"/>
                    <w:tr2bl w:val="nil"/>
                  </w:tcBorders>
                  <w:noWrap w:val="0"/>
                  <w:vAlign w:val="center"/>
                </w:tcPr>
                <w:p w14:paraId="7C884F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pacing w:val="-4"/>
                      <w:sz w:val="21"/>
                      <w:szCs w:val="21"/>
                      <w:highlight w:val="none"/>
                    </w:rPr>
                    <w:t>第</w:t>
                  </w:r>
                  <w:r>
                    <w:rPr>
                      <w:rFonts w:hint="default" w:ascii="Times New Roman" w:hAnsi="Times New Roman" w:eastAsia="宋体" w:cs="Times New Roman"/>
                      <w:color w:val="auto"/>
                      <w:spacing w:val="-4"/>
                      <w:sz w:val="21"/>
                      <w:szCs w:val="21"/>
                      <w:highlight w:val="none"/>
                      <w:lang w:eastAsia="zh-CN"/>
                    </w:rPr>
                    <w:t>二十三</w:t>
                  </w:r>
                  <w:r>
                    <w:rPr>
                      <w:rFonts w:hint="default" w:ascii="Times New Roman" w:hAnsi="Times New Roman" w:eastAsia="宋体" w:cs="Times New Roman"/>
                      <w:color w:val="auto"/>
                      <w:spacing w:val="-4"/>
                      <w:sz w:val="21"/>
                      <w:szCs w:val="21"/>
                      <w:highlight w:val="none"/>
                    </w:rPr>
                    <w:t>条</w:t>
                  </w:r>
                </w:p>
              </w:tc>
              <w:tc>
                <w:tcPr>
                  <w:tcW w:w="2310" w:type="pct"/>
                  <w:tcBorders>
                    <w:tl2br w:val="nil"/>
                    <w:tr2bl w:val="nil"/>
                  </w:tcBorders>
                  <w:noWrap w:val="0"/>
                  <w:vAlign w:val="center"/>
                </w:tcPr>
                <w:p w14:paraId="50DF55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严格落实生态保护红线管理。江苏无锡惠山国家森林公园、江苏无锡太湖大溪港省级湿地公园、太湖（无锡市区）重要湿地等生态保护红线内的区域，在符合现行法律法规前提下，除国家重大战略项目外，仅允许对生态功能不造成破坏的有限人为活动，具体准入情形依据《中共中央办公厅国务院办公厅印发〈关于在国土空间规划中统筹划定落实三条控制线的指导意见〉的通知》（厅字〔2019〕48号）执行，国家出台生态保护红线相关法律法规后，按其执行。自然保护地核心保护区原则上禁止人为活动，其他区域严格禁止开发性、生产性建设活动。</w:t>
                  </w:r>
                </w:p>
              </w:tc>
              <w:tc>
                <w:tcPr>
                  <w:tcW w:w="1646" w:type="pct"/>
                  <w:tcBorders>
                    <w:tl2br w:val="nil"/>
                    <w:tr2bl w:val="nil"/>
                  </w:tcBorders>
                  <w:noWrap w:val="0"/>
                  <w:vAlign w:val="center"/>
                </w:tcPr>
                <w:p w14:paraId="17E47F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本项目位于无锡市新吴区净慧东道196号F楼2楼，不在江苏无锡惠山国家森林公园、江苏无锡太湖大溪港省级湿地公园、太湖（无锡市区）重要湿地等生态保护红线内。</w:t>
                  </w:r>
                </w:p>
              </w:tc>
              <w:tc>
                <w:tcPr>
                  <w:tcW w:w="526" w:type="pct"/>
                  <w:tcBorders>
                    <w:tl2br w:val="nil"/>
                    <w:tr2bl w:val="nil"/>
                  </w:tcBorders>
                  <w:noWrap w:val="0"/>
                  <w:vAlign w:val="center"/>
                </w:tcPr>
                <w:p w14:paraId="4BC68D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038E25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57" w:type="pct"/>
                  <w:vMerge w:val="continue"/>
                  <w:tcBorders>
                    <w:tl2br w:val="nil"/>
                    <w:tr2bl w:val="nil"/>
                  </w:tcBorders>
                  <w:noWrap w:val="0"/>
                  <w:vAlign w:val="center"/>
                </w:tcPr>
                <w:p w14:paraId="167486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57" w:type="pct"/>
                  <w:tcBorders>
                    <w:tl2br w:val="nil"/>
                    <w:tr2bl w:val="nil"/>
                  </w:tcBorders>
                  <w:noWrap w:val="0"/>
                  <w:vAlign w:val="center"/>
                </w:tcPr>
                <w:p w14:paraId="481651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4"/>
                      <w:sz w:val="21"/>
                      <w:szCs w:val="21"/>
                      <w:highlight w:val="none"/>
                      <w:lang w:eastAsia="zh-CN"/>
                    </w:rPr>
                  </w:pPr>
                  <w:r>
                    <w:rPr>
                      <w:rFonts w:hint="default" w:ascii="Times New Roman" w:hAnsi="Times New Roman" w:eastAsia="宋体" w:cs="Times New Roman"/>
                      <w:color w:val="auto"/>
                      <w:spacing w:val="-4"/>
                      <w:sz w:val="21"/>
                      <w:szCs w:val="21"/>
                      <w:highlight w:val="none"/>
                      <w:lang w:eastAsia="zh-CN"/>
                    </w:rPr>
                    <w:t>第二十四条</w:t>
                  </w:r>
                </w:p>
              </w:tc>
              <w:tc>
                <w:tcPr>
                  <w:tcW w:w="2310" w:type="pct"/>
                  <w:tcBorders>
                    <w:tl2br w:val="nil"/>
                    <w:tr2bl w:val="nil"/>
                  </w:tcBorders>
                  <w:noWrap w:val="0"/>
                  <w:vAlign w:val="center"/>
                </w:tcPr>
                <w:p w14:paraId="342F2B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严格落实生态空间管控区域管理。望虞河（无锡市区）清水通道维护区、太湖（无锡市区）重要保护区、无锡太湖大溪港省级湿地公园等生态空间管控区域，应严格按照生态空间管控区域的相关文件要求进行管控，以生态保护为重点，原则上不得开展有损主导生态功能的开发建设活动，不得随意占用和调整。</w:t>
                  </w:r>
                </w:p>
              </w:tc>
              <w:tc>
                <w:tcPr>
                  <w:tcW w:w="1646" w:type="pct"/>
                  <w:tcBorders>
                    <w:tl2br w:val="nil"/>
                    <w:tr2bl w:val="nil"/>
                  </w:tcBorders>
                  <w:noWrap w:val="0"/>
                  <w:vAlign w:val="center"/>
                </w:tcPr>
                <w:p w14:paraId="26DA1E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本项目位于无锡市新吴区净慧东道196号F楼2楼，不在望虞河（无锡市区）清水通道维护区、太湖（无锡市区）重要保护区、无锡太湖大溪港省级湿地公园等生态空间管控区域内。</w:t>
                  </w:r>
                </w:p>
              </w:tc>
              <w:tc>
                <w:tcPr>
                  <w:tcW w:w="526" w:type="pct"/>
                  <w:tcBorders>
                    <w:tl2br w:val="nil"/>
                    <w:tr2bl w:val="nil"/>
                  </w:tcBorders>
                  <w:noWrap w:val="0"/>
                  <w:vAlign w:val="center"/>
                </w:tcPr>
                <w:p w14:paraId="1A84E7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bl>
          <w:p w14:paraId="5860B961">
            <w:pPr>
              <w:keepNext w:val="0"/>
              <w:keepLines w:val="0"/>
              <w:pageBreakBefore w:val="0"/>
              <w:widowControl w:val="0"/>
              <w:suppressLineNumbers w:val="0"/>
              <w:kinsoku/>
              <w:wordWrap/>
              <w:overflowPunct/>
              <w:topLinePunct w:val="0"/>
              <w:autoSpaceDE/>
              <w:autoSpaceDN/>
              <w:bidi w:val="0"/>
              <w:adjustRightInd/>
              <w:snapToGrid w:val="0"/>
              <w:spacing w:before="157" w:beforeLines="5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eastAsia="zh-CN"/>
              </w:rPr>
              <w:t>综上，</w:t>
            </w:r>
            <w:r>
              <w:rPr>
                <w:rFonts w:hint="default" w:ascii="Times New Roman" w:hAnsi="Times New Roman" w:eastAsia="宋体" w:cs="Times New Roman"/>
                <w:b w:val="0"/>
                <w:bCs/>
                <w:color w:val="auto"/>
                <w:sz w:val="24"/>
                <w:szCs w:val="24"/>
                <w:highlight w:val="none"/>
              </w:rPr>
              <w:t>本项目符合</w:t>
            </w:r>
            <w:r>
              <w:rPr>
                <w:rFonts w:hint="default" w:ascii="Times New Roman" w:hAnsi="Times New Roman" w:eastAsia="宋体" w:cs="Times New Roman"/>
                <w:color w:val="auto"/>
                <w:sz w:val="24"/>
                <w:szCs w:val="20"/>
                <w:highlight w:val="none"/>
              </w:rPr>
              <w:t>《大运河江苏段核心监控区国土空间管控暂行办法》（苏政发</w:t>
            </w:r>
            <w:r>
              <w:rPr>
                <w:rFonts w:hint="default" w:ascii="Times New Roman" w:hAnsi="Times New Roman" w:eastAsia="宋体" w:cs="Times New Roman"/>
                <w:color w:val="auto"/>
                <w:sz w:val="24"/>
                <w:szCs w:val="20"/>
                <w:highlight w:val="none"/>
                <w:lang w:val="en-US" w:eastAsia="zh-CN"/>
              </w:rPr>
              <w:t>〔2021〕</w:t>
            </w:r>
            <w:r>
              <w:rPr>
                <w:rFonts w:hint="default" w:ascii="Times New Roman" w:hAnsi="Times New Roman" w:eastAsia="宋体" w:cs="Times New Roman"/>
                <w:color w:val="auto"/>
                <w:sz w:val="24"/>
                <w:szCs w:val="20"/>
                <w:highlight w:val="none"/>
              </w:rPr>
              <w:t>20号）</w:t>
            </w:r>
            <w:r>
              <w:rPr>
                <w:rFonts w:hint="eastAsia" w:ascii="Times New Roman" w:hAnsi="Times New Roman" w:eastAsia="宋体" w:cs="Times New Roman"/>
                <w:color w:val="auto"/>
                <w:sz w:val="24"/>
                <w:szCs w:val="20"/>
                <w:highlight w:val="none"/>
                <w:lang w:eastAsia="zh-CN"/>
              </w:rPr>
              <w:t>、</w:t>
            </w:r>
            <w:r>
              <w:rPr>
                <w:rFonts w:hint="eastAsia" w:ascii="Times New Roman" w:hAnsi="Times New Roman" w:eastAsia="宋体" w:cs="Times New Roman"/>
                <w:color w:val="auto"/>
                <w:sz w:val="24"/>
                <w:szCs w:val="24"/>
                <w:highlight w:val="none"/>
                <w:lang w:val="en-US" w:eastAsia="zh-CN"/>
              </w:rPr>
              <w:t>《市政府关于印发大运河无锡段核心监控区国土空间管控细则（试行）的通知》（锡政规〔2023〕7号）</w:t>
            </w:r>
            <w:r>
              <w:rPr>
                <w:rFonts w:hint="default" w:ascii="Times New Roman" w:hAnsi="Times New Roman" w:eastAsia="宋体" w:cs="Times New Roman"/>
                <w:b w:val="0"/>
                <w:bCs/>
                <w:color w:val="auto"/>
                <w:sz w:val="24"/>
                <w:szCs w:val="24"/>
                <w:highlight w:val="none"/>
              </w:rPr>
              <w:t>中相关要求</w:t>
            </w:r>
            <w:r>
              <w:rPr>
                <w:rFonts w:hint="eastAsia" w:ascii="Times New Roman" w:hAnsi="Times New Roman" w:eastAsia="宋体" w:cs="Times New Roman"/>
                <w:b w:val="0"/>
                <w:bCs/>
                <w:color w:val="auto"/>
                <w:sz w:val="24"/>
                <w:szCs w:val="24"/>
                <w:highlight w:val="none"/>
                <w:lang w:eastAsia="zh-CN"/>
              </w:rPr>
              <w:t>。</w:t>
            </w:r>
          </w:p>
          <w:p w14:paraId="1D82F4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
                <w:color w:val="auto"/>
                <w:sz w:val="24"/>
                <w:highlight w:val="none"/>
              </w:rPr>
            </w:pPr>
            <w:r>
              <w:rPr>
                <w:rFonts w:hint="eastAsia" w:ascii="Times New Roman" w:hAnsi="Times New Roman" w:eastAsia="宋体" w:cs="Times New Roman"/>
                <w:b/>
                <w:color w:val="auto"/>
                <w:sz w:val="24"/>
                <w:highlight w:val="none"/>
                <w:lang w:val="en-US" w:eastAsia="zh-CN"/>
              </w:rPr>
              <w:t>3</w:t>
            </w:r>
            <w:r>
              <w:rPr>
                <w:rFonts w:hint="default" w:ascii="Times New Roman" w:hAnsi="Times New Roman" w:eastAsia="宋体" w:cs="Times New Roman"/>
                <w:b/>
                <w:color w:val="auto"/>
                <w:sz w:val="24"/>
                <w:highlight w:val="none"/>
              </w:rPr>
              <w:t>、与产业政策、土地利用规划相符性</w:t>
            </w:r>
          </w:p>
          <w:p w14:paraId="7E199F83">
            <w:pPr>
              <w:keepNext w:val="0"/>
              <w:keepLines w:val="0"/>
              <w:suppressLineNumbers w:val="0"/>
              <w:snapToGrid w:val="0"/>
              <w:spacing w:before="0" w:beforeAutospacing="0" w:after="0" w:afterAutospacing="0" w:line="360" w:lineRule="auto"/>
              <w:ind w:left="0" w:right="0" w:firstLine="435"/>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 w:val="24"/>
                <w:highlight w:val="none"/>
              </w:rPr>
              <w:t>（1）</w:t>
            </w:r>
            <w:r>
              <w:rPr>
                <w:rFonts w:hint="default" w:ascii="Times New Roman" w:hAnsi="Times New Roman" w:eastAsia="宋体" w:cs="Times New Roman"/>
                <w:b/>
                <w:color w:val="auto"/>
                <w:sz w:val="24"/>
                <w:highlight w:val="none"/>
              </w:rPr>
              <w:t>与产业政策相符性</w:t>
            </w:r>
          </w:p>
          <w:p w14:paraId="41E5E656">
            <w:pPr>
              <w:keepNext w:val="0"/>
              <w:keepLines w:val="0"/>
              <w:suppressLineNumbers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0"/>
                <w:sz w:val="24"/>
                <w:szCs w:val="22"/>
                <w:highlight w:val="none"/>
                <w:lang w:val="en-US" w:eastAsia="zh-CN" w:bidi="ar-SA"/>
              </w:rPr>
            </w:pPr>
            <w:r>
              <w:rPr>
                <w:rFonts w:hint="eastAsia" w:ascii="Times New Roman" w:hAnsi="Times New Roman" w:eastAsia="宋体" w:cs="Times New Roman"/>
                <w:color w:val="auto"/>
                <w:kern w:val="0"/>
                <w:sz w:val="24"/>
                <w:szCs w:val="22"/>
                <w:highlight w:val="none"/>
                <w:lang w:val="en-US" w:eastAsia="zh-CN" w:bidi="ar-SA"/>
              </w:rPr>
              <w:t>本项目主要针对小分子抗肿瘤药进行早期小试研发，建成后可年产化合物测试500个，行业类别属于[M7340]医学研究和试验发展。 ①对照《产业结构调整指导目录（2024 年本）》，本项目属于“十三 医药，2、新药开发与产业化：拥有自主知识产权的创新药和改良型新药、儿童药、短缺药、罕见病用药，重大疾病防治疫苗、新型抗体药物、重组蛋白质药物、核酸药物、生物酶制剂、 基因治疗和细胞治疗药物”，为鼓励类项目，符合产业政策。</w:t>
            </w:r>
          </w:p>
          <w:p w14:paraId="61C40A27">
            <w:pPr>
              <w:keepNext w:val="0"/>
              <w:keepLines w:val="0"/>
              <w:suppressLineNumbers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不属于《无锡市产业结构调整指导目录</w:t>
            </w:r>
            <w:r>
              <w:rPr>
                <w:rFonts w:hint="eastAsia" w:ascii="Times New Roman" w:hAnsi="Times New Roman" w:eastAsia="宋体" w:cs="Times New Roman"/>
                <w:color w:val="auto"/>
                <w:sz w:val="24"/>
                <w:highlight w:val="none"/>
                <w:lang w:eastAsia="zh-CN"/>
              </w:rPr>
              <w:t>（试行）</w:t>
            </w:r>
            <w:r>
              <w:rPr>
                <w:rFonts w:hint="default" w:ascii="Times New Roman" w:hAnsi="Times New Roman" w:eastAsia="宋体" w:cs="Times New Roman"/>
                <w:color w:val="auto"/>
                <w:sz w:val="24"/>
                <w:highlight w:val="none"/>
              </w:rPr>
              <w:t>》（2008年本）中规定的禁止类和淘汰类项目；不属于《无锡市制造业转型发展指导目录》（2012年本）中规定的限制类和淘汰类项目；</w:t>
            </w:r>
            <w:r>
              <w:rPr>
                <w:rFonts w:hint="default" w:ascii="Times New Roman" w:hAnsi="Times New Roman" w:eastAsia="宋体" w:cs="Times New Roman"/>
                <w:color w:val="auto"/>
                <w:sz w:val="24"/>
                <w:szCs w:val="32"/>
                <w:highlight w:val="none"/>
              </w:rPr>
              <w:t>不属于《无锡新区转型发展投资指导目录》（2013年本</w:t>
            </w:r>
            <w:r>
              <w:rPr>
                <w:rFonts w:hint="default" w:ascii="Times New Roman" w:hAnsi="Times New Roman" w:eastAsia="宋体" w:cs="Times New Roman"/>
                <w:color w:val="auto"/>
                <w:sz w:val="24"/>
                <w:highlight w:val="none"/>
              </w:rPr>
              <w:t>）中规定的</w:t>
            </w:r>
            <w:r>
              <w:rPr>
                <w:rFonts w:hint="eastAsia" w:ascii="Times New Roman" w:hAnsi="Times New Roman" w:eastAsia="宋体"/>
                <w:color w:val="auto"/>
                <w:sz w:val="24"/>
                <w:highlight w:val="none"/>
              </w:rPr>
              <w:t>鼓励类</w:t>
            </w:r>
            <w:r>
              <w:rPr>
                <w:rFonts w:hint="default" w:ascii="Times New Roman" w:hAnsi="Times New Roman" w:eastAsia="宋体" w:cs="Times New Roman"/>
                <w:color w:val="auto"/>
                <w:sz w:val="24"/>
                <w:highlight w:val="none"/>
              </w:rPr>
              <w:t>项目；不属于《自然资源要素支撑产业高质量发展指导目录（2024年本）》中的限制和禁止用地项目；</w:t>
            </w:r>
            <w:r>
              <w:rPr>
                <w:rFonts w:hint="eastAsia" w:ascii="Times New Roman" w:hAnsi="Times New Roman" w:eastAsia="宋体" w:cs="Times New Roman"/>
                <w:color w:val="auto"/>
                <w:sz w:val="24"/>
                <w:highlight w:val="none"/>
                <w:lang w:eastAsia="zh-CN"/>
              </w:rPr>
              <w:t>不属于</w:t>
            </w:r>
            <w:r>
              <w:rPr>
                <w:rFonts w:hint="default" w:ascii="Times New Roman" w:hAnsi="Times New Roman" w:eastAsia="宋体" w:cs="Times New Roman"/>
                <w:color w:val="auto"/>
                <w:sz w:val="24"/>
                <w:highlight w:val="none"/>
              </w:rPr>
              <w:t>《江苏省太湖流域禁止和限制的产业产品目录（2024年本）》</w:t>
            </w:r>
            <w:r>
              <w:rPr>
                <w:rFonts w:hint="eastAsia" w:ascii="Times New Roman" w:hAnsi="Times New Roman" w:eastAsia="宋体" w:cs="Times New Roman"/>
                <w:color w:val="auto"/>
                <w:sz w:val="24"/>
                <w:highlight w:val="none"/>
                <w:lang w:eastAsia="zh-CN"/>
              </w:rPr>
              <w:t>中限制、淘汰、禁止类项目；</w:t>
            </w:r>
            <w:r>
              <w:rPr>
                <w:rFonts w:hint="default" w:ascii="Times New Roman" w:hAnsi="Times New Roman" w:eastAsia="宋体" w:cs="Times New Roman"/>
                <w:color w:val="auto"/>
                <w:sz w:val="24"/>
                <w:highlight w:val="none"/>
              </w:rPr>
              <w:t>不属于《江苏省限制用地项目目录（2013年本）》和《江苏省禁止用地项目目录（2013年本）》（苏国土资发</w:t>
            </w:r>
            <w:r>
              <w:rPr>
                <w:rFonts w:hint="eastAsia" w:ascii="Times New Roman" w:hAnsi="Times New Roman" w:eastAsia="宋体" w:cs="Times New Roman"/>
                <w:color w:val="auto"/>
                <w:sz w:val="24"/>
                <w:highlight w:val="none"/>
                <w:lang w:eastAsia="zh-CN"/>
              </w:rPr>
              <w:t>〔2013〕323号</w:t>
            </w:r>
            <w:r>
              <w:rPr>
                <w:rFonts w:hint="default" w:ascii="Times New Roman" w:hAnsi="Times New Roman" w:eastAsia="宋体" w:cs="Times New Roman"/>
                <w:color w:val="auto"/>
                <w:sz w:val="24"/>
                <w:highlight w:val="none"/>
              </w:rPr>
              <w:t>）中的限制和禁止用地项目；</w:t>
            </w:r>
            <w:r>
              <w:rPr>
                <w:rFonts w:hint="eastAsia" w:ascii="Times New Roman" w:hAnsi="Times New Roman" w:eastAsia="宋体"/>
                <w:color w:val="auto"/>
                <w:sz w:val="24"/>
                <w:highlight w:val="none"/>
              </w:rPr>
              <w:t>根据《关于加强高耗能、高排放建设项目生态环境源头防控的指导意见》</w:t>
            </w:r>
            <w:r>
              <w:rPr>
                <w:rFonts w:hint="eastAsia" w:ascii="Times New Roman" w:hAnsi="Times New Roman" w:eastAsia="宋体"/>
                <w:color w:val="auto"/>
                <w:sz w:val="24"/>
                <w:highlight w:val="none"/>
                <w:lang w:eastAsia="zh-CN"/>
              </w:rPr>
              <w:t>（环环评〔2021〕45号）</w:t>
            </w:r>
            <w:r>
              <w:rPr>
                <w:rFonts w:hint="eastAsia" w:ascii="Times New Roman" w:hAnsi="Times New Roman" w:eastAsia="宋体"/>
                <w:color w:val="auto"/>
                <w:sz w:val="24"/>
                <w:highlight w:val="none"/>
              </w:rPr>
              <w:t>及《环境保护综合名录》（2021年版），本项目产品不属于“高污染、高环境风险产品”</w:t>
            </w:r>
            <w:r>
              <w:rPr>
                <w:rFonts w:hint="eastAsia" w:ascii="Times New Roman" w:hAnsi="Times New Roman" w:eastAsia="宋体"/>
                <w:color w:val="auto"/>
                <w:sz w:val="24"/>
                <w:highlight w:val="none"/>
                <w:lang w:eastAsia="zh-CN"/>
              </w:rPr>
              <w:t>；</w:t>
            </w:r>
            <w:r>
              <w:rPr>
                <w:rFonts w:hint="eastAsia" w:ascii="Times New Roman" w:hAnsi="Times New Roman" w:eastAsia="宋体"/>
                <w:color w:val="auto"/>
                <w:sz w:val="24"/>
                <w:highlight w:val="none"/>
              </w:rPr>
              <w:t>根据《江苏省“两高”项目管理目录（2024年版）》，本项目不属于“</w:t>
            </w:r>
            <w:r>
              <w:rPr>
                <w:rFonts w:hint="eastAsia" w:ascii="Times New Roman" w:hAnsi="Times New Roman" w:eastAsia="宋体"/>
                <w:color w:val="auto"/>
                <w:sz w:val="24"/>
                <w:highlight w:val="none"/>
                <w:lang w:eastAsia="zh-CN"/>
              </w:rPr>
              <w:t>两高</w:t>
            </w:r>
            <w:r>
              <w:rPr>
                <w:rFonts w:hint="eastAsia" w:ascii="Times New Roman" w:hAnsi="Times New Roman" w:eastAsia="宋体"/>
                <w:color w:val="auto"/>
                <w:sz w:val="24"/>
                <w:highlight w:val="none"/>
              </w:rPr>
              <w:t>”</w:t>
            </w:r>
            <w:r>
              <w:rPr>
                <w:rFonts w:hint="eastAsia" w:ascii="Times New Roman" w:hAnsi="Times New Roman" w:eastAsia="宋体"/>
                <w:color w:val="auto"/>
                <w:sz w:val="24"/>
                <w:highlight w:val="none"/>
                <w:lang w:eastAsia="zh-CN"/>
              </w:rPr>
              <w:t>项目</w:t>
            </w:r>
            <w:r>
              <w:rPr>
                <w:rFonts w:hint="default" w:ascii="Times New Roman" w:hAnsi="Times New Roman" w:eastAsia="宋体" w:cs="Times New Roman"/>
                <w:color w:val="auto"/>
                <w:sz w:val="24"/>
                <w:highlight w:val="none"/>
              </w:rPr>
              <w:t>，亦不属于其他相关法律法规要求淘汰和限制的产业。因此，本项目符合国家和地方产业政策要求。</w:t>
            </w:r>
          </w:p>
          <w:p w14:paraId="331D22D6">
            <w:pPr>
              <w:keepNext w:val="0"/>
              <w:keepLines w:val="0"/>
              <w:suppressLineNumbers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（2）与土地利用规划相符性</w:t>
            </w:r>
          </w:p>
          <w:p w14:paraId="492EF787">
            <w:pPr>
              <w:keepNext w:val="0"/>
              <w:keepLines w:val="0"/>
              <w:widowControl w:val="0"/>
              <w:numPr>
                <w:ilvl w:val="0"/>
                <w:numId w:val="0"/>
              </w:numPr>
              <w:suppressLineNumbers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本项目位于无锡市新吴区净慧东道196号F楼2楼，属于无锡（太湖）国际科技园科创区—孵化区管理单元，根据《无锡（太湖）国际科技园控制性详细规划科创区—孵化区、科创区—研发区管理单元动态更新》中的“无锡（太湖）国际科技园科创区—孵化区管理单元土地利用规划图”（见</w:t>
            </w:r>
            <w:r>
              <w:rPr>
                <w:rFonts w:hint="default" w:ascii="Times New Roman" w:hAnsi="Times New Roman" w:eastAsia="宋体" w:cs="Times New Roman"/>
                <w:color w:val="auto"/>
                <w:kern w:val="2"/>
                <w:sz w:val="24"/>
                <w:szCs w:val="22"/>
                <w:highlight w:val="red"/>
                <w:lang w:val="en-US" w:eastAsia="zh-CN" w:bidi="ar-SA"/>
              </w:rPr>
              <w:t>附图</w:t>
            </w:r>
            <w:r>
              <w:rPr>
                <w:rFonts w:hint="eastAsia" w:ascii="Times New Roman" w:hAnsi="Times New Roman" w:eastAsia="宋体" w:cs="Times New Roman"/>
                <w:color w:val="auto"/>
                <w:kern w:val="2"/>
                <w:sz w:val="24"/>
                <w:szCs w:val="22"/>
                <w:highlight w:val="red"/>
                <w:lang w:val="en-US" w:eastAsia="zh-CN" w:bidi="ar-SA"/>
              </w:rPr>
              <w:t>1</w:t>
            </w:r>
            <w:r>
              <w:rPr>
                <w:rFonts w:hint="default" w:ascii="Times New Roman" w:hAnsi="Times New Roman" w:eastAsia="宋体" w:cs="Times New Roman"/>
                <w:color w:val="auto"/>
                <w:kern w:val="2"/>
                <w:sz w:val="24"/>
                <w:szCs w:val="22"/>
                <w:highlight w:val="none"/>
                <w:lang w:val="en-US" w:eastAsia="zh-CN" w:bidi="ar-SA"/>
              </w:rPr>
              <w:t>），本项目所在区域规划为“Ma+B9a生产研发用地+科研设计用地”；根据</w:t>
            </w:r>
            <w:r>
              <w:rPr>
                <w:rFonts w:hint="eastAsia" w:ascii="Times New Roman" w:hAnsi="Times New Roman" w:eastAsia="宋体" w:cs="Times New Roman"/>
                <w:color w:val="auto"/>
                <w:kern w:val="2"/>
                <w:sz w:val="24"/>
                <w:szCs w:val="22"/>
                <w:highlight w:val="none"/>
                <w:lang w:val="en-US" w:eastAsia="zh-CN" w:bidi="ar-SA"/>
              </w:rPr>
              <w:t>厂房出租方“</w:t>
            </w:r>
            <w:r>
              <w:rPr>
                <w:rFonts w:hint="eastAsia" w:cs="Times New Roman"/>
                <w:color w:val="auto"/>
                <w:kern w:val="2"/>
                <w:sz w:val="24"/>
                <w:szCs w:val="22"/>
                <w:highlight w:val="none"/>
                <w:lang w:val="en-US" w:eastAsia="zh-CN" w:bidi="ar-SA"/>
              </w:rPr>
              <w:t>无锡生命科学产业发展有限公司</w:t>
            </w:r>
            <w:r>
              <w:rPr>
                <w:rFonts w:hint="eastAsia" w:ascii="Times New Roman" w:hAnsi="Times New Roman" w:eastAsia="宋体" w:cs="Times New Roman"/>
                <w:color w:val="auto"/>
                <w:kern w:val="2"/>
                <w:sz w:val="24"/>
                <w:szCs w:val="22"/>
                <w:highlight w:val="none"/>
                <w:lang w:val="en-US" w:eastAsia="zh-CN" w:bidi="ar-SA"/>
              </w:rPr>
              <w:t>”</w:t>
            </w:r>
            <w:r>
              <w:rPr>
                <w:rFonts w:hint="default" w:ascii="Times New Roman" w:hAnsi="Times New Roman" w:eastAsia="宋体" w:cs="Times New Roman"/>
                <w:color w:val="auto"/>
                <w:kern w:val="2"/>
                <w:sz w:val="24"/>
                <w:szCs w:val="22"/>
                <w:highlight w:val="none"/>
                <w:lang w:val="en-US" w:eastAsia="zh-CN" w:bidi="ar-SA"/>
              </w:rPr>
              <w:t>持有的不动产权证，编号为：苏（</w:t>
            </w:r>
            <w:r>
              <w:rPr>
                <w:rFonts w:hint="eastAsia" w:ascii="Times New Roman" w:hAnsi="Times New Roman" w:eastAsia="宋体" w:cs="Times New Roman"/>
                <w:color w:val="auto"/>
                <w:kern w:val="2"/>
                <w:sz w:val="24"/>
                <w:szCs w:val="22"/>
                <w:highlight w:val="none"/>
                <w:lang w:val="en-US" w:eastAsia="zh-CN" w:bidi="ar-SA"/>
              </w:rPr>
              <w:t>2024</w:t>
            </w:r>
            <w:r>
              <w:rPr>
                <w:rFonts w:hint="default" w:ascii="Times New Roman" w:hAnsi="Times New Roman" w:eastAsia="宋体" w:cs="Times New Roman"/>
                <w:color w:val="auto"/>
                <w:kern w:val="2"/>
                <w:sz w:val="24"/>
                <w:szCs w:val="22"/>
                <w:highlight w:val="none"/>
                <w:lang w:val="en-US" w:eastAsia="zh-CN" w:bidi="ar-SA"/>
              </w:rPr>
              <w:t>）无锡市不动产权第</w:t>
            </w:r>
            <w:r>
              <w:rPr>
                <w:rFonts w:hint="eastAsia" w:ascii="Times New Roman" w:hAnsi="Times New Roman" w:eastAsia="宋体" w:cs="Times New Roman"/>
                <w:color w:val="auto"/>
                <w:kern w:val="2"/>
                <w:sz w:val="24"/>
                <w:szCs w:val="22"/>
                <w:highlight w:val="none"/>
                <w:lang w:val="en-US" w:eastAsia="zh-CN" w:bidi="ar-SA"/>
              </w:rPr>
              <w:t>0116356</w:t>
            </w:r>
            <w:r>
              <w:rPr>
                <w:rFonts w:hint="default" w:ascii="Times New Roman" w:hAnsi="Times New Roman" w:eastAsia="宋体" w:cs="Times New Roman"/>
                <w:color w:val="auto"/>
                <w:kern w:val="2"/>
                <w:sz w:val="24"/>
                <w:szCs w:val="22"/>
                <w:highlight w:val="none"/>
                <w:lang w:val="en-US" w:eastAsia="zh-CN" w:bidi="ar-SA"/>
              </w:rPr>
              <w:t>号，项目所在地土地用途</w:t>
            </w:r>
            <w:r>
              <w:rPr>
                <w:rFonts w:hint="eastAsia" w:ascii="Times New Roman" w:hAnsi="Times New Roman" w:eastAsia="宋体" w:cs="Times New Roman"/>
                <w:color w:val="auto"/>
                <w:kern w:val="2"/>
                <w:sz w:val="24"/>
                <w:szCs w:val="22"/>
                <w:highlight w:val="none"/>
                <w:lang w:val="en-US" w:eastAsia="zh-CN" w:bidi="ar-SA"/>
              </w:rPr>
              <w:t>为</w:t>
            </w:r>
            <w:r>
              <w:rPr>
                <w:rFonts w:hint="default" w:ascii="Times New Roman" w:hAnsi="Times New Roman" w:eastAsia="宋体" w:cs="Times New Roman"/>
                <w:color w:val="auto"/>
                <w:kern w:val="2"/>
                <w:sz w:val="24"/>
                <w:szCs w:val="22"/>
                <w:highlight w:val="none"/>
                <w:lang w:val="en-US" w:eastAsia="zh-CN" w:bidi="ar-SA"/>
              </w:rPr>
              <w:t>生产研发用地，本项目行业类别为[M7340]医学研究和试验发展，</w:t>
            </w:r>
            <w:r>
              <w:rPr>
                <w:rFonts w:hint="eastAsia" w:ascii="Times New Roman" w:hAnsi="Times New Roman" w:eastAsia="宋体" w:cs="Times New Roman"/>
                <w:color w:val="auto"/>
                <w:kern w:val="2"/>
                <w:sz w:val="24"/>
                <w:szCs w:val="22"/>
                <w:highlight w:val="none"/>
                <w:lang w:val="en-US" w:eastAsia="zh-CN" w:bidi="ar-SA"/>
              </w:rPr>
              <w:t>主要</w:t>
            </w:r>
            <w:r>
              <w:rPr>
                <w:rFonts w:hint="default" w:ascii="Times New Roman" w:hAnsi="Times New Roman" w:eastAsia="宋体" w:cs="Times New Roman"/>
                <w:color w:val="auto"/>
                <w:kern w:val="2"/>
                <w:sz w:val="24"/>
                <w:szCs w:val="22"/>
                <w:highlight w:val="none"/>
                <w:lang w:val="en-US" w:eastAsia="zh-CN" w:bidi="ar-SA"/>
              </w:rPr>
              <w:t>针对小分子抗肿瘤药进行早期小试研发，建成后可年产化合物测试500个，符合项目所在地规划</w:t>
            </w:r>
            <w:r>
              <w:rPr>
                <w:rFonts w:hint="default" w:ascii="Times New Roman" w:hAnsi="Times New Roman" w:eastAsia="宋体" w:cs="Times New Roman"/>
                <w:snapToGrid w:val="0"/>
                <w:color w:val="auto"/>
                <w:kern w:val="0"/>
                <w:sz w:val="24"/>
                <w:szCs w:val="24"/>
                <w:highlight w:val="none"/>
                <w:lang w:val="en-US" w:eastAsia="zh-CN" w:bidi="ar-SA"/>
              </w:rPr>
              <w:t>。</w:t>
            </w:r>
          </w:p>
          <w:p w14:paraId="6121524D">
            <w:pPr>
              <w:keepNext w:val="0"/>
              <w:keepLines w:val="0"/>
              <w:numPr>
                <w:ilvl w:val="0"/>
                <w:numId w:val="2"/>
              </w:numPr>
              <w:suppressLineNumbers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与《关于加强高耗能、高排放建设项目生态环境源头防控的指导意见》相符性分析</w:t>
            </w:r>
          </w:p>
          <w:p w14:paraId="20787F85">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rightChars="0" w:firstLine="181" w:firstLineChars="75"/>
              <w:jc w:val="both"/>
              <w:textAlignment w:val="auto"/>
              <w:rPr>
                <w:rFonts w:hint="default"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lang w:val="en-US" w:eastAsia="zh-CN"/>
              </w:rPr>
              <w:t xml:space="preserve">表1-9  </w:t>
            </w:r>
            <w:r>
              <w:rPr>
                <w:rFonts w:hint="default" w:ascii="Times New Roman" w:hAnsi="Times New Roman" w:eastAsia="宋体" w:cs="Times New Roman"/>
                <w:b/>
                <w:bCs/>
                <w:color w:val="auto"/>
                <w:sz w:val="24"/>
                <w:highlight w:val="none"/>
              </w:rPr>
              <w:t>与《关于加强高耗能、高排放建设项目生态环境源头防控的指导意见》相符性分析一览表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4641"/>
              <w:gridCol w:w="3161"/>
              <w:gridCol w:w="740"/>
            </w:tblGrid>
            <w:tr w14:paraId="68BABE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vAlign w:val="center"/>
                </w:tcPr>
                <w:p w14:paraId="6B7A29B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条款</w:t>
                  </w:r>
                </w:p>
              </w:tc>
              <w:tc>
                <w:tcPr>
                  <w:tcW w:w="2502" w:type="pct"/>
                  <w:vAlign w:val="center"/>
                </w:tcPr>
                <w:p w14:paraId="50443C4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内容</w:t>
                  </w:r>
                </w:p>
              </w:tc>
              <w:tc>
                <w:tcPr>
                  <w:tcW w:w="1704" w:type="pct"/>
                  <w:vAlign w:val="center"/>
                </w:tcPr>
                <w:p w14:paraId="6CC23AD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项目实际情况</w:t>
                  </w:r>
                </w:p>
              </w:tc>
              <w:tc>
                <w:tcPr>
                  <w:tcW w:w="399" w:type="pct"/>
                  <w:vAlign w:val="center"/>
                </w:tcPr>
                <w:p w14:paraId="35039CC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相符性</w:t>
                  </w:r>
                </w:p>
              </w:tc>
            </w:tr>
            <w:tr w14:paraId="409E63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0" w:hRule="atLeast"/>
                <w:jc w:val="center"/>
              </w:trPr>
              <w:tc>
                <w:tcPr>
                  <w:tcW w:w="393" w:type="pct"/>
                  <w:vAlign w:val="center"/>
                </w:tcPr>
                <w:p w14:paraId="21223D8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二、严格“两高”项目环评审批</w:t>
                  </w:r>
                </w:p>
              </w:tc>
              <w:tc>
                <w:tcPr>
                  <w:tcW w:w="2502" w:type="pct"/>
                  <w:vAlign w:val="center"/>
                </w:tcPr>
                <w:p w14:paraId="2A3C35D5">
                  <w:pPr>
                    <w:keepNext w:val="0"/>
                    <w:keepLines w:val="0"/>
                    <w:suppressLineNumbers w:val="0"/>
                    <w:snapToGrid w:val="0"/>
                    <w:spacing w:before="0" w:beforeAutospacing="0" w:after="0" w:afterAutospacing="0"/>
                    <w:ind w:left="0" w:right="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严把建设项目环境准入关。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w:t>
                  </w:r>
                  <w:r>
                    <w:rPr>
                      <w:rFonts w:hint="eastAsia" w:ascii="Times New Roman" w:hAnsi="Times New Roman" w:eastAsia="宋体" w:cs="Times New Roman"/>
                      <w:color w:val="auto"/>
                      <w:szCs w:val="21"/>
                      <w:highlight w:val="none"/>
                      <w:lang w:eastAsia="zh-CN"/>
                    </w:rPr>
                    <w:t>依法</w:t>
                  </w:r>
                  <w:r>
                    <w:rPr>
                      <w:rFonts w:hint="default" w:ascii="Times New Roman" w:hAnsi="Times New Roman" w:eastAsia="宋体" w:cs="Times New Roman"/>
                      <w:color w:val="auto"/>
                      <w:szCs w:val="21"/>
                      <w:highlight w:val="none"/>
                    </w:rPr>
                    <w:t>合规设立并经规划环评的产业园区。各级生态环境部门和行政审批部门要严格把关，对于不符合相关法律法规的依法不予审批。</w:t>
                  </w:r>
                </w:p>
              </w:tc>
              <w:tc>
                <w:tcPr>
                  <w:tcW w:w="1704" w:type="pct"/>
                  <w:vAlign w:val="center"/>
                </w:tcPr>
                <w:p w14:paraId="79B116F7">
                  <w:pPr>
                    <w:keepNext w:val="0"/>
                    <w:keepLines w:val="0"/>
                    <w:suppressLineNumbers w:val="0"/>
                    <w:snapToGrid w:val="0"/>
                    <w:spacing w:before="0" w:beforeAutospacing="0" w:after="0" w:afterAutospacing="0"/>
                    <w:ind w:left="0" w:right="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根据《关于加强高耗能、高排放建设项目生态环境源头防控的指导意见》及《环境保护综合名录》（2021年版）。本项目行业代码为</w:t>
                  </w:r>
                  <w:r>
                    <w:rPr>
                      <w:rFonts w:hint="eastAsia" w:ascii="Times New Roman" w:hAnsi="Times New Roman" w:eastAsia="宋体" w:cs="Times New Roman"/>
                      <w:color w:val="auto"/>
                      <w:szCs w:val="21"/>
                      <w:highlight w:val="none"/>
                      <w:lang w:val="en-US" w:eastAsia="zh-CN"/>
                    </w:rPr>
                    <w:t>[M7340]医学研究和试验发展</w:t>
                  </w:r>
                  <w:r>
                    <w:rPr>
                      <w:rFonts w:hint="default" w:ascii="Times New Roman" w:hAnsi="Times New Roman" w:eastAsia="宋体" w:cs="Times New Roman"/>
                      <w:color w:val="auto"/>
                      <w:szCs w:val="21"/>
                      <w:highlight w:val="none"/>
                    </w:rPr>
                    <w:t>，</w:t>
                  </w:r>
                  <w:r>
                    <w:rPr>
                      <w:rFonts w:hint="eastAsia" w:ascii="Times New Roman" w:hAnsi="Times New Roman" w:eastAsia="宋体"/>
                      <w:color w:val="auto"/>
                      <w:sz w:val="21"/>
                      <w:szCs w:val="21"/>
                      <w:highlight w:val="none"/>
                      <w:lang w:val="en-US" w:eastAsia="zh-CN"/>
                    </w:rPr>
                    <w:t>引进、购置国内外先进实验设施，针对小分子抗肿瘤药进行早期小试研发，建成后可年产化合物测试500个。</w:t>
                  </w:r>
                  <w:r>
                    <w:rPr>
                      <w:rFonts w:hint="default" w:ascii="Times New Roman" w:hAnsi="Times New Roman" w:eastAsia="宋体" w:cs="Times New Roman"/>
                      <w:color w:val="auto"/>
                      <w:szCs w:val="21"/>
                      <w:highlight w:val="none"/>
                    </w:rPr>
                    <w:t>本项目产品不属于“高污染、高环境风险产品名录”，亦不属于高耗能行业。</w:t>
                  </w:r>
                </w:p>
              </w:tc>
              <w:tc>
                <w:tcPr>
                  <w:tcW w:w="399" w:type="pct"/>
                  <w:vAlign w:val="center"/>
                </w:tcPr>
                <w:p w14:paraId="4B7DD9A4">
                  <w:pPr>
                    <w:keepNext w:val="0"/>
                    <w:keepLines w:val="0"/>
                    <w:suppressLineNumbers w:val="0"/>
                    <w:snapToGrid w:val="0"/>
                    <w:spacing w:before="0" w:beforeAutospacing="0" w:after="0" w:afterAutospacing="0"/>
                    <w:ind w:left="0" w:right="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bl>
          <w:p w14:paraId="11336F94">
            <w:pPr>
              <w:keepNext w:val="0"/>
              <w:keepLines w:val="0"/>
              <w:suppressLineNumbers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b/>
                <w:color w:val="auto"/>
                <w:sz w:val="24"/>
                <w:highlight w:val="none"/>
                <w:lang w:val="en-US" w:eastAsia="zh-CN"/>
              </w:rPr>
            </w:pPr>
            <w:r>
              <w:rPr>
                <w:rFonts w:hint="default" w:ascii="Times New Roman" w:hAnsi="Times New Roman" w:eastAsia="宋体" w:cs="Times New Roman"/>
                <w:color w:val="auto"/>
                <w:sz w:val="24"/>
                <w:highlight w:val="none"/>
              </w:rPr>
              <w:t>综上，本项目行业代码为</w:t>
            </w:r>
            <w:r>
              <w:rPr>
                <w:rFonts w:hint="eastAsia" w:ascii="Times New Roman" w:hAnsi="Times New Roman" w:eastAsia="宋体" w:cs="Times New Roman"/>
                <w:color w:val="auto"/>
                <w:sz w:val="24"/>
                <w:highlight w:val="none"/>
                <w:lang w:val="en-US" w:eastAsia="zh-CN"/>
              </w:rPr>
              <w:t>[M7340]医学研究和试验发展</w:t>
            </w:r>
            <w:r>
              <w:rPr>
                <w:rFonts w:hint="eastAsia"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建成后可年产化合物测试500个。</w:t>
            </w:r>
            <w:r>
              <w:rPr>
                <w:rFonts w:hint="default" w:ascii="Times New Roman" w:hAnsi="Times New Roman" w:eastAsia="宋体" w:cs="Times New Roman"/>
                <w:color w:val="auto"/>
                <w:sz w:val="24"/>
                <w:highlight w:val="none"/>
              </w:rPr>
              <w:t>不属于《环境保护综合名录》（2021年版）中的“高污染、高环境风险产品名录”。</w:t>
            </w:r>
          </w:p>
          <w:p w14:paraId="69C9CE7C">
            <w:pPr>
              <w:keepNext w:val="0"/>
              <w:keepLines w:val="0"/>
              <w:suppressLineNumbers w:val="0"/>
              <w:snapToGrid w:val="0"/>
              <w:spacing w:before="0" w:beforeAutospacing="0" w:after="0" w:afterAutospacing="0" w:line="360" w:lineRule="auto"/>
              <w:ind w:left="0" w:right="0"/>
              <w:jc w:val="left"/>
              <w:rPr>
                <w:rFonts w:hint="default" w:ascii="Times New Roman" w:hAnsi="Times New Roman" w:eastAsia="宋体" w:cs="Times New Roman"/>
                <w:b/>
                <w:color w:val="auto"/>
                <w:sz w:val="24"/>
                <w:highlight w:val="none"/>
              </w:rPr>
            </w:pPr>
            <w:r>
              <w:rPr>
                <w:rFonts w:hint="eastAsia" w:ascii="Times New Roman" w:hAnsi="Times New Roman" w:eastAsia="宋体" w:cs="Times New Roman"/>
                <w:b/>
                <w:color w:val="auto"/>
                <w:sz w:val="24"/>
                <w:highlight w:val="none"/>
                <w:lang w:val="en-US" w:eastAsia="zh-CN"/>
              </w:rPr>
              <w:t>4</w:t>
            </w:r>
            <w:r>
              <w:rPr>
                <w:rFonts w:hint="default" w:ascii="Times New Roman" w:hAnsi="Times New Roman" w:eastAsia="宋体" w:cs="Times New Roman"/>
                <w:b/>
                <w:color w:val="auto"/>
                <w:sz w:val="24"/>
                <w:highlight w:val="none"/>
              </w:rPr>
              <w:t>、与《江苏省太湖水污染防治条例》、《太湖流域管理条例》符合情况</w:t>
            </w:r>
          </w:p>
          <w:p w14:paraId="27BD89D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根据《江苏省太湖水污染防治条例》，太湖流域划分为三级保护区：太湖湖体、沿湖岸5公里区域、入湖河道上溯10公里以及沿岸两侧各1公里范围为一级保护区；主要入湖河道上溯50公里以及沿岸两侧各1公里范围为二级保护区；其他地区为三级保护区。</w:t>
            </w:r>
          </w:p>
          <w:p w14:paraId="4648936E">
            <w:pPr>
              <w:keepNext w:val="0"/>
              <w:keepLines w:val="0"/>
              <w:suppressLineNumbers w:val="0"/>
              <w:snapToGrid w:val="0"/>
              <w:spacing w:before="0" w:beforeAutospacing="0" w:after="0" w:afterAutospacing="0" w:line="360" w:lineRule="auto"/>
              <w:ind w:left="0" w:right="0" w:firstLine="482" w:firstLineChars="200"/>
              <w:rPr>
                <w:rFonts w:hint="default" w:ascii="Times New Roman" w:hAnsi="Times New Roman" w:eastAsia="宋体" w:cs="Times New Roman"/>
                <w:color w:val="auto"/>
                <w:sz w:val="24"/>
                <w:highlight w:val="none"/>
              </w:rPr>
            </w:pPr>
            <w:r>
              <w:rPr>
                <w:rFonts w:hint="eastAsia" w:ascii="Times New Roman" w:hAnsi="Times New Roman" w:eastAsia="宋体"/>
                <w:b/>
                <w:bCs/>
                <w:color w:val="auto"/>
                <w:sz w:val="24"/>
                <w:highlight w:val="none"/>
                <w:lang w:val="en-US" w:eastAsia="zh-CN"/>
              </w:rPr>
              <w:t>A、</w:t>
            </w:r>
            <w:r>
              <w:rPr>
                <w:rFonts w:hint="default" w:ascii="Times New Roman" w:hAnsi="Times New Roman" w:eastAsia="宋体"/>
                <w:b/>
                <w:bCs/>
                <w:color w:val="auto"/>
                <w:sz w:val="24"/>
                <w:highlight w:val="none"/>
              </w:rPr>
              <w:t>根据《江苏省太湖水污染防治条例》（</w:t>
            </w:r>
            <w:r>
              <w:rPr>
                <w:rFonts w:hint="eastAsia" w:ascii="Times New Roman" w:hAnsi="Times New Roman" w:eastAsia="宋体"/>
                <w:b/>
                <w:bCs/>
                <w:color w:val="auto"/>
                <w:sz w:val="24"/>
                <w:highlight w:val="none"/>
              </w:rPr>
              <w:t>2021年</w:t>
            </w:r>
            <w:r>
              <w:rPr>
                <w:rFonts w:hint="default" w:ascii="Times New Roman" w:hAnsi="Times New Roman" w:eastAsia="宋体"/>
                <w:b/>
                <w:bCs/>
                <w:color w:val="auto"/>
                <w:sz w:val="24"/>
                <w:highlight w:val="none"/>
              </w:rPr>
              <w:t>修正）第四十三条，在太湖一、二、三级保护区内禁止下列行为：</w:t>
            </w:r>
          </w:p>
          <w:p w14:paraId="024605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（一）新建、改建、扩建化学制浆造纸、制革、酿造、染料、印染、电镀以及其他排放含磷、氮等污染物的企业和项目，城镇污水集中处理等环境基础设施项目和第四十六条规定的情形除外；</w:t>
            </w:r>
          </w:p>
          <w:p w14:paraId="375B63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（二）销售、使用含磷洗涤用品；</w:t>
            </w:r>
          </w:p>
          <w:p w14:paraId="48503A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（三）向水体排放或者倾倒油类、酸液、碱液、剧毒废渣废液、含放射性废渣废液、含病原体污水、工业废渣以及其他废弃物；</w:t>
            </w:r>
          </w:p>
          <w:p w14:paraId="47EAA2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（四）在水体清洗装贮过油类或者有毒有害污染物的车辆、船舶和容器等；</w:t>
            </w:r>
          </w:p>
          <w:p w14:paraId="0DD19E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（五）使用农药等有毒物毒杀水生生物；</w:t>
            </w:r>
          </w:p>
          <w:p w14:paraId="3F0BE7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（六）向水体直接排放人畜粪便、倾倒垃圾；</w:t>
            </w:r>
          </w:p>
          <w:p w14:paraId="4E5FA9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（七）围湖造地；</w:t>
            </w:r>
          </w:p>
          <w:p w14:paraId="6075E3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（八）违法开山采石，或者进行破坏林木、植被、水生生物的活动；</w:t>
            </w:r>
          </w:p>
          <w:p w14:paraId="301749A1">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（九）法律、法规禁止的其他行为。</w:t>
            </w:r>
          </w:p>
          <w:p w14:paraId="4702C6F0">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第四十四条，除二级保护区规定的禁止行为以外，太湖流域一级保护区还禁止下列行为：</w:t>
            </w:r>
          </w:p>
          <w:p w14:paraId="59E912C4">
            <w:pPr>
              <w:keepNext w:val="0"/>
              <w:keepLines w:val="0"/>
              <w:numPr>
                <w:ilvl w:val="0"/>
                <w:numId w:val="3"/>
              </w:numPr>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新建、扩建向水体排放污染物的建设项目；</w:t>
            </w:r>
          </w:p>
          <w:p w14:paraId="6EB631C1">
            <w:pPr>
              <w:keepNext w:val="0"/>
              <w:keepLines w:val="0"/>
              <w:numPr>
                <w:ilvl w:val="0"/>
                <w:numId w:val="3"/>
              </w:numPr>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在国家和省规定的养殖范围外从事网围、网箱养殖，利用虾窝、地笼网、机械吸螺、底拖网进行捕捞作业；</w:t>
            </w:r>
          </w:p>
          <w:p w14:paraId="27B26D24">
            <w:pPr>
              <w:keepNext w:val="0"/>
              <w:keepLines w:val="0"/>
              <w:numPr>
                <w:ilvl w:val="0"/>
                <w:numId w:val="3"/>
              </w:numPr>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新建、扩建畜禽养殖场；</w:t>
            </w:r>
          </w:p>
          <w:p w14:paraId="2E1A17C8">
            <w:pPr>
              <w:keepNext w:val="0"/>
              <w:keepLines w:val="0"/>
              <w:numPr>
                <w:ilvl w:val="0"/>
                <w:numId w:val="3"/>
              </w:numPr>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新建、扩建高尔夫球场、水上游乐园等开发项目；</w:t>
            </w:r>
          </w:p>
          <w:p w14:paraId="433C3527">
            <w:pPr>
              <w:keepNext w:val="0"/>
              <w:keepLines w:val="0"/>
              <w:numPr>
                <w:ilvl w:val="0"/>
                <w:numId w:val="3"/>
              </w:numPr>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设置水上餐饮经营设施；（法律、法规禁止禁止的其他可能污染水质的活动。除城镇污水集中处理设施依法设置的排污口外，一级保护区内已经设置的排污口应当限期关闭。</w:t>
            </w:r>
          </w:p>
          <w:p w14:paraId="74D96A01">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第四十五条，太湖流域二级保护区禁止下列行为：</w:t>
            </w:r>
          </w:p>
          <w:p w14:paraId="47D1BC68">
            <w:pPr>
              <w:keepNext w:val="0"/>
              <w:keepLines w:val="0"/>
              <w:numPr>
                <w:ilvl w:val="0"/>
                <w:numId w:val="4"/>
              </w:numPr>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新建、扩建化工、医药生产项目；</w:t>
            </w:r>
          </w:p>
          <w:p w14:paraId="5390B564">
            <w:pPr>
              <w:keepNext w:val="0"/>
              <w:keepLines w:val="0"/>
              <w:numPr>
                <w:ilvl w:val="0"/>
                <w:numId w:val="4"/>
              </w:numPr>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建、扩建污水集中处理设施排污口以外的排污口；</w:t>
            </w:r>
          </w:p>
          <w:p w14:paraId="100F69C8">
            <w:pPr>
              <w:keepNext w:val="0"/>
              <w:keepLines w:val="0"/>
              <w:numPr>
                <w:ilvl w:val="0"/>
                <w:numId w:val="4"/>
              </w:numPr>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扩大水产养殖规模；</w:t>
            </w:r>
          </w:p>
          <w:p w14:paraId="4141B6AF">
            <w:pPr>
              <w:keepNext w:val="0"/>
              <w:keepLines w:val="0"/>
              <w:numPr>
                <w:ilvl w:val="0"/>
                <w:numId w:val="4"/>
              </w:numPr>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法律、法规禁止的其他行为。</w:t>
            </w:r>
          </w:p>
          <w:p w14:paraId="31342E64">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b/>
                <w:bCs/>
                <w:color w:val="auto"/>
                <w:sz w:val="24"/>
                <w:highlight w:val="none"/>
              </w:rPr>
            </w:pPr>
            <w:r>
              <w:rPr>
                <w:rFonts w:hint="eastAsia" w:ascii="Times New Roman" w:hAnsi="Times New Roman" w:eastAsia="宋体"/>
                <w:b/>
                <w:bCs/>
                <w:color w:val="auto"/>
                <w:sz w:val="24"/>
                <w:highlight w:val="none"/>
                <w:lang w:val="en-US" w:eastAsia="zh-CN"/>
              </w:rPr>
              <w:t>B、</w:t>
            </w:r>
            <w:r>
              <w:rPr>
                <w:rFonts w:hint="default" w:ascii="Times New Roman" w:hAnsi="Times New Roman" w:eastAsia="宋体"/>
                <w:b/>
                <w:bCs/>
                <w:color w:val="auto"/>
                <w:sz w:val="24"/>
                <w:highlight w:val="none"/>
              </w:rPr>
              <w:t>根据《太湖流域管理条例》：</w:t>
            </w:r>
          </w:p>
          <w:p w14:paraId="3FE5586C">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第二十八条禁止在太湖流域设置不符合国家产业政策和水环境综合治理要求的造纸、制革、酒精、淀粉、冶金、酿造、印染、电镀等排放水污染物的生产项目，现有的生产项目不能实现达标排放的，应当依法关闭。</w:t>
            </w:r>
          </w:p>
          <w:p w14:paraId="704E6C0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第二十九条新孟河、望虞河以外的其他主要入太湖河道，自河口1万米上溯至5万米河道岸线内及其岸线两侧各1000米范围内，禁止下列行为：</w:t>
            </w:r>
          </w:p>
          <w:p w14:paraId="57FE092A">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（一）新建、扩建化工、医药生产项目；</w:t>
            </w:r>
          </w:p>
          <w:p w14:paraId="738F3E7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（二）新建、扩建污水集中处理设施排污口以外的排污口；</w:t>
            </w:r>
          </w:p>
          <w:p w14:paraId="7EB2B1B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（三）扩大水产养殖规模。</w:t>
            </w:r>
          </w:p>
          <w:p w14:paraId="01A40151">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第三十条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p>
          <w:p w14:paraId="6D12D4B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（一）设置剧毒物质、危险化学品的贮存、输送设施和废物回收场、垃圾场；</w:t>
            </w:r>
          </w:p>
          <w:p w14:paraId="0D1F9C09">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（二）设置水上餐饮经营设施；</w:t>
            </w:r>
          </w:p>
          <w:p w14:paraId="1D93E2B1">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（三）新建、扩建高尔夫球场；</w:t>
            </w:r>
          </w:p>
          <w:p w14:paraId="162CF9B4">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（四）新建、扩建畜禽养殖场；</w:t>
            </w:r>
          </w:p>
          <w:p w14:paraId="4E41E4B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（五）新建、扩建向水体排放污染物的建设项目；</w:t>
            </w:r>
          </w:p>
          <w:p w14:paraId="710B6C9A">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（六）本条例第二十九条规定的行为。</w:t>
            </w:r>
          </w:p>
          <w:p w14:paraId="48E02F4F">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已经设置前款第一项、第二项规定设施的，当地县级人民政府应当责令拆除或者关闭。</w:t>
            </w:r>
          </w:p>
          <w:p w14:paraId="4DBBB746">
            <w:pPr>
              <w:keepNext w:val="0"/>
              <w:keepLines w:val="0"/>
              <w:suppressLineNumbers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w:t>
            </w:r>
            <w:r>
              <w:rPr>
                <w:rFonts w:hint="eastAsia" w:ascii="Times New Roman" w:hAnsi="Times New Roman" w:eastAsia="宋体"/>
                <w:color w:val="auto"/>
                <w:sz w:val="24"/>
                <w:lang w:val="en-US" w:eastAsia="zh-CN"/>
              </w:rPr>
              <w:t>距离太湖岸线4.8km，根据《省政府办公厅关于公布江苏省太湖流域三级保护区范围的通知》（苏政办发[2012]221号），本项目所在地属于太湖流域一级保护区；项目</w:t>
            </w:r>
            <w:r>
              <w:rPr>
                <w:rFonts w:hint="eastAsia" w:ascii="Times New Roman" w:hAnsi="Times New Roman" w:eastAsia="宋体" w:cs="Times New Roman"/>
                <w:color w:val="auto"/>
                <w:sz w:val="24"/>
                <w:highlight w:val="none"/>
                <w:lang w:val="en-US" w:eastAsia="zh-CN"/>
              </w:rPr>
              <w:t>行业类别为[M7340]医学研究和试验发展，不属于《江苏省太湖水污染防治条例》 (2021 年9月29日江苏省第十三届人民代表大会常务委员会第二十五次会议) 中禁止类项目，且不属于《太湖流域管理条例》中禁止建设的项目。本项目为新建项目，产生的纯水制备浓水、水浴锅排水和经化粪池处理后的生活污水</w:t>
            </w:r>
            <w:r>
              <w:rPr>
                <w:rFonts w:hint="eastAsia" w:cs="Times New Roman"/>
                <w:color w:val="auto"/>
                <w:sz w:val="24"/>
                <w:highlight w:val="none"/>
                <w:lang w:val="en-US" w:eastAsia="zh-CN"/>
              </w:rPr>
              <w:t>、淋浴废水</w:t>
            </w:r>
            <w:r>
              <w:rPr>
                <w:rFonts w:hint="eastAsia" w:ascii="Times New Roman" w:hAnsi="Times New Roman" w:eastAsia="宋体" w:cs="Times New Roman"/>
                <w:color w:val="auto"/>
                <w:sz w:val="24"/>
                <w:highlight w:val="none"/>
                <w:lang w:val="en-US" w:eastAsia="zh-CN"/>
              </w:rPr>
              <w:t>一并接管至太湖新城污水处理厂进行处理，尾水排入京杭运。固废由有关单位回收或委托资质单位处理或环卫清运，可以实现“零排放”。因此，本项目的建设满足《江苏省太湖水污染防治条例》及《太湖流域管理条例》的要求。</w:t>
            </w:r>
          </w:p>
          <w:p w14:paraId="6972773C">
            <w:pPr>
              <w:keepNext w:val="0"/>
              <w:keepLines w:val="0"/>
              <w:widowControl w:val="0"/>
              <w:suppressLineNumbers w:val="0"/>
              <w:adjustRightInd w:val="0"/>
              <w:snapToGrid w:val="0"/>
              <w:spacing w:before="0" w:beforeAutospacing="0" w:after="0" w:afterAutospacing="0" w:line="360" w:lineRule="auto"/>
              <w:ind w:left="0" w:right="0" w:firstLine="0" w:firstLineChars="0"/>
              <w:jc w:val="left"/>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4</w:t>
            </w:r>
            <w:r>
              <w:rPr>
                <w:rFonts w:hint="default" w:ascii="Times New Roman" w:hAnsi="Times New Roman" w:eastAsia="宋体" w:cs="Times New Roman"/>
                <w:b/>
                <w:bCs/>
                <w:color w:val="auto"/>
                <w:kern w:val="2"/>
                <w:sz w:val="24"/>
                <w:szCs w:val="24"/>
                <w:highlight w:val="none"/>
                <w:lang w:val="en-US" w:eastAsia="zh-CN" w:bidi="ar-SA"/>
              </w:rPr>
              <w:t>、</w:t>
            </w:r>
            <w:r>
              <w:rPr>
                <w:rFonts w:hint="default" w:ascii="Times New Roman" w:hAnsi="Times New Roman" w:eastAsia="宋体" w:cs="Times New Roman"/>
                <w:b/>
                <w:bCs/>
                <w:color w:val="auto"/>
                <w:kern w:val="2"/>
                <w:sz w:val="24"/>
                <w:szCs w:val="20"/>
                <w:highlight w:val="none"/>
                <w:lang w:val="en-US" w:eastAsia="zh-CN" w:bidi="ar-SA"/>
              </w:rPr>
              <w:t>与大气相关条例相符性分析</w:t>
            </w:r>
          </w:p>
          <w:p w14:paraId="17C37A7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181" w:firstLineChars="75"/>
              <w:jc w:val="both"/>
              <w:textAlignment w:val="auto"/>
              <w:rPr>
                <w:rFonts w:hint="eastAsia" w:ascii="Times New Roman" w:hAnsi="Times New Roman" w:eastAsia="宋体" w:cs="Times New Roman"/>
                <w:b/>
                <w:bCs/>
                <w:color w:val="auto"/>
                <w:kern w:val="0"/>
                <w:sz w:val="24"/>
                <w:szCs w:val="20"/>
                <w:highlight w:val="none"/>
                <w:lang w:val="en-US" w:eastAsia="zh-CN" w:bidi="ar-SA"/>
              </w:rPr>
            </w:pPr>
            <w:r>
              <w:rPr>
                <w:rFonts w:hint="eastAsia" w:ascii="Times New Roman" w:hAnsi="Times New Roman" w:eastAsia="宋体" w:cs="Times New Roman"/>
                <w:b/>
                <w:bCs/>
                <w:color w:val="auto"/>
                <w:kern w:val="0"/>
                <w:sz w:val="24"/>
                <w:szCs w:val="20"/>
                <w:highlight w:val="none"/>
                <w:lang w:val="en-US" w:eastAsia="zh-CN" w:bidi="ar-SA"/>
              </w:rPr>
              <w:t>（1）与挥发性有机物污染防治其他相关文件的相符性分析</w:t>
            </w:r>
          </w:p>
          <w:p w14:paraId="391C730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181" w:firstLineChars="75"/>
              <w:jc w:val="center"/>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宋体"/>
                <w:b/>
                <w:bCs/>
                <w:color w:val="auto"/>
                <w:kern w:val="2"/>
                <w:sz w:val="24"/>
                <w:szCs w:val="24"/>
                <w:lang w:val="en-US" w:eastAsia="zh-CN" w:bidi="ar-SA"/>
              </w:rPr>
              <w:t>表1-</w:t>
            </w:r>
            <w:r>
              <w:rPr>
                <w:rFonts w:hint="eastAsia" w:ascii="Times New Roman" w:hAnsi="Times New Roman" w:eastAsia="宋体" w:cs="宋体"/>
                <w:b/>
                <w:bCs/>
                <w:color w:val="auto"/>
                <w:kern w:val="2"/>
                <w:sz w:val="24"/>
                <w:szCs w:val="24"/>
                <w:lang w:val="en-US" w:eastAsia="zh-CN" w:bidi="ar-SA"/>
              </w:rPr>
              <w:t xml:space="preserve">10  </w:t>
            </w:r>
            <w:r>
              <w:rPr>
                <w:rFonts w:hint="default" w:ascii="Times New Roman" w:hAnsi="Times New Roman" w:eastAsia="宋体" w:cs="Times New Roman"/>
                <w:b/>
                <w:bCs/>
                <w:color w:val="auto"/>
                <w:sz w:val="24"/>
                <w:highlight w:val="none"/>
              </w:rPr>
              <w:t>本项目与挥发性有机物污染防治相关文件的相符性分析</w:t>
            </w:r>
            <w:r>
              <w:rPr>
                <w:rFonts w:hint="eastAsia" w:ascii="Times New Roman" w:hAnsi="Times New Roman" w:eastAsia="宋体" w:cs="Times New Roman"/>
                <w:b/>
                <w:bCs/>
                <w:color w:val="auto"/>
                <w:sz w:val="24"/>
                <w:highlight w:val="none"/>
              </w:rPr>
              <w:t>一</w:t>
            </w:r>
            <w:r>
              <w:rPr>
                <w:rFonts w:hint="default" w:ascii="Times New Roman" w:hAnsi="Times New Roman" w:eastAsia="宋体" w:cs="Times New Roman"/>
                <w:b/>
                <w:bCs/>
                <w:color w:val="auto"/>
                <w:sz w:val="24"/>
                <w:highlight w:val="none"/>
              </w:rPr>
              <w:t>览表</w:t>
            </w:r>
          </w:p>
          <w:tbl>
            <w:tblPr>
              <w:tblStyle w:val="26"/>
              <w:tblW w:w="894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90"/>
              <w:gridCol w:w="3229"/>
              <w:gridCol w:w="2951"/>
              <w:gridCol w:w="878"/>
            </w:tblGrid>
            <w:tr w14:paraId="372359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90" w:type="dxa"/>
                  <w:tcBorders>
                    <w:tl2br w:val="nil"/>
                    <w:tr2bl w:val="nil"/>
                  </w:tcBorders>
                  <w:vAlign w:val="center"/>
                </w:tcPr>
                <w:p w14:paraId="5EE89659">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文件</w:t>
                  </w:r>
                </w:p>
              </w:tc>
              <w:tc>
                <w:tcPr>
                  <w:tcW w:w="3229" w:type="dxa"/>
                  <w:tcBorders>
                    <w:tl2br w:val="nil"/>
                    <w:tr2bl w:val="nil"/>
                  </w:tcBorders>
                  <w:vAlign w:val="center"/>
                </w:tcPr>
                <w:p w14:paraId="4B69D5DF">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相关条款</w:t>
                  </w:r>
                </w:p>
              </w:tc>
              <w:tc>
                <w:tcPr>
                  <w:tcW w:w="2951" w:type="dxa"/>
                  <w:tcBorders>
                    <w:tl2br w:val="nil"/>
                    <w:tr2bl w:val="nil"/>
                  </w:tcBorders>
                  <w:vAlign w:val="center"/>
                </w:tcPr>
                <w:p w14:paraId="63662117">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本项目情况</w:t>
                  </w:r>
                </w:p>
              </w:tc>
              <w:tc>
                <w:tcPr>
                  <w:tcW w:w="878" w:type="dxa"/>
                  <w:tcBorders>
                    <w:tl2br w:val="nil"/>
                    <w:tr2bl w:val="nil"/>
                  </w:tcBorders>
                  <w:vAlign w:val="center"/>
                </w:tcPr>
                <w:p w14:paraId="0C0A2C03">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相符性</w:t>
                  </w:r>
                </w:p>
              </w:tc>
            </w:tr>
            <w:tr w14:paraId="603436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4" w:hRule="atLeast"/>
                <w:jc w:val="center"/>
              </w:trPr>
              <w:tc>
                <w:tcPr>
                  <w:tcW w:w="1890" w:type="dxa"/>
                  <w:tcBorders>
                    <w:tl2br w:val="nil"/>
                    <w:tr2bl w:val="nil"/>
                  </w:tcBorders>
                  <w:vAlign w:val="center"/>
                </w:tcPr>
                <w:p w14:paraId="245A1926">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《江苏省重点行业挥发性有机物污染控制指南》 (苏环办[2014]128号)</w:t>
                  </w:r>
                </w:p>
              </w:tc>
              <w:tc>
                <w:tcPr>
                  <w:tcW w:w="3229" w:type="dxa"/>
                  <w:tcBorders>
                    <w:tl2br w:val="nil"/>
                    <w:tr2bl w:val="nil"/>
                  </w:tcBorders>
                  <w:vAlign w:val="center"/>
                </w:tcPr>
                <w:p w14:paraId="6A0CD38A">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(1) 所有产生有机废气污染的企业，应优先采用环保型原辅料、生产工艺和装备，对相应生产单元或设施进行密闭，从源头控制VOCs的产生</w:t>
                  </w:r>
                  <w:r>
                    <w:rPr>
                      <w:rFonts w:hint="eastAsia" w:ascii="Times New Roman" w:hAnsi="Times New Roman" w:eastAsia="宋体" w:cs="Times New Roman"/>
                      <w:color w:val="auto"/>
                      <w:kern w:val="2"/>
                      <w:sz w:val="21"/>
                      <w:szCs w:val="24"/>
                      <w:highlight w:val="none"/>
                      <w:lang w:val="en-US" w:eastAsia="zh-CN" w:bidi="ar-SA"/>
                    </w:rPr>
                    <w:t>，</w:t>
                  </w:r>
                  <w:r>
                    <w:rPr>
                      <w:rFonts w:hint="default" w:ascii="Times New Roman" w:hAnsi="Times New Roman" w:eastAsia="宋体" w:cs="Times New Roman"/>
                      <w:color w:val="auto"/>
                      <w:kern w:val="2"/>
                      <w:sz w:val="21"/>
                      <w:szCs w:val="24"/>
                      <w:highlight w:val="none"/>
                      <w:lang w:val="en-US" w:eastAsia="zh-CN" w:bidi="ar-SA"/>
                    </w:rPr>
                    <w:t>减少废气污染物排放。(2)鼓励对排放的VOCs回收利用，并优先在生产系统内回用。</w:t>
                  </w:r>
                </w:p>
              </w:tc>
              <w:tc>
                <w:tcPr>
                  <w:tcW w:w="2951" w:type="dxa"/>
                  <w:tcBorders>
                    <w:tl2br w:val="nil"/>
                    <w:tr2bl w:val="nil"/>
                  </w:tcBorders>
                  <w:vAlign w:val="center"/>
                </w:tcPr>
                <w:p w14:paraId="3840BBF9">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szCs w:val="21"/>
                      <w:highlight w:val="none"/>
                      <w:lang w:eastAsia="zh-CN"/>
                    </w:rPr>
                    <w:t>本项目</w:t>
                  </w:r>
                  <w:r>
                    <w:rPr>
                      <w:rFonts w:hint="default" w:ascii="Times New Roman" w:hAnsi="Times New Roman" w:eastAsia="宋体" w:cs="Times New Roman"/>
                      <w:color w:val="auto"/>
                      <w:sz w:val="21"/>
                      <w:szCs w:val="21"/>
                      <w:highlight w:val="none"/>
                      <w:lang w:val="en-US" w:eastAsia="zh-CN"/>
                    </w:rPr>
                    <w:t>在满足生产的工艺要求的前提下，尽可能使用环保型原辅材料、生产工艺和装备，</w:t>
                  </w: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 w:val="21"/>
                      <w:szCs w:val="21"/>
                      <w:highlight w:val="none"/>
                      <w:lang w:val="en-US" w:eastAsia="zh-CN"/>
                    </w:rPr>
                    <w:t>涉及有机废气的生产单元，均尽可能密闭，</w:t>
                  </w:r>
                  <w:r>
                    <w:rPr>
                      <w:rFonts w:hint="default" w:ascii="Times New Roman" w:hAnsi="Times New Roman" w:eastAsia="宋体" w:cs="Times New Roman"/>
                      <w:color w:val="auto"/>
                      <w:sz w:val="21"/>
                      <w:szCs w:val="21"/>
                      <w:highlight w:val="none"/>
                    </w:rPr>
                    <w:t>产生的非甲烷总烃</w:t>
                  </w:r>
                  <w:r>
                    <w:rPr>
                      <w:rFonts w:hint="default" w:ascii="Times New Roman" w:hAnsi="Times New Roman" w:eastAsia="宋体" w:cs="Times New Roman"/>
                      <w:color w:val="auto"/>
                      <w:sz w:val="21"/>
                      <w:szCs w:val="21"/>
                      <w:highlight w:val="none"/>
                      <w:lang w:val="en-US" w:eastAsia="zh-CN"/>
                    </w:rPr>
                    <w:t>经</w:t>
                  </w:r>
                  <w:r>
                    <w:rPr>
                      <w:rFonts w:hint="default" w:ascii="Times New Roman" w:hAnsi="Times New Roman" w:eastAsia="宋体" w:cs="Times New Roman"/>
                      <w:color w:val="auto"/>
                      <w:sz w:val="21"/>
                      <w:szCs w:val="21"/>
                      <w:highlight w:val="none"/>
                      <w:lang w:eastAsia="zh-CN"/>
                    </w:rPr>
                    <w:t>收集</w:t>
                  </w:r>
                  <w:r>
                    <w:rPr>
                      <w:rFonts w:hint="default" w:ascii="Times New Roman" w:hAnsi="Times New Roman" w:eastAsia="宋体" w:cs="Times New Roman"/>
                      <w:color w:val="auto"/>
                      <w:sz w:val="21"/>
                      <w:szCs w:val="21"/>
                      <w:highlight w:val="none"/>
                      <w:lang w:val="en-US" w:eastAsia="zh-CN"/>
                    </w:rPr>
                    <w:t>处理后</w:t>
                  </w:r>
                  <w:r>
                    <w:rPr>
                      <w:rFonts w:hint="default" w:ascii="Times New Roman" w:hAnsi="Times New Roman" w:eastAsia="宋体" w:cs="Times New Roman"/>
                      <w:color w:val="auto"/>
                      <w:sz w:val="21"/>
                      <w:szCs w:val="21"/>
                      <w:highlight w:val="none"/>
                    </w:rPr>
                    <w:t>达标排放，收集率</w:t>
                  </w:r>
                  <w:r>
                    <w:rPr>
                      <w:rFonts w:hint="default" w:ascii="Times New Roman" w:hAnsi="Times New Roman" w:eastAsia="宋体" w:cs="Times New Roman"/>
                      <w:color w:val="auto"/>
                      <w:sz w:val="21"/>
                      <w:szCs w:val="21"/>
                      <w:highlight w:val="none"/>
                      <w:lang w:eastAsia="zh-CN"/>
                    </w:rPr>
                    <w:t>和</w:t>
                  </w:r>
                  <w:r>
                    <w:rPr>
                      <w:rFonts w:hint="default" w:ascii="Times New Roman" w:hAnsi="Times New Roman" w:eastAsia="宋体" w:cs="Times New Roman"/>
                      <w:color w:val="auto"/>
                      <w:sz w:val="21"/>
                      <w:szCs w:val="21"/>
                      <w:highlight w:val="none"/>
                    </w:rPr>
                    <w:t>处理</w:t>
                  </w:r>
                  <w:r>
                    <w:rPr>
                      <w:rFonts w:hint="default" w:ascii="Times New Roman" w:hAnsi="Times New Roman" w:eastAsia="宋体" w:cs="Times New Roman"/>
                      <w:color w:val="auto"/>
                      <w:sz w:val="21"/>
                      <w:szCs w:val="21"/>
                      <w:highlight w:val="none"/>
                      <w:lang w:eastAsia="zh-CN"/>
                    </w:rPr>
                    <w:t>效率均不低于</w:t>
                  </w:r>
                  <w:r>
                    <w:rPr>
                      <w:rFonts w:hint="default" w:ascii="Times New Roman" w:hAnsi="Times New Roman" w:eastAsia="宋体" w:cs="Times New Roman"/>
                      <w:color w:val="auto"/>
                      <w:sz w:val="21"/>
                      <w:szCs w:val="21"/>
                      <w:highlight w:val="none"/>
                      <w:lang w:val="en-US" w:eastAsia="zh-CN"/>
                    </w:rPr>
                    <w:t>90</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p>
              </w:tc>
              <w:tc>
                <w:tcPr>
                  <w:tcW w:w="878" w:type="dxa"/>
                  <w:tcBorders>
                    <w:tl2br w:val="nil"/>
                    <w:tr2bl w:val="nil"/>
                  </w:tcBorders>
                  <w:vAlign w:val="center"/>
                </w:tcPr>
                <w:p w14:paraId="434B1813">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相符</w:t>
                  </w:r>
                </w:p>
              </w:tc>
            </w:tr>
            <w:tr w14:paraId="097CD4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5" w:hRule="atLeast"/>
                <w:jc w:val="center"/>
              </w:trPr>
              <w:tc>
                <w:tcPr>
                  <w:tcW w:w="1890" w:type="dxa"/>
                  <w:vMerge w:val="restart"/>
                  <w:tcBorders>
                    <w:tl2br w:val="nil"/>
                    <w:tr2bl w:val="nil"/>
                  </w:tcBorders>
                  <w:vAlign w:val="center"/>
                </w:tcPr>
                <w:p w14:paraId="7C4D50E0">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《重点行业挥发性有机物综合治理方案》(环大气[2019]53号)</w:t>
                  </w:r>
                </w:p>
              </w:tc>
              <w:tc>
                <w:tcPr>
                  <w:tcW w:w="3229" w:type="dxa"/>
                  <w:tcBorders>
                    <w:tl2br w:val="nil"/>
                    <w:tr2bl w:val="nil"/>
                  </w:tcBorders>
                  <w:vAlign w:val="center"/>
                </w:tcPr>
                <w:p w14:paraId="3FA342A4">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(1)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w:t>
                  </w:r>
                </w:p>
              </w:tc>
              <w:tc>
                <w:tcPr>
                  <w:tcW w:w="2951" w:type="dxa"/>
                  <w:tcBorders>
                    <w:tl2br w:val="nil"/>
                    <w:tr2bl w:val="nil"/>
                  </w:tcBorders>
                  <w:vAlign w:val="center"/>
                </w:tcPr>
                <w:p w14:paraId="7A22F3AB">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本</w:t>
                  </w:r>
                  <w:r>
                    <w:rPr>
                      <w:rFonts w:hint="default" w:ascii="Times New Roman" w:hAnsi="Times New Roman" w:eastAsia="宋体" w:cs="Times New Roman"/>
                      <w:color w:val="auto"/>
                      <w:kern w:val="2"/>
                      <w:sz w:val="21"/>
                      <w:szCs w:val="21"/>
                      <w:highlight w:val="none"/>
                      <w:lang w:val="en-US" w:eastAsia="zh-CN" w:bidi="ar-SA"/>
                    </w:rPr>
                    <w:t>项目不</w:t>
                  </w:r>
                  <w:r>
                    <w:rPr>
                      <w:rFonts w:hint="eastAsia" w:ascii="Times New Roman" w:hAnsi="Times New Roman" w:eastAsia="宋体" w:cs="Times New Roman"/>
                      <w:color w:val="auto"/>
                      <w:kern w:val="2"/>
                      <w:sz w:val="21"/>
                      <w:szCs w:val="21"/>
                      <w:highlight w:val="none"/>
                      <w:lang w:val="en-US" w:eastAsia="zh-CN" w:bidi="ar-SA"/>
                    </w:rPr>
                    <w:t>涉及</w:t>
                  </w:r>
                  <w:r>
                    <w:rPr>
                      <w:rFonts w:hint="default" w:ascii="Times New Roman" w:hAnsi="Times New Roman" w:eastAsia="宋体" w:cs="Times New Roman"/>
                      <w:color w:val="auto"/>
                      <w:kern w:val="2"/>
                      <w:sz w:val="21"/>
                      <w:szCs w:val="24"/>
                      <w:highlight w:val="none"/>
                      <w:lang w:val="en-US" w:eastAsia="zh-CN" w:bidi="ar-SA"/>
                    </w:rPr>
                    <w:t>溶剂型涂料、油墨、胶粘剂、清洗剂。</w:t>
                  </w:r>
                  <w:r>
                    <w:rPr>
                      <w:rFonts w:hint="eastAsia" w:ascii="Times New Roman" w:hAnsi="Times New Roman" w:eastAsia="宋体" w:cs="Times New Roman"/>
                      <w:color w:val="auto"/>
                      <w:kern w:val="2"/>
                      <w:sz w:val="21"/>
                      <w:szCs w:val="24"/>
                      <w:highlight w:val="none"/>
                      <w:lang w:val="en-US" w:eastAsia="zh-CN" w:bidi="ar-SA"/>
                    </w:rPr>
                    <w:t>实验过程中原料挥发产生的VOCs经通风橱收集后</w:t>
                  </w:r>
                  <w:r>
                    <w:rPr>
                      <w:rFonts w:hint="eastAsia" w:cs="Times New Roman"/>
                      <w:color w:val="auto"/>
                      <w:kern w:val="2"/>
                      <w:sz w:val="21"/>
                      <w:szCs w:val="24"/>
                      <w:highlight w:val="none"/>
                      <w:lang w:val="en-US" w:eastAsia="zh-CN" w:bidi="ar-SA"/>
                    </w:rPr>
                    <w:t>和经负压排风系统收集的危废间废气一起，</w:t>
                  </w:r>
                  <w:r>
                    <w:rPr>
                      <w:rFonts w:hint="eastAsia" w:ascii="Times New Roman" w:hAnsi="Times New Roman" w:eastAsia="宋体" w:cs="Times New Roman"/>
                      <w:color w:val="auto"/>
                      <w:kern w:val="2"/>
                      <w:sz w:val="21"/>
                      <w:szCs w:val="24"/>
                      <w:highlight w:val="none"/>
                      <w:lang w:val="en-US" w:eastAsia="zh-CN" w:bidi="ar-SA"/>
                    </w:rPr>
                    <w:t>通过二级活性炭吸附装置进行处理，最后通过一根15m高排气筒</w:t>
                  </w:r>
                  <w:r>
                    <w:rPr>
                      <w:rFonts w:hint="eastAsia" w:cs="Times New Roman"/>
                      <w:color w:val="auto"/>
                      <w:kern w:val="2"/>
                      <w:sz w:val="21"/>
                      <w:szCs w:val="24"/>
                      <w:highlight w:val="none"/>
                      <w:lang w:val="en-US" w:eastAsia="zh-CN" w:bidi="ar-SA"/>
                    </w:rPr>
                    <w:t>FQ01</w:t>
                  </w:r>
                  <w:r>
                    <w:rPr>
                      <w:rFonts w:hint="eastAsia" w:ascii="Times New Roman" w:hAnsi="Times New Roman" w:eastAsia="宋体" w:cs="Times New Roman"/>
                      <w:color w:val="auto"/>
                      <w:kern w:val="2"/>
                      <w:sz w:val="21"/>
                      <w:szCs w:val="24"/>
                      <w:highlight w:val="none"/>
                      <w:lang w:val="en-US" w:eastAsia="zh-CN" w:bidi="ar-SA"/>
                    </w:rPr>
                    <w:t>排空，产生的非甲烷总烃经收集处理后达标排放，收集率和处理效率均不低于90%。</w:t>
                  </w:r>
                </w:p>
                <w:p w14:paraId="6DD61E82">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p>
              </w:tc>
              <w:tc>
                <w:tcPr>
                  <w:tcW w:w="878" w:type="dxa"/>
                  <w:vMerge w:val="restart"/>
                  <w:tcBorders>
                    <w:tl2br w:val="nil"/>
                    <w:tr2bl w:val="nil"/>
                  </w:tcBorders>
                  <w:vAlign w:val="center"/>
                </w:tcPr>
                <w:p w14:paraId="44E2CAF9">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相符</w:t>
                  </w:r>
                </w:p>
              </w:tc>
            </w:tr>
            <w:tr w14:paraId="7BFD87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0" w:hRule="atLeast"/>
                <w:jc w:val="center"/>
              </w:trPr>
              <w:tc>
                <w:tcPr>
                  <w:tcW w:w="1890" w:type="dxa"/>
                  <w:vMerge w:val="continue"/>
                  <w:tcBorders>
                    <w:tl2br w:val="nil"/>
                    <w:tr2bl w:val="nil"/>
                  </w:tcBorders>
                  <w:vAlign w:val="center"/>
                </w:tcPr>
                <w:p w14:paraId="356DD8CD">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4"/>
                      <w:highlight w:val="none"/>
                      <w:lang w:val="en-US" w:eastAsia="zh-CN" w:bidi="ar-SA"/>
                    </w:rPr>
                  </w:pPr>
                </w:p>
              </w:tc>
              <w:tc>
                <w:tcPr>
                  <w:tcW w:w="3229" w:type="dxa"/>
                  <w:tcBorders>
                    <w:tl2br w:val="nil"/>
                    <w:tr2bl w:val="nil"/>
                  </w:tcBorders>
                  <w:vAlign w:val="center"/>
                </w:tcPr>
                <w:p w14:paraId="4F0AD1FC">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(2)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 (3)鼓励企业采用多种技术的组合工艺，提高VOCs治理效率。</w:t>
                  </w:r>
                </w:p>
              </w:tc>
              <w:tc>
                <w:tcPr>
                  <w:tcW w:w="2951" w:type="dxa"/>
                  <w:tcBorders>
                    <w:tl2br w:val="nil"/>
                    <w:tr2bl w:val="nil"/>
                  </w:tcBorders>
                  <w:vAlign w:val="center"/>
                </w:tcPr>
                <w:p w14:paraId="16882786">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olor w:val="auto"/>
                      <w:highlight w:val="none"/>
                      <w:lang w:val="en-US" w:eastAsia="zh-CN"/>
                    </w:rPr>
                    <w:t>本项目</w:t>
                  </w:r>
                  <w:r>
                    <w:rPr>
                      <w:rFonts w:hint="default" w:ascii="Times New Roman" w:hAnsi="Times New Roman" w:eastAsia="宋体"/>
                      <w:color w:val="auto"/>
                      <w:highlight w:val="none"/>
                    </w:rPr>
                    <w:t>含VOCs物料</w:t>
                  </w:r>
                  <w:r>
                    <w:rPr>
                      <w:rFonts w:hint="eastAsia" w:ascii="Times New Roman" w:hAnsi="Times New Roman" w:eastAsia="宋体"/>
                      <w:color w:val="auto"/>
                      <w:highlight w:val="none"/>
                      <w:lang w:val="en-US" w:eastAsia="zh-CN"/>
                    </w:rPr>
                    <w:t>均</w:t>
                  </w:r>
                  <w:r>
                    <w:rPr>
                      <w:rFonts w:hint="default" w:ascii="Times New Roman" w:hAnsi="Times New Roman" w:eastAsia="宋体"/>
                      <w:color w:val="auto"/>
                      <w:highlight w:val="none"/>
                    </w:rPr>
                    <w:t>储存于密闭容器、包装袋，高效密封储罐，封闭式储库等。含VOCs物料转移和输送，</w:t>
                  </w:r>
                  <w:r>
                    <w:rPr>
                      <w:rFonts w:hint="eastAsia" w:ascii="Times New Roman" w:hAnsi="Times New Roman" w:eastAsia="宋体"/>
                      <w:color w:val="auto"/>
                      <w:highlight w:val="none"/>
                      <w:lang w:val="en-US" w:eastAsia="zh-CN"/>
                    </w:rPr>
                    <w:t>均</w:t>
                  </w:r>
                  <w:r>
                    <w:rPr>
                      <w:rFonts w:hint="default" w:ascii="Times New Roman" w:hAnsi="Times New Roman" w:eastAsia="宋体"/>
                      <w:color w:val="auto"/>
                      <w:highlight w:val="none"/>
                    </w:rPr>
                    <w:t>采用密闭密闭容器。</w:t>
                  </w:r>
                  <w:r>
                    <w:rPr>
                      <w:rFonts w:hint="eastAsia" w:ascii="Times New Roman" w:hAnsi="Times New Roman" w:eastAsia="宋体" w:cs="Times New Roman"/>
                      <w:color w:val="auto"/>
                      <w:kern w:val="2"/>
                      <w:sz w:val="21"/>
                      <w:szCs w:val="24"/>
                      <w:highlight w:val="none"/>
                      <w:lang w:val="en-US" w:eastAsia="zh-CN" w:bidi="ar-SA"/>
                    </w:rPr>
                    <w:t>实验过程中原料挥发产生的VOCs经通风橱收集后</w:t>
                  </w:r>
                  <w:r>
                    <w:rPr>
                      <w:rFonts w:hint="eastAsia" w:cs="Times New Roman"/>
                      <w:color w:val="auto"/>
                      <w:kern w:val="2"/>
                      <w:sz w:val="21"/>
                      <w:szCs w:val="24"/>
                      <w:highlight w:val="none"/>
                      <w:lang w:val="en-US" w:eastAsia="zh-CN" w:bidi="ar-SA"/>
                    </w:rPr>
                    <w:t>和经负压排风系统收集的危废间废气一起，</w:t>
                  </w:r>
                  <w:r>
                    <w:rPr>
                      <w:rFonts w:hint="eastAsia" w:ascii="Times New Roman" w:hAnsi="Times New Roman" w:eastAsia="宋体" w:cs="Times New Roman"/>
                      <w:color w:val="auto"/>
                      <w:kern w:val="2"/>
                      <w:sz w:val="21"/>
                      <w:szCs w:val="24"/>
                      <w:highlight w:val="none"/>
                      <w:lang w:val="en-US" w:eastAsia="zh-CN" w:bidi="ar-SA"/>
                    </w:rPr>
                    <w:t>通过二级活性炭吸附装置进行处理，最后通过一根15m高排气筒</w:t>
                  </w:r>
                  <w:r>
                    <w:rPr>
                      <w:rFonts w:hint="eastAsia" w:cs="Times New Roman"/>
                      <w:color w:val="auto"/>
                      <w:kern w:val="2"/>
                      <w:sz w:val="21"/>
                      <w:szCs w:val="24"/>
                      <w:highlight w:val="none"/>
                      <w:lang w:val="en-US" w:eastAsia="zh-CN" w:bidi="ar-SA"/>
                    </w:rPr>
                    <w:t>FQ01</w:t>
                  </w:r>
                  <w:r>
                    <w:rPr>
                      <w:rFonts w:hint="eastAsia" w:ascii="Times New Roman" w:hAnsi="Times New Roman" w:eastAsia="宋体" w:cs="Times New Roman"/>
                      <w:color w:val="auto"/>
                      <w:kern w:val="2"/>
                      <w:sz w:val="21"/>
                      <w:szCs w:val="24"/>
                      <w:highlight w:val="none"/>
                      <w:lang w:val="en-US" w:eastAsia="zh-CN" w:bidi="ar-SA"/>
                    </w:rPr>
                    <w:t>排空，产生的非甲烷总烃经收集处理后达标排放，收集率和处理效率均不低于90%。</w:t>
                  </w:r>
                </w:p>
              </w:tc>
              <w:tc>
                <w:tcPr>
                  <w:tcW w:w="878" w:type="dxa"/>
                  <w:vMerge w:val="continue"/>
                  <w:tcBorders>
                    <w:tl2br w:val="nil"/>
                    <w:tr2bl w:val="nil"/>
                  </w:tcBorders>
                  <w:vAlign w:val="center"/>
                </w:tcPr>
                <w:p w14:paraId="6CD52F81">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p>
              </w:tc>
            </w:tr>
            <w:tr w14:paraId="6DC180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90" w:type="dxa"/>
                  <w:vMerge w:val="restart"/>
                  <w:tcBorders>
                    <w:tl2br w:val="nil"/>
                    <w:tr2bl w:val="nil"/>
                  </w:tcBorders>
                  <w:vAlign w:val="center"/>
                </w:tcPr>
                <w:p w14:paraId="01411635">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《江苏省重点行业挥发性有机物污染整治方案》的通知（苏环办〔2015〕19号）</w:t>
                  </w:r>
                </w:p>
              </w:tc>
              <w:tc>
                <w:tcPr>
                  <w:tcW w:w="3229" w:type="dxa"/>
                  <w:tcBorders>
                    <w:tl2br w:val="nil"/>
                    <w:tr2bl w:val="nil"/>
                  </w:tcBorders>
                  <w:vAlign w:val="center"/>
                </w:tcPr>
                <w:p w14:paraId="76D73400">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大力推行低挥发性物料使用，严格控制原料储存与装卸、工艺过程、末端治理、废液废渣逸散及生产设备密封点泄漏等环节及非正常工况挥发性有机物（简称VOCs，下同）排放，大幅提升行业VOCs污染防治水平，推动企业技术进步，大幅减少VOCs排放，促进环境空气质量改善。</w:t>
                  </w:r>
                </w:p>
              </w:tc>
              <w:tc>
                <w:tcPr>
                  <w:tcW w:w="2951" w:type="dxa"/>
                  <w:tcBorders>
                    <w:tl2br w:val="nil"/>
                    <w:tr2bl w:val="nil"/>
                  </w:tcBorders>
                  <w:vAlign w:val="center"/>
                </w:tcPr>
                <w:p w14:paraId="53779A39">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highlight w:val="none"/>
                    </w:rPr>
                  </w:pPr>
                  <w:r>
                    <w:rPr>
                      <w:rFonts w:hint="eastAsia" w:ascii="Times New Roman" w:hAnsi="Times New Roman" w:eastAsia="宋体"/>
                      <w:color w:val="auto"/>
                      <w:highlight w:val="none"/>
                      <w:lang w:val="en-US" w:eastAsia="zh-CN"/>
                    </w:rPr>
                    <w:t>本项目</w:t>
                  </w:r>
                  <w:r>
                    <w:rPr>
                      <w:rFonts w:hint="default" w:ascii="Times New Roman" w:hAnsi="Times New Roman" w:eastAsia="宋体"/>
                      <w:color w:val="auto"/>
                      <w:highlight w:val="none"/>
                    </w:rPr>
                    <w:t>含VOCs物料</w:t>
                  </w:r>
                  <w:r>
                    <w:rPr>
                      <w:rFonts w:hint="eastAsia" w:ascii="Times New Roman" w:hAnsi="Times New Roman" w:eastAsia="宋体"/>
                      <w:color w:val="auto"/>
                      <w:highlight w:val="none"/>
                      <w:lang w:val="en-US" w:eastAsia="zh-CN"/>
                    </w:rPr>
                    <w:t>均</w:t>
                  </w:r>
                  <w:r>
                    <w:rPr>
                      <w:rFonts w:hint="default" w:ascii="Times New Roman" w:hAnsi="Times New Roman" w:eastAsia="宋体"/>
                      <w:color w:val="auto"/>
                      <w:highlight w:val="none"/>
                    </w:rPr>
                    <w:t>储存于密闭容器、包装袋，高效密封储罐，封闭式储库等。</w:t>
                  </w:r>
                  <w:r>
                    <w:rPr>
                      <w:rFonts w:hint="eastAsia" w:ascii="Times New Roman" w:hAnsi="Times New Roman" w:eastAsia="宋体" w:cs="Times New Roman"/>
                      <w:color w:val="auto"/>
                      <w:kern w:val="2"/>
                      <w:sz w:val="21"/>
                      <w:szCs w:val="24"/>
                      <w:highlight w:val="none"/>
                      <w:lang w:val="en-US" w:eastAsia="zh-CN" w:bidi="ar-SA"/>
                    </w:rPr>
                    <w:t>实验过程中原料挥发产生的VOCs经通风橱收集后</w:t>
                  </w:r>
                  <w:r>
                    <w:rPr>
                      <w:rFonts w:hint="eastAsia" w:cs="Times New Roman"/>
                      <w:color w:val="auto"/>
                      <w:kern w:val="2"/>
                      <w:sz w:val="21"/>
                      <w:szCs w:val="24"/>
                      <w:highlight w:val="none"/>
                      <w:lang w:val="en-US" w:eastAsia="zh-CN" w:bidi="ar-SA"/>
                    </w:rPr>
                    <w:t>和经负压排风系统收集的危废间废气一起，</w:t>
                  </w:r>
                  <w:r>
                    <w:rPr>
                      <w:rFonts w:hint="eastAsia" w:ascii="Times New Roman" w:hAnsi="Times New Roman" w:eastAsia="宋体" w:cs="Times New Roman"/>
                      <w:color w:val="auto"/>
                      <w:kern w:val="2"/>
                      <w:sz w:val="21"/>
                      <w:szCs w:val="24"/>
                      <w:highlight w:val="none"/>
                      <w:lang w:val="en-US" w:eastAsia="zh-CN" w:bidi="ar-SA"/>
                    </w:rPr>
                    <w:t>通过二级活性炭吸附装置进行处理，最后通过一根15m高排气筒</w:t>
                  </w:r>
                  <w:r>
                    <w:rPr>
                      <w:rFonts w:hint="eastAsia" w:cs="Times New Roman"/>
                      <w:color w:val="auto"/>
                      <w:kern w:val="2"/>
                      <w:sz w:val="21"/>
                      <w:szCs w:val="24"/>
                      <w:highlight w:val="none"/>
                      <w:lang w:val="en-US" w:eastAsia="zh-CN" w:bidi="ar-SA"/>
                    </w:rPr>
                    <w:t>FQ01</w:t>
                  </w:r>
                  <w:r>
                    <w:rPr>
                      <w:rFonts w:hint="eastAsia" w:ascii="Times New Roman" w:hAnsi="Times New Roman" w:eastAsia="宋体" w:cs="Times New Roman"/>
                      <w:color w:val="auto"/>
                      <w:kern w:val="2"/>
                      <w:sz w:val="21"/>
                      <w:szCs w:val="24"/>
                      <w:highlight w:val="none"/>
                      <w:lang w:val="en-US" w:eastAsia="zh-CN" w:bidi="ar-SA"/>
                    </w:rPr>
                    <w:t>排空，产生的非甲烷总烃经收集处理后达标排放，收集率和处理效率均不低于90%。</w:t>
                  </w:r>
                </w:p>
              </w:tc>
              <w:tc>
                <w:tcPr>
                  <w:tcW w:w="878" w:type="dxa"/>
                  <w:tcBorders>
                    <w:tl2br w:val="nil"/>
                    <w:tr2bl w:val="nil"/>
                  </w:tcBorders>
                  <w:vAlign w:val="center"/>
                </w:tcPr>
                <w:p w14:paraId="1BD44FB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符合</w:t>
                  </w:r>
                </w:p>
              </w:tc>
            </w:tr>
            <w:tr w14:paraId="0DFA59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1890" w:type="dxa"/>
                  <w:vMerge w:val="continue"/>
                  <w:tcBorders>
                    <w:tl2br w:val="nil"/>
                    <w:tr2bl w:val="nil"/>
                  </w:tcBorders>
                  <w:vAlign w:val="center"/>
                </w:tcPr>
                <w:p w14:paraId="4E8966AE">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4"/>
                      <w:highlight w:val="none"/>
                      <w:lang w:val="en-US" w:eastAsia="zh-CN" w:bidi="ar-SA"/>
                    </w:rPr>
                  </w:pPr>
                </w:p>
              </w:tc>
              <w:tc>
                <w:tcPr>
                  <w:tcW w:w="3229" w:type="dxa"/>
                  <w:tcBorders>
                    <w:tl2br w:val="nil"/>
                    <w:tr2bl w:val="nil"/>
                  </w:tcBorders>
                  <w:vAlign w:val="center"/>
                </w:tcPr>
                <w:p w14:paraId="1E5D47A3">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kern w:val="2"/>
                      <w:sz w:val="21"/>
                      <w:szCs w:val="24"/>
                      <w:highlight w:val="yellow"/>
                      <w:lang w:val="en-US" w:eastAsia="zh-CN" w:bidi="ar-SA"/>
                    </w:rPr>
                  </w:pPr>
                  <w:r>
                    <w:rPr>
                      <w:rFonts w:hint="default" w:ascii="Times New Roman" w:hAnsi="Times New Roman" w:eastAsia="宋体" w:cs="Times New Roman"/>
                      <w:color w:val="auto"/>
                      <w:highlight w:val="none"/>
                    </w:rPr>
                    <w:t>严格限制新建VOCs排放量大的医药中间体、染料中间体、农药中间体和排放恶臭气体的项目。新、改、扩建. VOCs排放项目在设计和建设中应使用低毒、低臭、低挥发性的原辅料、选用先进的清洁生产和密闭化工艺，实现设备、装置、管线、采样等密闭化，从源头减少VOCs泄漏环节。</w:t>
                  </w:r>
                </w:p>
              </w:tc>
              <w:tc>
                <w:tcPr>
                  <w:tcW w:w="2951" w:type="dxa"/>
                  <w:tcBorders>
                    <w:tl2br w:val="nil"/>
                    <w:tr2bl w:val="nil"/>
                  </w:tcBorders>
                  <w:vAlign w:val="center"/>
                </w:tcPr>
                <w:p w14:paraId="68A6EDD1">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w:t>
                  </w:r>
                  <w:r>
                    <w:rPr>
                      <w:rFonts w:hint="default" w:ascii="Times New Roman" w:hAnsi="Times New Roman" w:eastAsia="宋体" w:cs="Times New Roman"/>
                      <w:color w:val="auto"/>
                      <w:szCs w:val="21"/>
                      <w:highlight w:val="none"/>
                    </w:rPr>
                    <w:t>目</w:t>
                  </w:r>
                  <w:r>
                    <w:rPr>
                      <w:rFonts w:hint="eastAsia" w:ascii="Times New Roman" w:hAnsi="Times New Roman" w:eastAsia="宋体" w:cs="Times New Roman"/>
                      <w:color w:val="auto"/>
                      <w:szCs w:val="21"/>
                      <w:highlight w:val="none"/>
                      <w:lang w:val="en-US" w:eastAsia="zh-CN"/>
                    </w:rPr>
                    <w:t>行业类别为[7340]医学研究和试验发展</w:t>
                  </w:r>
                  <w:r>
                    <w:rPr>
                      <w:rFonts w:hint="default"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最终产品为化合物测试，属于药物研发产品，</w:t>
                  </w:r>
                  <w:r>
                    <w:rPr>
                      <w:rFonts w:hint="default" w:ascii="Times New Roman" w:hAnsi="Times New Roman" w:eastAsia="宋体" w:cs="Times New Roman"/>
                      <w:color w:val="auto"/>
                      <w:szCs w:val="21"/>
                      <w:highlight w:val="none"/>
                    </w:rPr>
                    <w:t>不属于</w:t>
                  </w:r>
                  <w:r>
                    <w:rPr>
                      <w:rFonts w:hint="default" w:ascii="Times New Roman" w:hAnsi="Times New Roman" w:eastAsia="宋体" w:cs="Times New Roman"/>
                      <w:color w:val="auto"/>
                      <w:highlight w:val="none"/>
                    </w:rPr>
                    <w:t>医药中间体、染料中间体、农药中间体，不排放恶臭气体。</w:t>
                  </w:r>
                </w:p>
                <w:p w14:paraId="5B7A93B7">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kern w:val="2"/>
                      <w:sz w:val="21"/>
                      <w:szCs w:val="21"/>
                      <w:highlight w:val="yellow"/>
                      <w:lang w:val="en-US" w:eastAsia="zh-CN" w:bidi="ar-SA"/>
                    </w:rPr>
                  </w:pPr>
                  <w:r>
                    <w:rPr>
                      <w:rFonts w:hint="eastAsia" w:ascii="Times New Roman" w:hAnsi="Times New Roman" w:eastAsia="宋体" w:cs="Times New Roman"/>
                      <w:color w:val="auto"/>
                      <w:kern w:val="2"/>
                      <w:sz w:val="21"/>
                      <w:szCs w:val="24"/>
                      <w:highlight w:val="none"/>
                      <w:lang w:val="en-US" w:eastAsia="zh-CN" w:bidi="ar-SA"/>
                    </w:rPr>
                    <w:t>实验过程中原料挥发产生的VOCs经通风橱收集后</w:t>
                  </w:r>
                  <w:r>
                    <w:rPr>
                      <w:rFonts w:hint="eastAsia" w:cs="Times New Roman"/>
                      <w:color w:val="auto"/>
                      <w:kern w:val="2"/>
                      <w:sz w:val="21"/>
                      <w:szCs w:val="24"/>
                      <w:highlight w:val="none"/>
                      <w:lang w:val="en-US" w:eastAsia="zh-CN" w:bidi="ar-SA"/>
                    </w:rPr>
                    <w:t>和经负压排风系统收集的危废间废气一起，</w:t>
                  </w:r>
                  <w:r>
                    <w:rPr>
                      <w:rFonts w:hint="eastAsia" w:ascii="Times New Roman" w:hAnsi="Times New Roman" w:eastAsia="宋体" w:cs="Times New Roman"/>
                      <w:color w:val="auto"/>
                      <w:kern w:val="2"/>
                      <w:sz w:val="21"/>
                      <w:szCs w:val="24"/>
                      <w:highlight w:val="none"/>
                      <w:lang w:val="en-US" w:eastAsia="zh-CN" w:bidi="ar-SA"/>
                    </w:rPr>
                    <w:t>通过二级活性炭吸附装置进行处理，最后通过一根15m高排气筒</w:t>
                  </w:r>
                  <w:r>
                    <w:rPr>
                      <w:rFonts w:hint="eastAsia" w:cs="Times New Roman"/>
                      <w:color w:val="auto"/>
                      <w:kern w:val="2"/>
                      <w:sz w:val="21"/>
                      <w:szCs w:val="24"/>
                      <w:highlight w:val="none"/>
                      <w:lang w:val="en-US" w:eastAsia="zh-CN" w:bidi="ar-SA"/>
                    </w:rPr>
                    <w:t>FQ01</w:t>
                  </w:r>
                  <w:r>
                    <w:rPr>
                      <w:rFonts w:hint="eastAsia" w:ascii="Times New Roman" w:hAnsi="Times New Roman" w:eastAsia="宋体" w:cs="Times New Roman"/>
                      <w:color w:val="auto"/>
                      <w:kern w:val="2"/>
                      <w:sz w:val="21"/>
                      <w:szCs w:val="24"/>
                      <w:highlight w:val="none"/>
                      <w:lang w:val="en-US" w:eastAsia="zh-CN" w:bidi="ar-SA"/>
                    </w:rPr>
                    <w:t>排空，产生的非甲烷总烃经收集处理后达标排放，收集率和处理效率均不低于90%。</w:t>
                  </w:r>
                </w:p>
              </w:tc>
              <w:tc>
                <w:tcPr>
                  <w:tcW w:w="878" w:type="dxa"/>
                  <w:tcBorders>
                    <w:tl2br w:val="nil"/>
                    <w:tr2bl w:val="nil"/>
                  </w:tcBorders>
                  <w:vAlign w:val="center"/>
                </w:tcPr>
                <w:p w14:paraId="5D5DCC5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rPr>
                    <w:t>符合</w:t>
                  </w:r>
                </w:p>
              </w:tc>
            </w:tr>
            <w:tr w14:paraId="64CFAE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45" w:hRule="atLeast"/>
                <w:jc w:val="center"/>
              </w:trPr>
              <w:tc>
                <w:tcPr>
                  <w:tcW w:w="1890" w:type="dxa"/>
                  <w:tcBorders>
                    <w:tl2br w:val="nil"/>
                    <w:tr2bl w:val="nil"/>
                  </w:tcBorders>
                  <w:vAlign w:val="center"/>
                </w:tcPr>
                <w:p w14:paraId="65169751">
                  <w:pPr>
                    <w:keepNext w:val="0"/>
                    <w:keepLines w:val="0"/>
                    <w:widowControl/>
                    <w:suppressLineNumbers w:val="0"/>
                    <w:snapToGrid w:val="0"/>
                    <w:spacing w:before="0" w:beforeAutospacing="0" w:after="0" w:afterAutospacing="0"/>
                    <w:ind w:left="0" w:right="0"/>
                    <w:jc w:val="left"/>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《江苏省挥发性有机物清洁原料替代工作方案》</w:t>
                  </w:r>
                </w:p>
                <w:p w14:paraId="33C88818">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苏大气办〔2021〕2号</w:t>
                  </w:r>
                </w:p>
              </w:tc>
              <w:tc>
                <w:tcPr>
                  <w:tcW w:w="3229" w:type="dxa"/>
                  <w:tcBorders>
                    <w:tl2br w:val="nil"/>
                    <w:tr2bl w:val="nil"/>
                  </w:tcBorders>
                  <w:vAlign w:val="center"/>
                </w:tcPr>
                <w:p w14:paraId="2DEF4AAE">
                  <w:pPr>
                    <w:keepNext w:val="0"/>
                    <w:keepLines w:val="0"/>
                    <w:widowControl/>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其他涉VOCs 涂装企业，要使用符合《</w:t>
                  </w:r>
                  <w:r>
                    <w:rPr>
                      <w:rFonts w:hint="eastAsia" w:ascii="Times New Roman" w:hAnsi="Times New Roman" w:eastAsia="宋体" w:cs="Times New Roman"/>
                      <w:color w:val="auto"/>
                      <w:kern w:val="0"/>
                      <w:sz w:val="21"/>
                      <w:szCs w:val="21"/>
                      <w:highlight w:val="none"/>
                      <w:lang w:val="en-US" w:eastAsia="zh-CN" w:bidi="ar"/>
                    </w:rPr>
                    <w:t>低挥发性有机化合物含量涂料产品技术要求</w:t>
                  </w:r>
                  <w:r>
                    <w:rPr>
                      <w:rFonts w:hint="default" w:ascii="Times New Roman" w:hAnsi="Times New Roman" w:eastAsia="宋体" w:cs="Times New Roman"/>
                      <w:color w:val="auto"/>
                      <w:kern w:val="0"/>
                      <w:sz w:val="21"/>
                      <w:szCs w:val="21"/>
                      <w:highlight w:val="none"/>
                      <w:lang w:val="en-US" w:eastAsia="zh-CN" w:bidi="ar"/>
                    </w:rPr>
                    <w:t>》（GB/T38597-2020）规定的粉末、水性、无溶剂、辐射固化涂料产品；符合《清洗剂挥发性有机化合物含量限值》GB38508-2020）规定的水基、半水基清洗剂产品；符合《胶粘剂挥发性有机化合物限量》（GB33372-2020）规定的水基型、水体行胶粘剂产品。</w:t>
                  </w:r>
                </w:p>
                <w:p w14:paraId="66D45E12">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p>
              </w:tc>
              <w:tc>
                <w:tcPr>
                  <w:tcW w:w="2951" w:type="dxa"/>
                  <w:tcBorders>
                    <w:tl2br w:val="nil"/>
                    <w:tr2bl w:val="nil"/>
                  </w:tcBorders>
                  <w:vAlign w:val="center"/>
                </w:tcPr>
                <w:p w14:paraId="7ED7DBDB">
                  <w:pPr>
                    <w:keepNext w:val="0"/>
                    <w:keepLines w:val="0"/>
                    <w:widowControl/>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highlight w:val="none"/>
                    </w:rPr>
                    <w:t>本项</w:t>
                  </w:r>
                  <w:r>
                    <w:rPr>
                      <w:rFonts w:hint="default" w:ascii="Times New Roman" w:hAnsi="Times New Roman" w:eastAsia="宋体" w:cs="Times New Roman"/>
                      <w:color w:val="auto"/>
                      <w:szCs w:val="21"/>
                      <w:highlight w:val="none"/>
                    </w:rPr>
                    <w:t>目</w:t>
                  </w:r>
                  <w:r>
                    <w:rPr>
                      <w:rFonts w:hint="eastAsia" w:ascii="Times New Roman" w:hAnsi="Times New Roman" w:eastAsia="宋体" w:cs="Times New Roman"/>
                      <w:color w:val="auto"/>
                      <w:szCs w:val="21"/>
                      <w:highlight w:val="none"/>
                      <w:lang w:val="en-US" w:eastAsia="zh-CN"/>
                    </w:rPr>
                    <w:t>行业类别为[7340]医学研究和试验发展</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本</w:t>
                  </w:r>
                  <w:r>
                    <w:rPr>
                      <w:rFonts w:hint="default" w:ascii="Times New Roman" w:hAnsi="Times New Roman" w:eastAsia="宋体" w:cs="Times New Roman"/>
                      <w:color w:val="auto"/>
                      <w:szCs w:val="21"/>
                      <w:highlight w:val="none"/>
                    </w:rPr>
                    <w:t>项目生产过</w:t>
                  </w:r>
                  <w:r>
                    <w:rPr>
                      <w:rFonts w:hint="default" w:ascii="Times New Roman" w:hAnsi="Times New Roman" w:eastAsia="宋体" w:cs="Times New Roman"/>
                      <w:color w:val="auto"/>
                      <w:kern w:val="2"/>
                      <w:sz w:val="21"/>
                      <w:szCs w:val="21"/>
                      <w:highlight w:val="none"/>
                      <w:lang w:val="en-US" w:eastAsia="zh-CN" w:bidi="ar-SA"/>
                    </w:rPr>
                    <w:t>程中不</w:t>
                  </w:r>
                  <w:r>
                    <w:rPr>
                      <w:rFonts w:hint="eastAsia" w:ascii="Times New Roman" w:hAnsi="Times New Roman" w:eastAsia="宋体" w:cs="Times New Roman"/>
                      <w:color w:val="auto"/>
                      <w:kern w:val="2"/>
                      <w:sz w:val="21"/>
                      <w:szCs w:val="21"/>
                      <w:highlight w:val="none"/>
                      <w:lang w:val="en-US" w:eastAsia="zh-CN" w:bidi="ar-SA"/>
                    </w:rPr>
                    <w:t>涉及</w:t>
                  </w:r>
                  <w:r>
                    <w:rPr>
                      <w:rFonts w:hint="default" w:ascii="Times New Roman" w:hAnsi="Times New Roman" w:eastAsia="宋体" w:cs="Times New Roman"/>
                      <w:color w:val="auto"/>
                      <w:highlight w:val="none"/>
                    </w:rPr>
                    <w:t>溶剂型涂料、油墨、胶粘剂、清洗剂。</w:t>
                  </w:r>
                </w:p>
              </w:tc>
              <w:tc>
                <w:tcPr>
                  <w:tcW w:w="878" w:type="dxa"/>
                  <w:tcBorders>
                    <w:tl2br w:val="nil"/>
                    <w:tr2bl w:val="nil"/>
                  </w:tcBorders>
                  <w:vAlign w:val="center"/>
                </w:tcPr>
                <w:p w14:paraId="778B9FF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符合</w:t>
                  </w:r>
                </w:p>
              </w:tc>
            </w:tr>
            <w:tr w14:paraId="7B7153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90" w:type="dxa"/>
                  <w:tcBorders>
                    <w:tl2br w:val="nil"/>
                    <w:tr2bl w:val="nil"/>
                  </w:tcBorders>
                  <w:vAlign w:val="center"/>
                </w:tcPr>
                <w:p w14:paraId="1322642F">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《无锡市重点行业挥发性有机物清洁原料替代工作方案》(锡大气办)[2021]11号</w:t>
                  </w:r>
                </w:p>
              </w:tc>
              <w:tc>
                <w:tcPr>
                  <w:tcW w:w="3229" w:type="dxa"/>
                  <w:tcBorders>
                    <w:tl2br w:val="nil"/>
                    <w:tr2bl w:val="nil"/>
                  </w:tcBorders>
                  <w:vAlign w:val="center"/>
                </w:tcPr>
                <w:p w14:paraId="37CB8DCE">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（五）其他企业。各地可根据本地产业特色，将其他行业企业涉VOCs工序纳入清洁原料替代清单。</w:t>
                  </w:r>
                </w:p>
                <w:p w14:paraId="55773987">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其他行业企业涉VOCs相关工序，要使用符合《低挥发性有机化合物含量涂料产品技术要求》(GB/T 38597-2020)规定的粉末、水性、无溶剂、辐射固化涂料产品:符合《清洗剂挥发性有机化合物含量限值》(GB 38508-2020)规定的水基、半水基清洗剂产品:符合《胶粘剂挥发性有机化合物限量》(GB33</w:t>
                  </w:r>
                  <w:r>
                    <w:rPr>
                      <w:rFonts w:hint="eastAsia" w:ascii="Times New Roman" w:hAnsi="Times New Roman" w:eastAsia="宋体" w:cs="Times New Roman"/>
                      <w:color w:val="auto"/>
                      <w:kern w:val="2"/>
                      <w:sz w:val="21"/>
                      <w:szCs w:val="24"/>
                      <w:highlight w:val="none"/>
                      <w:lang w:val="en-US" w:eastAsia="zh-CN" w:bidi="ar-SA"/>
                    </w:rPr>
                    <w:t>3</w:t>
                  </w:r>
                  <w:r>
                    <w:rPr>
                      <w:rFonts w:hint="default" w:ascii="Times New Roman" w:hAnsi="Times New Roman" w:eastAsia="宋体" w:cs="Times New Roman"/>
                      <w:color w:val="auto"/>
                      <w:kern w:val="2"/>
                      <w:sz w:val="21"/>
                      <w:szCs w:val="24"/>
                      <w:highlight w:val="none"/>
                      <w:lang w:val="en-US" w:eastAsia="zh-CN" w:bidi="ar-SA"/>
                    </w:rPr>
                    <w:t>72-2020) 规定的水基型、本体型胶粘剂产品。若确实无法达到上述要求，应提供相应的论证说明。</w:t>
                  </w:r>
                </w:p>
              </w:tc>
              <w:tc>
                <w:tcPr>
                  <w:tcW w:w="2951" w:type="dxa"/>
                  <w:tcBorders>
                    <w:tl2br w:val="nil"/>
                    <w:tr2bl w:val="nil"/>
                  </w:tcBorders>
                  <w:vAlign w:val="center"/>
                </w:tcPr>
                <w:p w14:paraId="5C82126C">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yellow"/>
                      <w:lang w:val="en-US" w:eastAsia="zh-CN" w:bidi="ar-SA"/>
                    </w:rPr>
                  </w:pPr>
                  <w:r>
                    <w:rPr>
                      <w:rFonts w:hint="eastAsia" w:ascii="Times New Roman" w:hAnsi="Times New Roman" w:eastAsia="宋体" w:cs="Times New Roman"/>
                      <w:color w:val="auto"/>
                      <w:kern w:val="2"/>
                      <w:sz w:val="21"/>
                      <w:szCs w:val="21"/>
                      <w:highlight w:val="none"/>
                      <w:lang w:val="en-US" w:eastAsia="zh-CN" w:bidi="ar-SA"/>
                    </w:rPr>
                    <w:t>本项目行业类别为</w:t>
                  </w:r>
                  <w:r>
                    <w:rPr>
                      <w:rFonts w:hint="default" w:ascii="Times New Roman" w:hAnsi="Times New Roman" w:eastAsia="宋体" w:cs="Times New Roman"/>
                      <w:color w:val="auto"/>
                      <w:kern w:val="2"/>
                      <w:sz w:val="21"/>
                      <w:szCs w:val="21"/>
                      <w:highlight w:val="none"/>
                      <w:lang w:val="en-US" w:eastAsia="zh-CN" w:bidi="ar-SA"/>
                    </w:rPr>
                    <w:t>[7340]医学研究和</w:t>
                  </w:r>
                  <w:r>
                    <w:rPr>
                      <w:rFonts w:hint="eastAsia" w:ascii="Times New Roman" w:hAnsi="Times New Roman" w:eastAsia="宋体" w:cs="Times New Roman"/>
                      <w:color w:val="auto"/>
                      <w:kern w:val="2"/>
                      <w:sz w:val="21"/>
                      <w:szCs w:val="21"/>
                      <w:highlight w:val="none"/>
                      <w:lang w:val="en-US" w:eastAsia="zh-CN" w:bidi="ar-SA"/>
                    </w:rPr>
                    <w:t>试验发展</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本</w:t>
                  </w:r>
                  <w:r>
                    <w:rPr>
                      <w:rFonts w:hint="default" w:ascii="Times New Roman" w:hAnsi="Times New Roman" w:eastAsia="宋体" w:cs="Times New Roman"/>
                      <w:color w:val="auto"/>
                      <w:kern w:val="2"/>
                      <w:sz w:val="21"/>
                      <w:szCs w:val="21"/>
                      <w:highlight w:val="none"/>
                      <w:lang w:val="en-US" w:eastAsia="zh-CN" w:bidi="ar-SA"/>
                    </w:rPr>
                    <w:t>项目不</w:t>
                  </w:r>
                  <w:r>
                    <w:rPr>
                      <w:rFonts w:hint="eastAsia" w:ascii="Times New Roman" w:hAnsi="Times New Roman" w:eastAsia="宋体" w:cs="Times New Roman"/>
                      <w:color w:val="auto"/>
                      <w:kern w:val="2"/>
                      <w:sz w:val="21"/>
                      <w:szCs w:val="21"/>
                      <w:highlight w:val="none"/>
                      <w:lang w:val="en-US" w:eastAsia="zh-CN" w:bidi="ar-SA"/>
                    </w:rPr>
                    <w:t>涉及</w:t>
                  </w:r>
                  <w:r>
                    <w:rPr>
                      <w:rFonts w:hint="default" w:ascii="Times New Roman" w:hAnsi="Times New Roman" w:eastAsia="宋体" w:cs="Times New Roman"/>
                      <w:color w:val="auto"/>
                      <w:kern w:val="2"/>
                      <w:sz w:val="21"/>
                      <w:szCs w:val="24"/>
                      <w:highlight w:val="none"/>
                      <w:lang w:val="en-US" w:eastAsia="zh-CN" w:bidi="ar-SA"/>
                    </w:rPr>
                    <w:t>溶剂型涂料、油墨、胶粘剂、清洗剂。</w:t>
                  </w:r>
                </w:p>
              </w:tc>
              <w:tc>
                <w:tcPr>
                  <w:tcW w:w="878" w:type="dxa"/>
                  <w:tcBorders>
                    <w:tl2br w:val="nil"/>
                    <w:tr2bl w:val="nil"/>
                  </w:tcBorders>
                  <w:vAlign w:val="center"/>
                </w:tcPr>
                <w:p w14:paraId="629068D3">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相符</w:t>
                  </w:r>
                </w:p>
              </w:tc>
            </w:tr>
            <w:tr w14:paraId="5D527E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890" w:type="dxa"/>
                  <w:tcBorders>
                    <w:tl2br w:val="nil"/>
                    <w:tr2bl w:val="nil"/>
                  </w:tcBorders>
                  <w:vAlign w:val="center"/>
                </w:tcPr>
                <w:p w14:paraId="57543B22">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《关于加快解决当前挥发性有机物治理突出问题的通知》（环大气[2021]65号）</w:t>
                  </w:r>
                </w:p>
              </w:tc>
              <w:tc>
                <w:tcPr>
                  <w:tcW w:w="3229" w:type="dxa"/>
                  <w:tcBorders>
                    <w:tl2br w:val="nil"/>
                    <w:tr2bl w:val="nil"/>
                  </w:tcBorders>
                  <w:vAlign w:val="center"/>
                </w:tcPr>
                <w:p w14:paraId="5DE280EF">
                  <w:pPr>
                    <w:keepNext w:val="0"/>
                    <w:keepLines w:val="0"/>
                    <w:suppressLineNumbers w:val="0"/>
                    <w:autoSpaceDE w:val="0"/>
                    <w:autoSpaceDN w:val="0"/>
                    <w:adjustRightInd w:val="0"/>
                    <w:snapToGrid w:val="0"/>
                    <w:spacing w:before="0" w:beforeAutospacing="0" w:after="0" w:afterAutospacing="0"/>
                    <w:ind w:left="0" w:leftChars="0" w:right="0" w:rightChars="0"/>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Cs w:val="21"/>
                      <w:highlight w:val="none"/>
                      <w:lang w:val="en-US" w:eastAsia="zh-CN"/>
                    </w:rPr>
                    <w:t>废气收集设施：</w:t>
                  </w:r>
                  <w:r>
                    <w:rPr>
                      <w:rFonts w:hint="default" w:ascii="Times New Roman" w:hAnsi="Times New Roman" w:eastAsia="宋体" w:cs="Times New Roman"/>
                      <w:color w:val="auto"/>
                      <w:szCs w:val="21"/>
                      <w:highlight w:val="none"/>
                    </w:rPr>
                    <w:t xml:space="preserve">产生VOCs的生产环节优先采用密闭设备、在密闭空间中操作或采用全密闭集气罩收集方式，并保持负压运行。无尘等级要求车间需设置成正压的，宜建设内层正压、外层微负压的双层整体密闭收集空间。对采用局部收集方式的企业，距废气收集系统排风罩开口面最远处的VOCs 无组织排放位置控制风速不低于0.3m/s；推广以生产线或设备为单位设置隔间，收集风量应确保隔间保持微负压。当废气产生点较多、彼此距离较远时，在满足设计规范、风压平衡的基础上，适当分设多套收集系统或中继风机。废气收集系统的输送管道应密闭、无破损。焦化行业加强焦炉密封性检查，对于变形炉门、炉顶炉盖及时修复更换；加强焦炉工况监督制药、农药、涂料、油墨、胶粘剂等间歇性生产工序较多的行业应对进出料、物料输送、搅拌、固液分离、干燥、灌装、取样等过程采取密闭化措施，提升工艺装备水平；含VOCs物料输送原则上采用重力流或泵送方式；有机液体进料鼓励采用底部、浸入管给料方式；固体物料投加逐步推进采用密闭式投料装置。工业涂装行业建设密闭喷漆房，对于大型构件（船舶、钢结构）实施分段涂装，废气进行收集治理；对于确需露天涂装的，应采用符合国家或地方标准要求的低（无） VOCs含量涂料，或使用移动式废气收集治理设施。包装印刷行业的印刷、复合、涂布工序实施密闭化改造，全面采用VOCs质量占比小于10%的原辅材料的除外。鼓励石油炼制企业开展冷焦水、切焦水等废气收集治理。使用VOCs质量占比大于等于10%的涂料、油墨、胶粘剂、稀释剂、清洗剂等物料存储、调配、转移、输送等环节应密闭。 </w:t>
                  </w:r>
                </w:p>
              </w:tc>
              <w:tc>
                <w:tcPr>
                  <w:tcW w:w="2951" w:type="dxa"/>
                  <w:tcBorders>
                    <w:tl2br w:val="nil"/>
                    <w:tr2bl w:val="nil"/>
                  </w:tcBorders>
                  <w:vAlign w:val="center"/>
                </w:tcPr>
                <w:p w14:paraId="351EBE85">
                  <w:pPr>
                    <w:keepNext w:val="0"/>
                    <w:keepLines w:val="0"/>
                    <w:suppressLineNumbers w:val="0"/>
                    <w:adjustRightInd w:val="0"/>
                    <w:snapToGrid w:val="0"/>
                    <w:spacing w:before="0" w:beforeAutospacing="0" w:after="0" w:afterAutospacing="0"/>
                    <w:ind w:left="0" w:right="0"/>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实验过程中原料挥发产生的VOCs经通风橱收集后</w:t>
                  </w:r>
                  <w:r>
                    <w:rPr>
                      <w:rFonts w:hint="eastAsia" w:cs="Times New Roman"/>
                      <w:color w:val="auto"/>
                      <w:kern w:val="2"/>
                      <w:sz w:val="21"/>
                      <w:szCs w:val="24"/>
                      <w:highlight w:val="none"/>
                      <w:lang w:val="en-US" w:eastAsia="zh-CN" w:bidi="ar-SA"/>
                    </w:rPr>
                    <w:t>和经负压排风系统收集的危废间废气一起，</w:t>
                  </w:r>
                  <w:r>
                    <w:rPr>
                      <w:rFonts w:hint="eastAsia" w:ascii="Times New Roman" w:hAnsi="Times New Roman" w:eastAsia="宋体" w:cs="Times New Roman"/>
                      <w:color w:val="auto"/>
                      <w:kern w:val="2"/>
                      <w:sz w:val="21"/>
                      <w:szCs w:val="24"/>
                      <w:highlight w:val="none"/>
                      <w:lang w:val="en-US" w:eastAsia="zh-CN" w:bidi="ar-SA"/>
                    </w:rPr>
                    <w:t>通过二级活性炭吸附装置进行处理，最后通过一根15m高排气筒</w:t>
                  </w:r>
                  <w:r>
                    <w:rPr>
                      <w:rFonts w:hint="eastAsia" w:cs="Times New Roman"/>
                      <w:color w:val="auto"/>
                      <w:kern w:val="2"/>
                      <w:sz w:val="21"/>
                      <w:szCs w:val="24"/>
                      <w:highlight w:val="none"/>
                      <w:lang w:val="en-US" w:eastAsia="zh-CN" w:bidi="ar-SA"/>
                    </w:rPr>
                    <w:t>FQ01</w:t>
                  </w:r>
                  <w:r>
                    <w:rPr>
                      <w:rFonts w:hint="eastAsia" w:ascii="Times New Roman" w:hAnsi="Times New Roman" w:eastAsia="宋体" w:cs="Times New Roman"/>
                      <w:color w:val="auto"/>
                      <w:kern w:val="2"/>
                      <w:sz w:val="21"/>
                      <w:szCs w:val="24"/>
                      <w:highlight w:val="none"/>
                      <w:lang w:val="en-US" w:eastAsia="zh-CN" w:bidi="ar-SA"/>
                    </w:rPr>
                    <w:t>排空，产生的非甲烷总烃经收集处理后达标排放，收集率和处理效率均不低于90%。</w:t>
                  </w:r>
                </w:p>
                <w:p w14:paraId="49200896">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本项目行业类别为M7340医学研究和试验发展</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不属于焦化行业、工业涂装行业、包装印刷行业。</w:t>
                  </w:r>
                </w:p>
                <w:p w14:paraId="7E752D24">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Cs w:val="21"/>
                      <w:highlight w:val="none"/>
                      <w:lang w:val="en-US" w:eastAsia="zh-CN"/>
                    </w:rPr>
                    <w:t>本</w:t>
                  </w:r>
                  <w:r>
                    <w:rPr>
                      <w:rFonts w:hint="default" w:ascii="Times New Roman" w:hAnsi="Times New Roman" w:eastAsia="宋体" w:cs="Times New Roman"/>
                      <w:color w:val="auto"/>
                      <w:szCs w:val="21"/>
                      <w:highlight w:val="none"/>
                    </w:rPr>
                    <w:t>项目</w:t>
                  </w:r>
                  <w:r>
                    <w:rPr>
                      <w:rFonts w:hint="default" w:ascii="Times New Roman" w:hAnsi="Times New Roman" w:eastAsia="宋体" w:cs="Times New Roman"/>
                      <w:color w:val="auto"/>
                      <w:kern w:val="2"/>
                      <w:sz w:val="21"/>
                      <w:szCs w:val="21"/>
                      <w:highlight w:val="none"/>
                      <w:lang w:val="en-US" w:eastAsia="zh-CN" w:bidi="ar-SA"/>
                    </w:rPr>
                    <w:t>不</w:t>
                  </w:r>
                  <w:r>
                    <w:rPr>
                      <w:rFonts w:hint="eastAsia" w:ascii="Times New Roman" w:hAnsi="Times New Roman" w:eastAsia="宋体" w:cs="Times New Roman"/>
                      <w:color w:val="auto"/>
                      <w:kern w:val="2"/>
                      <w:sz w:val="21"/>
                      <w:szCs w:val="21"/>
                      <w:highlight w:val="none"/>
                      <w:lang w:val="en-US" w:eastAsia="zh-CN" w:bidi="ar-SA"/>
                    </w:rPr>
                    <w:t>涉及</w:t>
                  </w:r>
                  <w:r>
                    <w:rPr>
                      <w:rFonts w:hint="default" w:ascii="Times New Roman" w:hAnsi="Times New Roman" w:eastAsia="宋体" w:cs="Times New Roman"/>
                      <w:color w:val="auto"/>
                      <w:highlight w:val="none"/>
                    </w:rPr>
                    <w:t>溶剂型涂料、油墨、胶粘剂、清洗剂</w:t>
                  </w:r>
                  <w:r>
                    <w:rPr>
                      <w:rFonts w:hint="eastAsia" w:ascii="Times New Roman" w:hAnsi="Times New Roman" w:eastAsia="宋体" w:cs="Times New Roman"/>
                      <w:color w:val="auto"/>
                      <w:highlight w:val="none"/>
                      <w:lang w:val="en-US" w:eastAsia="zh-CN"/>
                    </w:rPr>
                    <w:t>等有机物料的使用。</w:t>
                  </w:r>
                </w:p>
              </w:tc>
              <w:tc>
                <w:tcPr>
                  <w:tcW w:w="878" w:type="dxa"/>
                  <w:tcBorders>
                    <w:tl2br w:val="nil"/>
                    <w:tr2bl w:val="nil"/>
                  </w:tcBorders>
                  <w:vAlign w:val="center"/>
                </w:tcPr>
                <w:p w14:paraId="3DCD366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Cs w:val="21"/>
                      <w:highlight w:val="none"/>
                    </w:rPr>
                    <w:t>符合</w:t>
                  </w:r>
                </w:p>
              </w:tc>
            </w:tr>
            <w:tr w14:paraId="3C5054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0" w:hRule="atLeast"/>
                <w:jc w:val="center"/>
              </w:trPr>
              <w:tc>
                <w:tcPr>
                  <w:tcW w:w="1890" w:type="dxa"/>
                  <w:tcBorders>
                    <w:tl2br w:val="nil"/>
                    <w:tr2bl w:val="nil"/>
                  </w:tcBorders>
                  <w:vAlign w:val="center"/>
                </w:tcPr>
                <w:p w14:paraId="4A18C00A">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p>
              </w:tc>
              <w:tc>
                <w:tcPr>
                  <w:tcW w:w="3229" w:type="dxa"/>
                  <w:tcBorders>
                    <w:tl2br w:val="nil"/>
                    <w:tr2bl w:val="nil"/>
                  </w:tcBorders>
                  <w:vAlign w:val="center"/>
                </w:tcPr>
                <w:p w14:paraId="66925734">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bCs w:val="0"/>
                      <w:color w:val="auto"/>
                      <w:szCs w:val="21"/>
                      <w:highlight w:val="none"/>
                    </w:rPr>
                    <w:t>有机废气治理设施</w:t>
                  </w:r>
                  <w:r>
                    <w:rPr>
                      <w:rFonts w:hint="eastAsia" w:ascii="Times New Roman" w:hAnsi="Times New Roman" w:eastAsia="宋体" w:cs="Times New Roman"/>
                      <w:b w:val="0"/>
                      <w:bCs w:val="0"/>
                      <w:color w:val="auto"/>
                      <w:szCs w:val="21"/>
                      <w:highlight w:val="none"/>
                      <w:lang w:eastAsia="zh-CN"/>
                    </w:rPr>
                    <w:t>：</w:t>
                  </w:r>
                  <w:r>
                    <w:rPr>
                      <w:rFonts w:hint="default" w:ascii="Times New Roman" w:hAnsi="Times New Roman" w:eastAsia="宋体" w:cs="Times New Roman"/>
                      <w:color w:val="auto"/>
                      <w:szCs w:val="21"/>
                      <w:highlight w:val="none"/>
                    </w:rPr>
                    <w:t>新建治理设施或对现有治理设施实施改造，应依据排放废气特征、VOCs组分及浓度、生产工况等，合理选择治理技术；对治理难度大、单一治理工艺难以稳定达标的，宜采用多种技术的组合工艺；除恶臭异味治理外，一般不使用低温等离子、光催化、光氧化等技术。</w:t>
                  </w:r>
                </w:p>
                <w:p w14:paraId="76FD32C0">
                  <w:pPr>
                    <w:keepNext w:val="0"/>
                    <w:keepLines w:val="0"/>
                    <w:suppressLineNumbers w:val="0"/>
                    <w:autoSpaceDE w:val="0"/>
                    <w:autoSpaceDN w:val="0"/>
                    <w:adjustRightInd w:val="0"/>
                    <w:snapToGrid w:val="0"/>
                    <w:spacing w:before="0" w:beforeAutospacing="0" w:after="0" w:afterAutospacing="0"/>
                    <w:ind w:left="0"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加强运行维护管理，做到治理设施较生产设备“先启后停”，在治理设施达到正常运行条件后方可启动生产设备，在生产设备停止、残留VOCs废气收集处理完毕后，方可停运治理设施；及时清理、更换吸附剂、吸收剂、催化剂、蓄热体、过滤棉、灯管、电器元件等治理设施耗材，确保设施能够稳定高效运行；做好生产设备和治理设施启停机时间、检维修情况、治理设施耗材维护更换、处置情况等台账记录；对于VOCs治理设施产生的废过滤棉、废催化剂、废吸附剂、废吸收剂、废有机溶剂等，应及时清运，属于危险废物的应交有资质的单位处理处置。</w:t>
                  </w:r>
                </w:p>
                <w:p w14:paraId="1CCDF972">
                  <w:pPr>
                    <w:keepNext w:val="0"/>
                    <w:keepLines w:val="0"/>
                    <w:suppressLineNumbers w:val="0"/>
                    <w:autoSpaceDE w:val="0"/>
                    <w:autoSpaceDN w:val="0"/>
                    <w:adjustRightInd w:val="0"/>
                    <w:snapToGrid w:val="0"/>
                    <w:spacing w:before="0" w:beforeAutospacing="0" w:after="0" w:afterAutospacing="0"/>
                    <w:ind w:left="0"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采用活性炭吸附工艺的企业，应根据废气排放特征，按照相关工程技术规范设计净化工艺和设备，使废气在吸附装置中有足够的停留时间，选择符合相关产品质量标准的活性炭，并足额充填、及时更换。采用颗粒活性炭作为吸附剂时，其碘值不宜低于800mg/g；采用蜂窝活性炭作为吸附剂时，其碘值不宜低于650mg/g；采用活性炭纤维作为吸附剂时，其比表面积不低于1100m</w:t>
                  </w:r>
                  <w:r>
                    <w:rPr>
                      <w:rFonts w:hint="default" w:ascii="Times New Roman" w:hAnsi="Times New Roman" w:eastAsia="宋体" w:cs="Times New Roman"/>
                      <w:color w:val="auto"/>
                      <w:szCs w:val="21"/>
                      <w:highlight w:val="none"/>
                      <w:vertAlign w:val="superscript"/>
                    </w:rPr>
                    <w:t>2</w:t>
                  </w:r>
                  <w:r>
                    <w:rPr>
                      <w:rFonts w:hint="default" w:ascii="Times New Roman" w:hAnsi="Times New Roman" w:eastAsia="宋体" w:cs="Times New Roman"/>
                      <w:color w:val="auto"/>
                      <w:szCs w:val="21"/>
                      <w:highlight w:val="none"/>
                    </w:rPr>
                    <w:t>/g （BET法）。一次性活性炭吸附工艺宜采用颗粒活性炭作为吸附剂。活性炭、活性炭纤维产品销售时应提供产品质量证明材料。</w:t>
                  </w:r>
                </w:p>
                <w:p w14:paraId="05050FEF">
                  <w:pPr>
                    <w:keepNext w:val="0"/>
                    <w:keepLines w:val="0"/>
                    <w:suppressLineNumbers w:val="0"/>
                    <w:autoSpaceDE w:val="0"/>
                    <w:autoSpaceDN w:val="0"/>
                    <w:adjustRightInd w:val="0"/>
                    <w:snapToGrid w:val="0"/>
                    <w:spacing w:before="0" w:beforeAutospacing="0" w:after="0" w:afterAutospacing="0"/>
                    <w:ind w:left="0"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采用催化燃烧工艺的企业应使用合格的催化剂并足额添加，催化剂床层的设计空速宜低于40000h</w:t>
                  </w:r>
                  <w:r>
                    <w:rPr>
                      <w:rFonts w:hint="default" w:ascii="Times New Roman" w:hAnsi="Times New Roman" w:eastAsia="宋体" w:cs="Times New Roman"/>
                      <w:color w:val="auto"/>
                      <w:szCs w:val="21"/>
                      <w:highlight w:val="none"/>
                      <w:vertAlign w:val="superscript"/>
                    </w:rPr>
                    <w:t>-1</w:t>
                  </w:r>
                  <w:r>
                    <w:rPr>
                      <w:rFonts w:hint="default" w:ascii="Times New Roman" w:hAnsi="Times New Roman" w:eastAsia="宋体" w:cs="Times New Roman"/>
                      <w:color w:val="auto"/>
                      <w:szCs w:val="21"/>
                      <w:highlight w:val="none"/>
                    </w:rPr>
                    <w:t>。 采用非连续吸脱附治理工艺的，应按设计要求及时解吸吸附的VOCs，解吸气体应保证采用高效处理工艺处理后达标排放。蓄热式燃烧装置（RTO）燃烧温度一般不低于760℃，催化燃烧装置（CO）燃烧温度一般不低于300℃，相关温度参数应自动记录存储。</w:t>
                  </w:r>
                </w:p>
                <w:p w14:paraId="46397747">
                  <w:pPr>
                    <w:keepNext w:val="0"/>
                    <w:keepLines w:val="0"/>
                    <w:suppressLineNumbers w:val="0"/>
                    <w:autoSpaceDE w:val="0"/>
                    <w:autoSpaceDN w:val="0"/>
                    <w:adjustRightInd w:val="0"/>
                    <w:snapToGrid w:val="0"/>
                    <w:spacing w:before="0" w:beforeAutospacing="0" w:after="0" w:afterAutospacing="0"/>
                    <w:ind w:left="0" w:leftChars="0" w:right="0" w:rightChars="0" w:firstLine="420" w:firstLineChars="200"/>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有条件的工业园区和企业集群鼓励建设集中涂装中心，分散吸附、集中脱附模式的活性炭集中再生中心，溶剂回收中心等涉VOCs“绿岛”项目，实现VOCs集中高效处理。</w:t>
                  </w:r>
                </w:p>
              </w:tc>
              <w:tc>
                <w:tcPr>
                  <w:tcW w:w="2951" w:type="dxa"/>
                  <w:tcBorders>
                    <w:tl2br w:val="nil"/>
                    <w:tr2bl w:val="nil"/>
                  </w:tcBorders>
                  <w:vAlign w:val="center"/>
                </w:tcPr>
                <w:p w14:paraId="012C4DD0">
                  <w:pPr>
                    <w:keepNext w:val="0"/>
                    <w:keepLines w:val="0"/>
                    <w:suppressLineNumbers w:val="0"/>
                    <w:autoSpaceDE w:val="0"/>
                    <w:autoSpaceDN w:val="0"/>
                    <w:adjustRightInd w:val="0"/>
                    <w:snapToGrid w:val="0"/>
                    <w:spacing w:before="0" w:beforeAutospacing="0" w:after="0" w:afterAutospacing="0"/>
                    <w:ind w:left="0" w:leftChars="0" w:right="0" w:rightChars="0" w:firstLine="420" w:firstLineChars="200"/>
                    <w:rPr>
                      <w:rFonts w:hint="eastAsia" w:ascii="Times New Roman" w:hAnsi="Times New Roman" w:eastAsia="宋体" w:cs="Times New Roman"/>
                      <w:color w:val="auto"/>
                      <w:szCs w:val="21"/>
                      <w:highlight w:val="yellow"/>
                      <w:lang w:val="en-US" w:eastAsia="zh-CN"/>
                    </w:rPr>
                  </w:pPr>
                  <w:r>
                    <w:rPr>
                      <w:rFonts w:hint="eastAsia" w:ascii="Times New Roman" w:hAnsi="Times New Roman" w:eastAsia="宋体" w:cs="Times New Roman"/>
                      <w:color w:val="auto"/>
                      <w:szCs w:val="21"/>
                      <w:highlight w:val="none"/>
                      <w:lang w:val="en-US" w:eastAsia="zh-CN"/>
                    </w:rPr>
                    <w:t>本</w:t>
                  </w:r>
                  <w:r>
                    <w:rPr>
                      <w:rFonts w:hint="default" w:ascii="Times New Roman" w:hAnsi="Times New Roman" w:eastAsia="宋体" w:cs="Times New Roman"/>
                      <w:color w:val="auto"/>
                      <w:szCs w:val="21"/>
                      <w:highlight w:val="none"/>
                    </w:rPr>
                    <w:t>项目生产过</w:t>
                  </w:r>
                  <w:r>
                    <w:rPr>
                      <w:rFonts w:hint="default" w:ascii="Times New Roman" w:hAnsi="Times New Roman" w:eastAsia="宋体" w:cs="Times New Roman"/>
                      <w:color w:val="auto"/>
                      <w:kern w:val="2"/>
                      <w:sz w:val="21"/>
                      <w:szCs w:val="21"/>
                      <w:highlight w:val="none"/>
                      <w:lang w:val="en-US" w:eastAsia="zh-CN" w:bidi="ar-SA"/>
                    </w:rPr>
                    <w:t>程中不</w:t>
                  </w:r>
                  <w:r>
                    <w:rPr>
                      <w:rFonts w:hint="eastAsia" w:ascii="Times New Roman" w:hAnsi="Times New Roman" w:eastAsia="宋体" w:cs="Times New Roman"/>
                      <w:color w:val="auto"/>
                      <w:kern w:val="2"/>
                      <w:sz w:val="21"/>
                      <w:szCs w:val="21"/>
                      <w:highlight w:val="none"/>
                      <w:lang w:val="en-US" w:eastAsia="zh-CN" w:bidi="ar-SA"/>
                    </w:rPr>
                    <w:t>涉及</w:t>
                  </w:r>
                  <w:r>
                    <w:rPr>
                      <w:rFonts w:hint="default" w:ascii="Times New Roman" w:hAnsi="Times New Roman" w:eastAsia="宋体" w:cs="Times New Roman"/>
                      <w:color w:val="auto"/>
                      <w:highlight w:val="none"/>
                    </w:rPr>
                    <w:t>溶剂型涂料、油墨、胶粘剂、清洗剂。</w:t>
                  </w:r>
                  <w:r>
                    <w:rPr>
                      <w:rFonts w:hint="eastAsia" w:ascii="Times New Roman" w:hAnsi="Times New Roman" w:eastAsia="宋体" w:cs="Times New Roman"/>
                      <w:color w:val="auto"/>
                      <w:kern w:val="2"/>
                      <w:sz w:val="21"/>
                      <w:szCs w:val="24"/>
                      <w:highlight w:val="none"/>
                      <w:lang w:val="en-US" w:eastAsia="zh-CN" w:bidi="ar-SA"/>
                    </w:rPr>
                    <w:t>实验过程中原料挥发产生的VOCs经通风橱收集后</w:t>
                  </w:r>
                  <w:r>
                    <w:rPr>
                      <w:rFonts w:hint="eastAsia" w:cs="Times New Roman"/>
                      <w:color w:val="auto"/>
                      <w:kern w:val="2"/>
                      <w:sz w:val="21"/>
                      <w:szCs w:val="24"/>
                      <w:highlight w:val="none"/>
                      <w:lang w:val="en-US" w:eastAsia="zh-CN" w:bidi="ar-SA"/>
                    </w:rPr>
                    <w:t>和经负压排风系统收集的危废间废气一起，</w:t>
                  </w:r>
                  <w:r>
                    <w:rPr>
                      <w:rFonts w:hint="eastAsia" w:ascii="Times New Roman" w:hAnsi="Times New Roman" w:eastAsia="宋体" w:cs="Times New Roman"/>
                      <w:color w:val="auto"/>
                      <w:kern w:val="2"/>
                      <w:sz w:val="21"/>
                      <w:szCs w:val="24"/>
                      <w:highlight w:val="none"/>
                      <w:lang w:val="en-US" w:eastAsia="zh-CN" w:bidi="ar-SA"/>
                    </w:rPr>
                    <w:t>通过二级活性炭吸附装置进行处理，最后通过一根15m高排气筒</w:t>
                  </w:r>
                  <w:r>
                    <w:rPr>
                      <w:rFonts w:hint="eastAsia" w:cs="Times New Roman"/>
                      <w:color w:val="auto"/>
                      <w:kern w:val="2"/>
                      <w:sz w:val="21"/>
                      <w:szCs w:val="24"/>
                      <w:highlight w:val="none"/>
                      <w:lang w:val="en-US" w:eastAsia="zh-CN" w:bidi="ar-SA"/>
                    </w:rPr>
                    <w:t>FQ01</w:t>
                  </w:r>
                  <w:r>
                    <w:rPr>
                      <w:rFonts w:hint="eastAsia" w:ascii="Times New Roman" w:hAnsi="Times New Roman" w:eastAsia="宋体" w:cs="Times New Roman"/>
                      <w:color w:val="auto"/>
                      <w:kern w:val="2"/>
                      <w:sz w:val="21"/>
                      <w:szCs w:val="24"/>
                      <w:highlight w:val="none"/>
                      <w:lang w:val="en-US" w:eastAsia="zh-CN" w:bidi="ar-SA"/>
                    </w:rPr>
                    <w:t>排</w:t>
                  </w:r>
                  <w:r>
                    <w:rPr>
                      <w:rFonts w:hint="eastAsia" w:cs="Times New Roman"/>
                      <w:color w:val="auto"/>
                      <w:kern w:val="2"/>
                      <w:sz w:val="21"/>
                      <w:szCs w:val="24"/>
                      <w:highlight w:val="none"/>
                      <w:lang w:val="en-US" w:eastAsia="zh-CN" w:bidi="ar-SA"/>
                    </w:rPr>
                    <w:t>空</w:t>
                  </w:r>
                  <w:r>
                    <w:rPr>
                      <w:rFonts w:hint="eastAsia" w:ascii="Times New Roman" w:hAnsi="Times New Roman" w:eastAsia="宋体" w:cs="Times New Roman"/>
                      <w:color w:val="auto"/>
                      <w:kern w:val="21"/>
                      <w:sz w:val="21"/>
                      <w:szCs w:val="24"/>
                      <w:highlight w:val="none"/>
                      <w:lang w:val="en-US" w:eastAsia="zh-CN" w:bidi="ar-SA"/>
                    </w:rPr>
                    <w:t>。</w:t>
                  </w:r>
                  <w:r>
                    <w:rPr>
                      <w:rFonts w:hint="default" w:ascii="Times New Roman" w:hAnsi="Times New Roman" w:eastAsia="宋体" w:cs="Times New Roman"/>
                      <w:color w:val="auto"/>
                      <w:kern w:val="2"/>
                      <w:sz w:val="21"/>
                      <w:szCs w:val="24"/>
                      <w:highlight w:val="none"/>
                      <w:lang w:val="en-US" w:eastAsia="zh-CN" w:bidi="ar-SA"/>
                    </w:rPr>
                    <w:t>本项目废气收集率和去除率均不低于90%</w:t>
                  </w:r>
                  <w:r>
                    <w:rPr>
                      <w:rFonts w:hint="default" w:ascii="Times New Roman" w:hAnsi="Times New Roman" w:eastAsia="宋体" w:cs="Times New Roman"/>
                      <w:color w:val="auto"/>
                      <w:kern w:val="2"/>
                      <w:sz w:val="21"/>
                      <w:szCs w:val="21"/>
                      <w:highlight w:val="none"/>
                      <w:lang w:val="en-US" w:eastAsia="zh-CN" w:bidi="ar-SA"/>
                    </w:rPr>
                    <w:t>。活性炭定期更换，产生的废活性炭作为危废委托有资质单位处置，符合要求。</w:t>
                  </w:r>
                </w:p>
              </w:tc>
              <w:tc>
                <w:tcPr>
                  <w:tcW w:w="878" w:type="dxa"/>
                  <w:tcBorders>
                    <w:tl2br w:val="nil"/>
                    <w:tr2bl w:val="nil"/>
                  </w:tcBorders>
                  <w:vAlign w:val="center"/>
                </w:tcPr>
                <w:p w14:paraId="24A16A5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bl>
          <w:p w14:paraId="16F8CE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综合以上</w:t>
            </w:r>
            <w:r>
              <w:rPr>
                <w:rFonts w:hint="eastAsia"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rPr>
              <w:t>本项目建设与挥发性有机污染防治相关文件的相关要求均相符。</w:t>
            </w:r>
          </w:p>
          <w:p w14:paraId="496DD56C">
            <w:pPr>
              <w:keepNext w:val="0"/>
              <w:keepLines w:val="0"/>
              <w:numPr>
                <w:ilvl w:val="0"/>
                <w:numId w:val="0"/>
              </w:numPr>
              <w:suppressLineNumbers w:val="0"/>
              <w:snapToGrid w:val="0"/>
              <w:spacing w:before="0" w:beforeAutospacing="0" w:after="0" w:afterAutospacing="0" w:line="360" w:lineRule="auto"/>
              <w:ind w:left="0" w:leftChars="0" w:right="0" w:rightChars="0" w:firstLine="482" w:firstLineChars="200"/>
              <w:rPr>
                <w:rFonts w:hint="eastAsia" w:ascii="Times New Roman" w:hAnsi="Times New Roman" w:eastAsia="宋体" w:cs="Times New Roman"/>
                <w:b/>
                <w:bCs/>
                <w:color w:val="auto"/>
                <w:sz w:val="24"/>
                <w:szCs w:val="24"/>
                <w:highlight w:val="none"/>
                <w:lang w:val="en-US" w:eastAsia="zh-CN" w:bidi="ar-SA"/>
              </w:rPr>
            </w:pPr>
            <w:r>
              <w:rPr>
                <w:rFonts w:hint="eastAsia" w:ascii="Times New Roman" w:hAnsi="Times New Roman" w:eastAsia="宋体" w:cs="Times New Roman"/>
                <w:b/>
                <w:bCs/>
                <w:color w:val="auto"/>
                <w:kern w:val="2"/>
                <w:sz w:val="24"/>
                <w:szCs w:val="24"/>
                <w:lang w:val="en-US" w:eastAsia="zh-CN" w:bidi="ar-SA"/>
              </w:rPr>
              <w:t>（2）</w:t>
            </w:r>
            <w:r>
              <w:rPr>
                <w:rFonts w:hint="eastAsia" w:ascii="Times New Roman" w:hAnsi="Times New Roman" w:eastAsia="宋体" w:cs="Times New Roman"/>
                <w:b/>
                <w:bCs/>
                <w:color w:val="auto"/>
                <w:sz w:val="24"/>
                <w:szCs w:val="24"/>
                <w:highlight w:val="none"/>
                <w:lang w:val="en-US" w:eastAsia="zh-CN" w:bidi="ar-SA"/>
              </w:rPr>
              <w:t>与《关于印发&lt;深入打好重污染天气消除、臭氧污染防治和柴油货车污染治理攻坚战行动方案&gt;的通知》（环大气〔2022〕68号）的相符性分析</w:t>
            </w:r>
          </w:p>
          <w:p w14:paraId="4A960DE1">
            <w:pPr>
              <w:keepNext w:val="0"/>
              <w:keepLines w:val="0"/>
              <w:numPr>
                <w:ilvl w:val="0"/>
                <w:numId w:val="0"/>
              </w:numPr>
              <w:suppressLineNumbers w:val="0"/>
              <w:snapToGrid w:val="0"/>
              <w:spacing w:before="0" w:beforeAutospacing="0" w:after="0" w:afterAutospacing="0"/>
              <w:ind w:left="425" w:leftChars="0" w:right="0" w:rightChars="0" w:hanging="425"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宋体"/>
                <w:b/>
                <w:bCs/>
                <w:color w:val="auto"/>
                <w:kern w:val="2"/>
                <w:sz w:val="24"/>
                <w:szCs w:val="24"/>
                <w:lang w:val="en-US" w:eastAsia="zh-CN" w:bidi="ar-SA"/>
              </w:rPr>
              <w:t>表1-</w:t>
            </w:r>
            <w:r>
              <w:rPr>
                <w:rFonts w:hint="eastAsia" w:ascii="Times New Roman" w:hAnsi="Times New Roman" w:eastAsia="宋体" w:cs="宋体"/>
                <w:b/>
                <w:bCs/>
                <w:color w:val="auto"/>
                <w:kern w:val="2"/>
                <w:sz w:val="24"/>
                <w:szCs w:val="24"/>
                <w:lang w:val="en-US" w:eastAsia="zh-CN" w:bidi="ar-SA"/>
              </w:rPr>
              <w:t xml:space="preserve">11  </w:t>
            </w:r>
            <w:r>
              <w:rPr>
                <w:rFonts w:hint="default" w:ascii="Times New Roman" w:hAnsi="Times New Roman" w:eastAsia="宋体" w:cs="Times New Roman"/>
                <w:b/>
                <w:bCs/>
                <w:color w:val="auto"/>
                <w:sz w:val="24"/>
                <w:highlight w:val="none"/>
              </w:rPr>
              <w:t>与环大气[202</w:t>
            </w:r>
            <w:r>
              <w:rPr>
                <w:rFonts w:hint="eastAsia"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]6</w:t>
            </w:r>
            <w:r>
              <w:rPr>
                <w:rFonts w:hint="eastAsia" w:ascii="Times New Roman" w:hAnsi="Times New Roman" w:eastAsia="宋体" w:cs="Times New Roman"/>
                <w:b/>
                <w:bCs/>
                <w:color w:val="auto"/>
                <w:sz w:val="24"/>
                <w:highlight w:val="none"/>
                <w:lang w:val="en-US" w:eastAsia="zh-CN"/>
              </w:rPr>
              <w:t>8</w:t>
            </w:r>
            <w:r>
              <w:rPr>
                <w:rFonts w:hint="default" w:ascii="Times New Roman" w:hAnsi="Times New Roman" w:eastAsia="宋体" w:cs="Times New Roman"/>
                <w:b/>
                <w:bCs/>
                <w:color w:val="auto"/>
                <w:sz w:val="24"/>
                <w:highlight w:val="none"/>
              </w:rPr>
              <w:t>号的相符性分析</w:t>
            </w:r>
          </w:p>
          <w:tbl>
            <w:tblPr>
              <w:tblStyle w:val="26"/>
              <w:tblW w:w="876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3610"/>
              <w:gridCol w:w="1723"/>
              <w:gridCol w:w="1873"/>
            </w:tblGrid>
            <w:tr w14:paraId="662EFD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559" w:type="dxa"/>
                  <w:tcBorders>
                    <w:tl2br w:val="nil"/>
                    <w:tr2bl w:val="nil"/>
                  </w:tcBorders>
                  <w:vAlign w:val="center"/>
                </w:tcPr>
                <w:p w14:paraId="6F4372B3">
                  <w:pPr>
                    <w:keepNext w:val="0"/>
                    <w:keepLines w:val="0"/>
                    <w:suppressLineNumbers w:val="0"/>
                    <w:bidi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要求</w:t>
                  </w:r>
                </w:p>
              </w:tc>
              <w:tc>
                <w:tcPr>
                  <w:tcW w:w="3610" w:type="dxa"/>
                  <w:tcBorders>
                    <w:tl2br w:val="nil"/>
                    <w:tr2bl w:val="nil"/>
                  </w:tcBorders>
                  <w:vAlign w:val="center"/>
                </w:tcPr>
                <w:p w14:paraId="56B78AAB">
                  <w:pPr>
                    <w:keepNext w:val="0"/>
                    <w:keepLines w:val="0"/>
                    <w:suppressLineNumbers w:val="0"/>
                    <w:bidi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内容</w:t>
                  </w:r>
                </w:p>
              </w:tc>
              <w:tc>
                <w:tcPr>
                  <w:tcW w:w="1723" w:type="dxa"/>
                  <w:tcBorders>
                    <w:tl2br w:val="nil"/>
                    <w:tr2bl w:val="nil"/>
                  </w:tcBorders>
                  <w:vAlign w:val="center"/>
                </w:tcPr>
                <w:p w14:paraId="38249AB3">
                  <w:pPr>
                    <w:keepNext w:val="0"/>
                    <w:keepLines w:val="0"/>
                    <w:suppressLineNumbers w:val="0"/>
                    <w:bidi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本项目情况</w:t>
                  </w:r>
                </w:p>
              </w:tc>
              <w:tc>
                <w:tcPr>
                  <w:tcW w:w="1873" w:type="dxa"/>
                  <w:tcBorders>
                    <w:tl2br w:val="nil"/>
                    <w:tr2bl w:val="nil"/>
                  </w:tcBorders>
                  <w:vAlign w:val="center"/>
                </w:tcPr>
                <w:p w14:paraId="3D40F313">
                  <w:pPr>
                    <w:keepNext w:val="0"/>
                    <w:keepLines w:val="0"/>
                    <w:suppressLineNumbers w:val="0"/>
                    <w:bidi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相符性分析</w:t>
                  </w:r>
                </w:p>
              </w:tc>
            </w:tr>
            <w:tr w14:paraId="0254EC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9" w:hRule="atLeast"/>
                <w:jc w:val="center"/>
              </w:trPr>
              <w:tc>
                <w:tcPr>
                  <w:tcW w:w="1559" w:type="dxa"/>
                  <w:tcBorders>
                    <w:tl2br w:val="nil"/>
                    <w:tr2bl w:val="nil"/>
                  </w:tcBorders>
                  <w:vAlign w:val="center"/>
                </w:tcPr>
                <w:p w14:paraId="2B109FBF">
                  <w:pPr>
                    <w:keepNext w:val="0"/>
                    <w:keepLines w:val="0"/>
                    <w:suppressLineNumbers w:val="0"/>
                    <w:bidi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附件一重污染天气消除攻坚行动方案</w:t>
                  </w:r>
                </w:p>
              </w:tc>
              <w:tc>
                <w:tcPr>
                  <w:tcW w:w="3610" w:type="dxa"/>
                  <w:tcBorders>
                    <w:tl2br w:val="nil"/>
                    <w:tr2bl w:val="nil"/>
                  </w:tcBorders>
                  <w:vAlign w:val="center"/>
                </w:tcPr>
                <w:p w14:paraId="51915721">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推动产业结构和布局优化调整。坚决遏制高耗能、高排放、低水平项目盲目发展，严格落实国家产业规划、产业政策、“三线一单”、规划环评，以及产能置换、煤炭消费减量替代、区域污染物削减等要求，坚决叫停不符合要求的高耗能、高排放、低水平项目。依法依规退出重点行业落后产能，修订《产业结构调整指导目录》，将大气污染物排放强度高、治理难度大的工艺和装备纳入淘汰类或限制类名单。推行钢铁、焦化、烧结一体化布局，有序推动长流程炼钢转型为电炉短流程炼钢。持续推动常态化水泥错峰生产。</w:t>
                  </w:r>
                </w:p>
              </w:tc>
              <w:tc>
                <w:tcPr>
                  <w:tcW w:w="1723" w:type="dxa"/>
                  <w:tcBorders>
                    <w:tl2br w:val="nil"/>
                    <w:tr2bl w:val="nil"/>
                  </w:tcBorders>
                  <w:vAlign w:val="center"/>
                </w:tcPr>
                <w:p w14:paraId="32C137FC">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本项目不属于高耗能、高排放、低水平项目，并严格落实国家产业规划、产业政策、“三线一单”、规划环评等相关要求。本项目符合《产业结构调整指导目录》的相关要求，不属于淘汰类或限制类项目。</w:t>
                  </w:r>
                </w:p>
              </w:tc>
              <w:tc>
                <w:tcPr>
                  <w:tcW w:w="1873" w:type="dxa"/>
                  <w:tcBorders>
                    <w:tl2br w:val="nil"/>
                    <w:tr2bl w:val="nil"/>
                  </w:tcBorders>
                  <w:vAlign w:val="center"/>
                </w:tcPr>
                <w:p w14:paraId="57262F3A">
                  <w:pPr>
                    <w:keepNext w:val="0"/>
                    <w:keepLines w:val="0"/>
                    <w:suppressLineNumbers w:val="0"/>
                    <w:bidi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610484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47" w:hRule="atLeast"/>
                <w:jc w:val="center"/>
              </w:trPr>
              <w:tc>
                <w:tcPr>
                  <w:tcW w:w="1559" w:type="dxa"/>
                  <w:tcBorders>
                    <w:tl2br w:val="nil"/>
                    <w:tr2bl w:val="nil"/>
                  </w:tcBorders>
                  <w:vAlign w:val="center"/>
                </w:tcPr>
                <w:p w14:paraId="6FF28B30">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附件二臭氧污</w:t>
                  </w:r>
                </w:p>
                <w:p w14:paraId="4C80928C">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染防治攻坚行</w:t>
                  </w:r>
                </w:p>
                <w:p w14:paraId="23A593A5">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动方案</w:t>
                  </w:r>
                </w:p>
              </w:tc>
              <w:tc>
                <w:tcPr>
                  <w:tcW w:w="3610" w:type="dxa"/>
                  <w:tcBorders>
                    <w:tl2br w:val="nil"/>
                    <w:tr2bl w:val="nil"/>
                  </w:tcBorders>
                  <w:vAlign w:val="center"/>
                </w:tcPr>
                <w:p w14:paraId="7EEC5273">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加快实施低VOCs含量原辅材料替代。各地对溶剂型涂料、油墨、胶粘剂、清洗剂使用企业制定低VOCs含量原辅材料替代计划。全面推进汽车整车制造底漆、中涂、色漆使用低VOCS含量涂料；在木制家具、汽车零部件、工程机械、钢结构、船舶制造技术成熟的工艺环节，大力推广使用低VOCs含量涂料，重点区域、中央企业加大使用比例。在房屋建筑和市政工程中，全面推广使用低VOCs含量涂料和胶粘剂；重点区域、珠三角地区除特殊功能要求外的室内地坪施工、室外构筑物防护和城市道路交通标志基本使用低VOCs含量涂料。完善VOCs产品标准体系，建立低VOCs含量产品标识制度。</w:t>
                  </w:r>
                </w:p>
              </w:tc>
              <w:tc>
                <w:tcPr>
                  <w:tcW w:w="1723" w:type="dxa"/>
                  <w:tcBorders>
                    <w:tl2br w:val="nil"/>
                    <w:tr2bl w:val="nil"/>
                  </w:tcBorders>
                  <w:vAlign w:val="center"/>
                </w:tcPr>
                <w:p w14:paraId="4B484F8F">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Cs w:val="21"/>
                      <w:highlight w:val="none"/>
                    </w:rPr>
                    <w:t>本项目行业代码为</w:t>
                  </w:r>
                  <w:r>
                    <w:rPr>
                      <w:rFonts w:hint="default" w:ascii="Times New Roman" w:hAnsi="Times New Roman" w:eastAsia="宋体" w:cs="Times New Roman"/>
                      <w:color w:val="auto"/>
                      <w:szCs w:val="21"/>
                      <w:highlight w:val="none"/>
                      <w:lang w:val="en-US" w:eastAsia="zh-CN"/>
                    </w:rPr>
                    <w:t>[7340]医学研究和</w:t>
                  </w:r>
                  <w:r>
                    <w:rPr>
                      <w:rFonts w:hint="eastAsia" w:ascii="Times New Roman" w:hAnsi="Times New Roman" w:eastAsia="宋体" w:cs="Times New Roman"/>
                      <w:color w:val="auto"/>
                      <w:szCs w:val="21"/>
                      <w:highlight w:val="none"/>
                      <w:lang w:val="en-US" w:eastAsia="zh-CN"/>
                    </w:rPr>
                    <w:t>试验发展</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本项目不涉及使用上述</w:t>
                  </w:r>
                  <w:r>
                    <w:rPr>
                      <w:rFonts w:hint="default" w:ascii="Times New Roman" w:hAnsi="Times New Roman" w:eastAsia="宋体" w:cs="Times New Roman"/>
                      <w:color w:val="auto"/>
                      <w:kern w:val="0"/>
                      <w:sz w:val="21"/>
                      <w:szCs w:val="21"/>
                      <w:highlight w:val="none"/>
                      <w:lang w:val="en-US" w:eastAsia="zh-CN" w:bidi="ar"/>
                    </w:rPr>
                    <w:t>溶剂型涂料、油墨、胶粘剂、清洗剂</w:t>
                  </w:r>
                  <w:r>
                    <w:rPr>
                      <w:rFonts w:hint="eastAsia" w:ascii="Times New Roman" w:hAnsi="Times New Roman" w:eastAsia="宋体" w:cs="Times New Roman"/>
                      <w:color w:val="auto"/>
                      <w:kern w:val="0"/>
                      <w:sz w:val="21"/>
                      <w:szCs w:val="21"/>
                      <w:highlight w:val="none"/>
                      <w:lang w:val="en-US" w:eastAsia="zh-CN" w:bidi="ar"/>
                    </w:rPr>
                    <w:t>等。</w:t>
                  </w:r>
                </w:p>
              </w:tc>
              <w:tc>
                <w:tcPr>
                  <w:tcW w:w="1873" w:type="dxa"/>
                  <w:tcBorders>
                    <w:tl2br w:val="nil"/>
                    <w:tr2bl w:val="nil"/>
                  </w:tcBorders>
                  <w:vAlign w:val="center"/>
                </w:tcPr>
                <w:p w14:paraId="610DC22C">
                  <w:pPr>
                    <w:keepNext w:val="0"/>
                    <w:keepLines w:val="0"/>
                    <w:suppressLineNumbers w:val="0"/>
                    <w:bidi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bl>
          <w:p w14:paraId="09428D74">
            <w:pPr>
              <w:keepNext w:val="0"/>
              <w:keepLines w:val="0"/>
              <w:widowControl/>
              <w:suppressLineNumbers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kern w:val="0"/>
                <w:sz w:val="24"/>
                <w:szCs w:val="24"/>
                <w:highlight w:val="none"/>
                <w:lang w:val="en-US" w:eastAsia="zh-CN" w:bidi="ar"/>
              </w:rPr>
              <w:t>由上表可知，本项目符合《关于印发&lt;深入打好重污染天气消除、臭氧污染防治和柴油货车污染治理攻坚战行动方案&gt;的通知》（环大气〔2022〕68 号）中相关要求。</w:t>
            </w:r>
          </w:p>
          <w:p w14:paraId="428428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highlight w:val="none"/>
              </w:rPr>
            </w:pPr>
            <w:r>
              <w:rPr>
                <w:rFonts w:hint="eastAsia" w:ascii="Times New Roman" w:hAnsi="Times New Roman" w:eastAsia="宋体" w:cs="Times New Roman"/>
                <w:b/>
                <w:bCs/>
                <w:color w:val="auto"/>
                <w:sz w:val="24"/>
                <w:highlight w:val="none"/>
                <w:lang w:val="en-US" w:eastAsia="zh-CN"/>
              </w:rPr>
              <w:t>5、</w:t>
            </w:r>
            <w:r>
              <w:rPr>
                <w:rFonts w:hint="default" w:ascii="Times New Roman" w:hAnsi="Times New Roman" w:eastAsia="宋体" w:cs="Times New Roman"/>
                <w:b/>
                <w:bCs/>
                <w:color w:val="auto"/>
                <w:sz w:val="24"/>
                <w:highlight w:val="none"/>
              </w:rPr>
              <w:t>与《关于在环评审批阶段开展</w:t>
            </w:r>
            <w:r>
              <w:rPr>
                <w:rFonts w:hint="eastAsia"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rPr>
              <w:t>源头管控行动</w:t>
            </w:r>
            <w:r>
              <w:rPr>
                <w:rFonts w:hint="eastAsia"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rPr>
              <w:t>的工作意见 》</w:t>
            </w:r>
            <w:r>
              <w:rPr>
                <w:rFonts w:hint="eastAsia" w:ascii="Times New Roman" w:hAnsi="Times New Roman" w:eastAsia="宋体" w:cs="Times New Roman"/>
                <w:b/>
                <w:bCs/>
                <w:color w:val="auto"/>
                <w:sz w:val="24"/>
                <w:highlight w:val="none"/>
                <w:lang w:eastAsia="zh-CN"/>
              </w:rPr>
              <w:t>（锡环办[2021]142号）</w:t>
            </w:r>
            <w:r>
              <w:rPr>
                <w:rFonts w:hint="eastAsia" w:ascii="Times New Roman" w:hAnsi="Times New Roman" w:eastAsia="宋体" w:cs="Times New Roman"/>
                <w:b/>
                <w:bCs/>
                <w:color w:val="auto"/>
                <w:sz w:val="24"/>
                <w:highlight w:val="none"/>
                <w:lang w:val="en-US" w:eastAsia="zh-CN"/>
              </w:rPr>
              <w:t>的</w:t>
            </w:r>
            <w:r>
              <w:rPr>
                <w:rFonts w:hint="default" w:ascii="Times New Roman" w:hAnsi="Times New Roman" w:eastAsia="宋体" w:cs="Times New Roman"/>
                <w:b/>
                <w:bCs/>
                <w:color w:val="auto"/>
                <w:sz w:val="24"/>
                <w:highlight w:val="none"/>
              </w:rPr>
              <w:t>相符性</w:t>
            </w:r>
          </w:p>
          <w:p w14:paraId="5A5BA7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本项目与《关于在环评审批阶段开展“源头管控行动”的工作意见 》（锡环办[2021]142号）相符性分析如下：</w:t>
            </w:r>
          </w:p>
          <w:p w14:paraId="25ABB582">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425" w:leftChars="0" w:right="0" w:rightChars="0" w:hanging="425" w:firstLineChars="0"/>
              <w:jc w:val="center"/>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宋体"/>
                <w:b/>
                <w:bCs/>
                <w:color w:val="auto"/>
                <w:kern w:val="2"/>
                <w:sz w:val="24"/>
                <w:szCs w:val="24"/>
                <w:lang w:val="en-US" w:eastAsia="zh-CN" w:bidi="ar-SA"/>
              </w:rPr>
              <w:t>表1-</w:t>
            </w:r>
            <w:r>
              <w:rPr>
                <w:rFonts w:hint="eastAsia" w:ascii="Times New Roman" w:hAnsi="Times New Roman" w:eastAsia="宋体" w:cs="宋体"/>
                <w:b/>
                <w:bCs/>
                <w:color w:val="auto"/>
                <w:kern w:val="2"/>
                <w:sz w:val="24"/>
                <w:szCs w:val="24"/>
                <w:lang w:val="en-US" w:eastAsia="zh-CN" w:bidi="ar-SA"/>
              </w:rPr>
              <w:t xml:space="preserve">12 </w:t>
            </w:r>
            <w:r>
              <w:rPr>
                <w:rFonts w:hint="default" w:ascii="Times New Roman" w:hAnsi="Times New Roman" w:eastAsia="宋体" w:cs="Times New Roman"/>
                <w:b/>
                <w:bCs/>
                <w:color w:val="auto"/>
                <w:sz w:val="24"/>
                <w:highlight w:val="none"/>
              </w:rPr>
              <w:t>与锡环办[2021]142号的相符性分析</w:t>
            </w:r>
          </w:p>
          <w:tbl>
            <w:tblPr>
              <w:tblStyle w:val="25"/>
              <w:tblW w:w="869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216"/>
              <w:gridCol w:w="4482"/>
              <w:gridCol w:w="1889"/>
              <w:gridCol w:w="1109"/>
            </w:tblGrid>
            <w:tr w14:paraId="71D437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57" w:hRule="atLeast"/>
                <w:jc w:val="center"/>
              </w:trPr>
              <w:tc>
                <w:tcPr>
                  <w:tcW w:w="699" w:type="pct"/>
                  <w:tcBorders>
                    <w:tl2br w:val="nil"/>
                    <w:tr2bl w:val="nil"/>
                  </w:tcBorders>
                  <w:tcMar>
                    <w:top w:w="0" w:type="dxa"/>
                    <w:left w:w="0" w:type="dxa"/>
                    <w:bottom w:w="0" w:type="dxa"/>
                    <w:right w:w="0" w:type="dxa"/>
                  </w:tcMar>
                  <w:vAlign w:val="center"/>
                </w:tcPr>
                <w:p w14:paraId="202F173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要求</w:t>
                  </w:r>
                </w:p>
              </w:tc>
              <w:tc>
                <w:tcPr>
                  <w:tcW w:w="2576" w:type="pct"/>
                  <w:tcBorders>
                    <w:tl2br w:val="nil"/>
                    <w:tr2bl w:val="nil"/>
                  </w:tcBorders>
                  <w:tcMar>
                    <w:top w:w="0" w:type="dxa"/>
                    <w:left w:w="0" w:type="dxa"/>
                    <w:bottom w:w="0" w:type="dxa"/>
                    <w:right w:w="0" w:type="dxa"/>
                  </w:tcMar>
                  <w:vAlign w:val="center"/>
                </w:tcPr>
                <w:p w14:paraId="2AC419B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内容</w:t>
                  </w:r>
                </w:p>
              </w:tc>
              <w:tc>
                <w:tcPr>
                  <w:tcW w:w="1086" w:type="pct"/>
                  <w:tcBorders>
                    <w:tl2br w:val="nil"/>
                    <w:tr2bl w:val="nil"/>
                  </w:tcBorders>
                  <w:tcMar>
                    <w:top w:w="0" w:type="dxa"/>
                    <w:left w:w="0" w:type="dxa"/>
                    <w:bottom w:w="0" w:type="dxa"/>
                    <w:right w:w="0" w:type="dxa"/>
                  </w:tcMar>
                  <w:vAlign w:val="center"/>
                </w:tcPr>
                <w:p w14:paraId="249E07F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本项目情况</w:t>
                  </w:r>
                </w:p>
              </w:tc>
              <w:tc>
                <w:tcPr>
                  <w:tcW w:w="637" w:type="pct"/>
                  <w:tcBorders>
                    <w:tl2br w:val="nil"/>
                    <w:tr2bl w:val="nil"/>
                  </w:tcBorders>
                  <w:tcMar>
                    <w:top w:w="0" w:type="dxa"/>
                    <w:left w:w="0" w:type="dxa"/>
                    <w:bottom w:w="0" w:type="dxa"/>
                    <w:right w:w="0" w:type="dxa"/>
                  </w:tcMar>
                  <w:vAlign w:val="center"/>
                </w:tcPr>
                <w:p w14:paraId="1037947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相符性分析</w:t>
                  </w:r>
                </w:p>
              </w:tc>
            </w:tr>
            <w:tr w14:paraId="4565AC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79" w:hRule="atLeast"/>
                <w:jc w:val="center"/>
              </w:trPr>
              <w:tc>
                <w:tcPr>
                  <w:tcW w:w="699" w:type="pct"/>
                  <w:tcBorders>
                    <w:tl2br w:val="nil"/>
                    <w:tr2bl w:val="nil"/>
                  </w:tcBorders>
                  <w:tcMar>
                    <w:top w:w="0" w:type="dxa"/>
                    <w:left w:w="0" w:type="dxa"/>
                    <w:bottom w:w="0" w:type="dxa"/>
                    <w:right w:w="0" w:type="dxa"/>
                  </w:tcMar>
                  <w:vAlign w:val="center"/>
                </w:tcPr>
                <w:p w14:paraId="275E95E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（一）生产工艺、装备、原料、环境四替代</w:t>
                  </w:r>
                </w:p>
              </w:tc>
              <w:tc>
                <w:tcPr>
                  <w:tcW w:w="2576" w:type="pct"/>
                  <w:tcBorders>
                    <w:tl2br w:val="nil"/>
                    <w:tr2bl w:val="nil"/>
                  </w:tcBorders>
                  <w:tcMar>
                    <w:top w:w="0" w:type="dxa"/>
                    <w:left w:w="0" w:type="dxa"/>
                    <w:bottom w:w="0" w:type="dxa"/>
                    <w:right w:w="0" w:type="dxa"/>
                  </w:tcMar>
                  <w:vAlign w:val="center"/>
                </w:tcPr>
                <w:p w14:paraId="6F6BE561">
                  <w:pPr>
                    <w:keepNext w:val="0"/>
                    <w:keepLines w:val="0"/>
                    <w:suppressLineNumbers w:val="0"/>
                    <w:autoSpaceDE w:val="0"/>
                    <w:autoSpaceDN w:val="0"/>
                    <w:adjustRightInd w:val="0"/>
                    <w:snapToGrid w:val="0"/>
                    <w:spacing w:before="0" w:beforeAutospacing="0" w:after="0" w:afterAutospacing="0"/>
                    <w:ind w:left="0"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用国际国内先进工艺、装备、低挥发水性溶剂等环境友好型原材料、先进高效的污染治理设施替代传统工艺、普通装备、高挥发性原料、落后的污染治理设施，从场址选取、厂区布局、厂房设计、设备选型等方面充分考虑环境保护的需求，从源头控制无组织排放、初期雨水收集、环境风险防范等问题。生产工艺选用的各种涂料、厂房建筑用涂料、工业设备防护涂料等，除有特殊要求外，必须选用符合《低挥发性有机化合物含量涂料产品技术要求》（GB/T38597-2020）标准的产品。对“两高”项目（当前按煤电、石化、化工、钢铁、有色、建材界定）要严格环境准入，满足总量控制、碳达峰碳中和目标、生态环境准入清单、规划环评及行业建设环境准入条件。 </w:t>
                  </w:r>
                </w:p>
              </w:tc>
              <w:tc>
                <w:tcPr>
                  <w:tcW w:w="1086" w:type="pct"/>
                  <w:tcBorders>
                    <w:tl2br w:val="nil"/>
                    <w:tr2bl w:val="nil"/>
                  </w:tcBorders>
                  <w:tcMar>
                    <w:top w:w="0" w:type="dxa"/>
                    <w:left w:w="0" w:type="dxa"/>
                    <w:bottom w:w="0" w:type="dxa"/>
                    <w:right w:w="0" w:type="dxa"/>
                  </w:tcMar>
                  <w:vAlign w:val="center"/>
                </w:tcPr>
                <w:p w14:paraId="07F714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本</w:t>
                  </w:r>
                  <w:r>
                    <w:rPr>
                      <w:rFonts w:hint="default" w:ascii="Times New Roman" w:hAnsi="Times New Roman" w:eastAsia="宋体" w:cs="Times New Roman"/>
                      <w:color w:val="auto"/>
                      <w:szCs w:val="21"/>
                      <w:highlight w:val="none"/>
                    </w:rPr>
                    <w:t>项目</w:t>
                  </w:r>
                  <w:r>
                    <w:rPr>
                      <w:rFonts w:hint="default" w:ascii="Times New Roman" w:hAnsi="Times New Roman" w:eastAsia="宋体" w:cs="Times New Roman"/>
                      <w:color w:val="auto"/>
                      <w:kern w:val="2"/>
                      <w:sz w:val="21"/>
                      <w:szCs w:val="21"/>
                      <w:highlight w:val="none"/>
                      <w:lang w:val="en-US" w:eastAsia="zh-CN" w:bidi="ar-SA"/>
                    </w:rPr>
                    <w:t>不</w:t>
                  </w:r>
                  <w:r>
                    <w:rPr>
                      <w:rFonts w:hint="eastAsia" w:ascii="Times New Roman" w:hAnsi="Times New Roman" w:eastAsia="宋体" w:cs="Times New Roman"/>
                      <w:color w:val="auto"/>
                      <w:kern w:val="2"/>
                      <w:sz w:val="21"/>
                      <w:szCs w:val="21"/>
                      <w:highlight w:val="none"/>
                      <w:lang w:val="en-US" w:eastAsia="zh-CN" w:bidi="ar-SA"/>
                    </w:rPr>
                    <w:t>涉及</w:t>
                  </w:r>
                  <w:r>
                    <w:rPr>
                      <w:rFonts w:hint="default" w:ascii="Times New Roman" w:hAnsi="Times New Roman" w:eastAsia="宋体" w:cs="Times New Roman"/>
                      <w:color w:val="auto"/>
                      <w:highlight w:val="none"/>
                    </w:rPr>
                    <w:t>溶剂型涂料、油墨、胶粘剂、清洗剂</w:t>
                  </w:r>
                  <w:r>
                    <w:rPr>
                      <w:rFonts w:hint="eastAsia" w:ascii="Times New Roman" w:hAnsi="Times New Roman" w:eastAsia="宋体" w:cs="Times New Roman"/>
                      <w:color w:val="auto"/>
                      <w:highlight w:val="none"/>
                      <w:lang w:val="en-US" w:eastAsia="zh-CN"/>
                    </w:rPr>
                    <w:t>等有机物料的使用</w:t>
                  </w:r>
                  <w:r>
                    <w:rPr>
                      <w:rFonts w:hint="eastAsia" w:ascii="Times New Roman" w:hAnsi="Times New Roman" w:eastAsia="宋体" w:cs="Times New Roman"/>
                      <w:color w:val="auto"/>
                      <w:szCs w:val="21"/>
                      <w:highlight w:val="none"/>
                      <w:lang w:val="en-US" w:eastAsia="zh-CN"/>
                    </w:rPr>
                    <w:t>。本项目不属于“两高”项目（当前按煤电、石化、化工、钢铁、有色、建材界定）。</w:t>
                  </w:r>
                </w:p>
              </w:tc>
              <w:tc>
                <w:tcPr>
                  <w:tcW w:w="637" w:type="pct"/>
                  <w:tcBorders>
                    <w:tl2br w:val="nil"/>
                    <w:tr2bl w:val="nil"/>
                  </w:tcBorders>
                  <w:tcMar>
                    <w:top w:w="0" w:type="dxa"/>
                    <w:left w:w="0" w:type="dxa"/>
                    <w:bottom w:w="0" w:type="dxa"/>
                    <w:right w:w="0" w:type="dxa"/>
                  </w:tcMar>
                  <w:vAlign w:val="center"/>
                </w:tcPr>
                <w:p w14:paraId="1AC245D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14:paraId="5F64C6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43" w:hRule="atLeast"/>
                <w:jc w:val="center"/>
              </w:trPr>
              <w:tc>
                <w:tcPr>
                  <w:tcW w:w="699" w:type="pct"/>
                  <w:tcBorders>
                    <w:tl2br w:val="nil"/>
                    <w:tr2bl w:val="nil"/>
                  </w:tcBorders>
                  <w:tcMar>
                    <w:top w:w="0" w:type="dxa"/>
                    <w:left w:w="0" w:type="dxa"/>
                    <w:bottom w:w="0" w:type="dxa"/>
                    <w:right w:w="0" w:type="dxa"/>
                  </w:tcMar>
                  <w:vAlign w:val="center"/>
                </w:tcPr>
                <w:p w14:paraId="47A7913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（二）生产过程中回用、物料回收</w:t>
                  </w:r>
                </w:p>
              </w:tc>
              <w:tc>
                <w:tcPr>
                  <w:tcW w:w="2576" w:type="pct"/>
                  <w:tcBorders>
                    <w:tl2br w:val="nil"/>
                    <w:tr2bl w:val="nil"/>
                  </w:tcBorders>
                  <w:tcMar>
                    <w:top w:w="0" w:type="dxa"/>
                    <w:left w:w="0" w:type="dxa"/>
                    <w:bottom w:w="0" w:type="dxa"/>
                    <w:right w:w="0" w:type="dxa"/>
                  </w:tcMar>
                  <w:vAlign w:val="center"/>
                </w:tcPr>
                <w:p w14:paraId="2FF8FE81">
                  <w:pPr>
                    <w:keepNext w:val="0"/>
                    <w:keepLines w:val="0"/>
                    <w:suppressLineNumbers w:val="0"/>
                    <w:autoSpaceDE w:val="0"/>
                    <w:autoSpaceDN w:val="0"/>
                    <w:adjustRightInd w:val="0"/>
                    <w:snapToGrid w:val="0"/>
                    <w:spacing w:before="0" w:beforeAutospacing="0" w:after="0" w:afterAutospacing="0"/>
                    <w:ind w:left="0"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强化项目的节水设计，提高项目中水回用率，新建、改建项目的中水回用水平必须高于行业平均水平，达到国内先进水平以上。根据《江苏省太湖水污染防治条例》规定，非战略性新兴产业，不得新增含磷、氮的生产废水。用水量较大的印染、电子等行业必须大幅提高中水回用率。冷却水强排水、反渗透（RO）尾水等“清净下水”必须按照生产废水接管，不得接入雨水口排放。强化生产过程中的物料回收利用，鼓励有条件的挥发性有机物排放企业（如印刷、包装类企业）通过冷凝、吸附、吸收等技术实现物料回用，强化固体废物源头减量和综合利用，配套的回收利用设施必须达到主生产装置同样的设计水平和环保要求，提升回收效率，需外送利用处置固体废物和危险废物的，在本市应具有稳定可靠的承接单位。 </w:t>
                  </w:r>
                </w:p>
              </w:tc>
              <w:tc>
                <w:tcPr>
                  <w:tcW w:w="1086" w:type="pct"/>
                  <w:tcBorders>
                    <w:tl2br w:val="nil"/>
                    <w:tr2bl w:val="nil"/>
                  </w:tcBorders>
                  <w:tcMar>
                    <w:top w:w="0" w:type="dxa"/>
                    <w:left w:w="0" w:type="dxa"/>
                    <w:bottom w:w="0" w:type="dxa"/>
                    <w:right w:w="0" w:type="dxa"/>
                  </w:tcMar>
                  <w:vAlign w:val="center"/>
                </w:tcPr>
                <w:p w14:paraId="76E30BD4">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eastAsia="宋体" w:cs="Times New Roman"/>
                      <w:color w:val="auto"/>
                      <w:szCs w:val="21"/>
                      <w:highlight w:val="none"/>
                    </w:rPr>
                  </w:pPr>
                  <w:r>
                    <w:rPr>
                      <w:rFonts w:hint="eastAsia" w:cs="Times New Roman"/>
                      <w:color w:val="auto"/>
                      <w:sz w:val="21"/>
                      <w:szCs w:val="21"/>
                      <w:highlight w:val="none"/>
                      <w:lang w:val="en-US" w:eastAsia="zh-CN"/>
                    </w:rPr>
                    <w:t>本项目产生的</w:t>
                  </w:r>
                  <w:r>
                    <w:rPr>
                      <w:rFonts w:hint="default" w:ascii="Times New Roman" w:hAnsi="Times New Roman" w:eastAsia="宋体" w:cs="Times New Roman"/>
                      <w:color w:val="auto"/>
                      <w:sz w:val="21"/>
                      <w:szCs w:val="21"/>
                      <w:highlight w:val="none"/>
                      <w:lang w:val="en-US" w:eastAsia="zh-CN"/>
                    </w:rPr>
                    <w:t>纯水制备浓水、水浴锅排水和经化粪池处理后的生活污水</w:t>
                  </w:r>
                  <w:r>
                    <w:rPr>
                      <w:rFonts w:hint="eastAsia" w:cs="Times New Roman"/>
                      <w:color w:val="auto"/>
                      <w:sz w:val="21"/>
                      <w:szCs w:val="21"/>
                      <w:highlight w:val="none"/>
                      <w:lang w:val="en-US" w:eastAsia="zh-CN"/>
                    </w:rPr>
                    <w:t>、淋浴废水</w:t>
                  </w:r>
                  <w:r>
                    <w:rPr>
                      <w:rFonts w:hint="default" w:ascii="Times New Roman" w:hAnsi="Times New Roman" w:eastAsia="宋体" w:cs="Times New Roman"/>
                      <w:color w:val="auto"/>
                      <w:sz w:val="21"/>
                      <w:szCs w:val="21"/>
                      <w:highlight w:val="none"/>
                      <w:lang w:val="en-US" w:eastAsia="zh-CN"/>
                    </w:rPr>
                    <w:t>一并接管至太湖新城污水处理厂进行处理，尾水排入京杭运</w:t>
                  </w:r>
                  <w:r>
                    <w:rPr>
                      <w:rFonts w:hint="default" w:ascii="Times New Roman" w:hAnsi="Times New Roman" w:eastAsia="宋体" w:cs="Times New Roman"/>
                      <w:color w:val="auto"/>
                      <w:szCs w:val="21"/>
                      <w:highlight w:val="none"/>
                    </w:rPr>
                    <w:t>；固体废物由相关单位回收利用，危险废物由有资质单位处置。</w:t>
                  </w:r>
                </w:p>
              </w:tc>
              <w:tc>
                <w:tcPr>
                  <w:tcW w:w="637" w:type="pct"/>
                  <w:tcBorders>
                    <w:tl2br w:val="nil"/>
                    <w:tr2bl w:val="nil"/>
                  </w:tcBorders>
                  <w:tcMar>
                    <w:top w:w="0" w:type="dxa"/>
                    <w:left w:w="0" w:type="dxa"/>
                    <w:bottom w:w="0" w:type="dxa"/>
                    <w:right w:w="0" w:type="dxa"/>
                  </w:tcMar>
                  <w:vAlign w:val="center"/>
                </w:tcPr>
                <w:p w14:paraId="086E73D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14:paraId="69B374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39" w:hRule="atLeast"/>
                <w:jc w:val="center"/>
              </w:trPr>
              <w:tc>
                <w:tcPr>
                  <w:tcW w:w="699" w:type="pct"/>
                  <w:tcBorders>
                    <w:tl2br w:val="nil"/>
                    <w:tr2bl w:val="nil"/>
                  </w:tcBorders>
                  <w:tcMar>
                    <w:top w:w="0" w:type="dxa"/>
                    <w:left w:w="0" w:type="dxa"/>
                    <w:bottom w:w="0" w:type="dxa"/>
                    <w:right w:w="0" w:type="dxa"/>
                  </w:tcMar>
                  <w:vAlign w:val="center"/>
                </w:tcPr>
                <w:p w14:paraId="3485145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（三）污染设施提高标准、提高效率</w:t>
                  </w:r>
                </w:p>
              </w:tc>
              <w:tc>
                <w:tcPr>
                  <w:tcW w:w="2576" w:type="pct"/>
                  <w:tcBorders>
                    <w:tl2br w:val="nil"/>
                    <w:tr2bl w:val="nil"/>
                  </w:tcBorders>
                  <w:tcMar>
                    <w:top w:w="0" w:type="dxa"/>
                    <w:left w:w="0" w:type="dxa"/>
                    <w:bottom w:w="0" w:type="dxa"/>
                    <w:right w:w="0" w:type="dxa"/>
                  </w:tcMar>
                  <w:vAlign w:val="center"/>
                </w:tcPr>
                <w:p w14:paraId="63EF4829">
                  <w:pPr>
                    <w:keepNext w:val="0"/>
                    <w:keepLines w:val="0"/>
                    <w:suppressLineNumbers w:val="0"/>
                    <w:autoSpaceDE w:val="0"/>
                    <w:autoSpaceDN w:val="0"/>
                    <w:adjustRightInd w:val="0"/>
                    <w:snapToGrid w:val="0"/>
                    <w:spacing w:before="0" w:beforeAutospacing="0" w:after="0" w:afterAutospacing="0"/>
                    <w:ind w:left="0"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审批阶段必须征求水、气、固体等要素部门意见，审核项目污染防治措施是否已达到目前上级要求的最先进水平，未达最严标准、最新要求的一律不得审批。要按照所属行业的《排污许可证申请与核发技术规范》要求，选择采用可行性技术，提高治污设施的标准和要求，对于未采用污染防治可行技术的项目不予受理；鼓励采用具备应用案例或中试数据等条件的新型污染防治技术。</w:t>
                  </w:r>
                </w:p>
                <w:p w14:paraId="314DC916">
                  <w:pPr>
                    <w:keepNext w:val="0"/>
                    <w:keepLines w:val="0"/>
                    <w:suppressLineNumbers w:val="0"/>
                    <w:autoSpaceDE w:val="0"/>
                    <w:autoSpaceDN w:val="0"/>
                    <w:adjustRightInd w:val="0"/>
                    <w:snapToGrid w:val="0"/>
                    <w:spacing w:before="0" w:beforeAutospacing="0" w:after="0" w:afterAutospacing="0"/>
                    <w:ind w:left="0"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涉挥发性有机物排放的项目，必须严格落实国家《重点行业挥发性有机物综合治理方案》的要求，对挥发性有机物要有效收集、提高效率，鼓励采用吸附、吸收、生物净化、催化燃烧、蓄热燃烧等多种治理技术联合应用的工艺路线，确保稳定达标并符合《挥发性有机物无组织排放控制标准》的相关要求。对于无组织排放点多、难以有效收集的情况，要整体建设负压车间，对含挥发性有机物的废气进行全收集和治理。对涉水、涉气重点项目，必须要求安装用电工况和自动在线监控设备设施并联网。新建天然气锅炉必须采用低氮燃烧技术，工业炉窑达到深度治理要求。 </w:t>
                  </w:r>
                </w:p>
              </w:tc>
              <w:tc>
                <w:tcPr>
                  <w:tcW w:w="1086" w:type="pct"/>
                  <w:tcBorders>
                    <w:tl2br w:val="nil"/>
                    <w:tr2bl w:val="nil"/>
                  </w:tcBorders>
                  <w:tcMar>
                    <w:top w:w="0" w:type="dxa"/>
                    <w:left w:w="0" w:type="dxa"/>
                    <w:bottom w:w="0" w:type="dxa"/>
                    <w:right w:w="0" w:type="dxa"/>
                  </w:tcMar>
                  <w:vAlign w:val="center"/>
                </w:tcPr>
                <w:p w14:paraId="720F8B5F">
                  <w:pPr>
                    <w:keepNext w:val="0"/>
                    <w:keepLines w:val="0"/>
                    <w:suppressLineNumbers w:val="0"/>
                    <w:snapToGrid w:val="0"/>
                    <w:spacing w:before="0" w:beforeAutospacing="0" w:after="0" w:afterAutospacing="0" w:line="280" w:lineRule="exact"/>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本项目</w:t>
                  </w:r>
                  <w:r>
                    <w:rPr>
                      <w:rFonts w:hint="eastAsia" w:ascii="Times New Roman" w:hAnsi="Times New Roman" w:eastAsia="宋体" w:cs="Times New Roman"/>
                      <w:color w:val="auto"/>
                      <w:szCs w:val="21"/>
                      <w:highlight w:val="none"/>
                      <w:lang w:val="en-US" w:eastAsia="zh-CN"/>
                    </w:rPr>
                    <w:t>参照</w:t>
                  </w:r>
                  <w:r>
                    <w:rPr>
                      <w:rFonts w:hint="eastAsia" w:ascii="Times New Roman" w:hAnsi="Times New Roman" w:eastAsia="宋体" w:cs="Times New Roman"/>
                      <w:color w:val="auto"/>
                      <w:szCs w:val="21"/>
                      <w:highlight w:val="none"/>
                    </w:rPr>
                    <w:t>《排污许可证申请与核发技术规范 总则</w:t>
                  </w:r>
                  <w:r>
                    <w:rPr>
                      <w:rFonts w:hint="eastAsia" w:ascii="Times New Roman" w:hAnsi="Times New Roman" w:eastAsia="宋体" w:cs="Times New Roman"/>
                      <w:color w:val="auto"/>
                      <w:szCs w:val="21"/>
                      <w:highlight w:val="none"/>
                      <w:lang w:val="en-US" w:eastAsia="zh-CN"/>
                    </w:rPr>
                    <w:t>》( HJ942—2018 2018-02-08实施)</w:t>
                  </w:r>
                  <w:r>
                    <w:rPr>
                      <w:rFonts w:hint="default" w:ascii="Times New Roman" w:hAnsi="Times New Roman" w:eastAsia="宋体" w:cs="Times New Roman"/>
                      <w:color w:val="auto"/>
                      <w:szCs w:val="21"/>
                      <w:highlight w:val="none"/>
                    </w:rPr>
                    <w:t>，选择采用可行性技术，提高治污设施的标准和要求。</w:t>
                  </w:r>
                  <w:r>
                    <w:rPr>
                      <w:rFonts w:hint="default" w:ascii="Times New Roman" w:hAnsi="Times New Roman" w:eastAsia="宋体"/>
                      <w:color w:val="auto"/>
                      <w:szCs w:val="21"/>
                      <w:highlight w:val="none"/>
                    </w:rPr>
                    <w:t>本项目对挥发性有机物进行收集处理达标后排放。本项目</w:t>
                  </w:r>
                  <w:r>
                    <w:rPr>
                      <w:rFonts w:hint="eastAsia" w:ascii="Times New Roman" w:hAnsi="Times New Roman" w:eastAsia="宋体"/>
                      <w:color w:val="auto"/>
                      <w:szCs w:val="21"/>
                      <w:highlight w:val="none"/>
                    </w:rPr>
                    <w:t>若列入涉水、涉气重点项目，则按要求安装用电工况和自动在线监控设备设施并联网</w:t>
                  </w:r>
                  <w:r>
                    <w:rPr>
                      <w:rFonts w:hint="default" w:ascii="Times New Roman" w:hAnsi="Times New Roman" w:eastAsia="宋体"/>
                      <w:color w:val="auto"/>
                      <w:szCs w:val="21"/>
                      <w:highlight w:val="none"/>
                    </w:rPr>
                    <w:t>。本项目</w:t>
                  </w:r>
                  <w:r>
                    <w:rPr>
                      <w:rFonts w:hint="eastAsia" w:ascii="Times New Roman" w:hAnsi="Times New Roman" w:eastAsia="宋体"/>
                      <w:color w:val="auto"/>
                      <w:szCs w:val="21"/>
                      <w:highlight w:val="none"/>
                      <w:lang w:val="en-US" w:eastAsia="zh-CN"/>
                    </w:rPr>
                    <w:t>不使用天然气锅炉。</w:t>
                  </w:r>
                </w:p>
              </w:tc>
              <w:tc>
                <w:tcPr>
                  <w:tcW w:w="637" w:type="pct"/>
                  <w:tcBorders>
                    <w:tl2br w:val="nil"/>
                    <w:tr2bl w:val="nil"/>
                  </w:tcBorders>
                  <w:tcMar>
                    <w:top w:w="0" w:type="dxa"/>
                    <w:left w:w="0" w:type="dxa"/>
                    <w:bottom w:w="0" w:type="dxa"/>
                    <w:right w:w="0" w:type="dxa"/>
                  </w:tcMar>
                  <w:vAlign w:val="center"/>
                </w:tcPr>
                <w:p w14:paraId="3FCBD11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bl>
          <w:p w14:paraId="268E8D7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由上表可知，本项目符合《关于在环评审批阶段开展源头管控行动的工作意见 》（锡环办[2021]142号）中相关要求。</w:t>
            </w:r>
          </w:p>
          <w:p w14:paraId="223DCD4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val="0"/>
                <w:color w:val="auto"/>
                <w:sz w:val="24"/>
                <w:highlight w:val="none"/>
                <w:lang w:eastAsia="zh-CN"/>
              </w:rPr>
            </w:pPr>
            <w:r>
              <w:rPr>
                <w:rFonts w:hint="eastAsia" w:ascii="Times New Roman" w:hAnsi="Times New Roman" w:eastAsia="宋体" w:cs="Times New Roman"/>
                <w:b/>
                <w:bCs w:val="0"/>
                <w:color w:val="auto"/>
                <w:sz w:val="24"/>
                <w:highlight w:val="none"/>
                <w:lang w:eastAsia="zh-CN"/>
              </w:rPr>
              <w:t>（</w:t>
            </w:r>
            <w:r>
              <w:rPr>
                <w:rFonts w:hint="eastAsia" w:ascii="Times New Roman" w:hAnsi="Times New Roman" w:eastAsia="宋体" w:cs="Times New Roman"/>
                <w:b/>
                <w:bCs w:val="0"/>
                <w:color w:val="auto"/>
                <w:sz w:val="24"/>
                <w:highlight w:val="none"/>
                <w:lang w:val="en-US" w:eastAsia="zh-CN"/>
              </w:rPr>
              <w:t>3</w:t>
            </w:r>
            <w:r>
              <w:rPr>
                <w:rFonts w:hint="eastAsia" w:ascii="Times New Roman" w:hAnsi="Times New Roman" w:eastAsia="宋体" w:cs="Times New Roman"/>
                <w:b/>
                <w:bCs w:val="0"/>
                <w:color w:val="auto"/>
                <w:sz w:val="24"/>
                <w:highlight w:val="none"/>
                <w:lang w:eastAsia="zh-CN"/>
              </w:rPr>
              <w:t>）与《实验室废气污染控制技术规范》（DB 32/T 4455-2023）的相符性分析</w:t>
            </w:r>
          </w:p>
          <w:p w14:paraId="2AC8D74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181" w:firstLineChars="75"/>
              <w:jc w:val="center"/>
              <w:textAlignment w:val="auto"/>
              <w:rPr>
                <w:rFonts w:hint="default" w:ascii="Times New Roman" w:hAnsi="Times New Roman" w:eastAsia="宋体" w:cs="宋体"/>
                <w:b/>
                <w:bCs/>
                <w:color w:val="auto"/>
                <w:kern w:val="2"/>
                <w:sz w:val="24"/>
                <w:szCs w:val="24"/>
                <w:lang w:val="en-US" w:eastAsia="zh-CN" w:bidi="ar-SA"/>
              </w:rPr>
            </w:pPr>
          </w:p>
          <w:p w14:paraId="34A6564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181" w:firstLineChars="75"/>
              <w:jc w:val="center"/>
              <w:textAlignment w:val="auto"/>
              <w:rPr>
                <w:rFonts w:hint="default" w:ascii="Times New Roman" w:hAnsi="Times New Roman" w:eastAsia="宋体" w:cs="宋体"/>
                <w:b/>
                <w:bCs/>
                <w:color w:val="auto"/>
                <w:kern w:val="2"/>
                <w:sz w:val="24"/>
                <w:szCs w:val="24"/>
                <w:lang w:val="en-US" w:eastAsia="zh-CN" w:bidi="ar-SA"/>
              </w:rPr>
            </w:pPr>
          </w:p>
          <w:p w14:paraId="17F96BE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181" w:firstLineChars="75"/>
              <w:jc w:val="center"/>
              <w:textAlignment w:val="auto"/>
              <w:rPr>
                <w:rFonts w:hint="default" w:ascii="Times New Roman" w:hAnsi="Times New Roman" w:eastAsia="宋体" w:cs="宋体"/>
                <w:b/>
                <w:bCs/>
                <w:color w:val="auto"/>
                <w:kern w:val="2"/>
                <w:sz w:val="24"/>
                <w:szCs w:val="24"/>
                <w:lang w:val="en-US" w:eastAsia="zh-CN" w:bidi="ar-SA"/>
              </w:rPr>
            </w:pPr>
          </w:p>
          <w:p w14:paraId="25575A9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181" w:firstLineChars="75"/>
              <w:jc w:val="center"/>
              <w:textAlignment w:val="auto"/>
              <w:rPr>
                <w:rFonts w:hint="default" w:ascii="Times New Roman" w:hAnsi="Times New Roman" w:eastAsia="宋体" w:cs="宋体"/>
                <w:b/>
                <w:bCs/>
                <w:color w:val="auto"/>
                <w:kern w:val="2"/>
                <w:sz w:val="24"/>
                <w:szCs w:val="24"/>
                <w:lang w:val="en-US" w:eastAsia="zh-CN" w:bidi="ar-SA"/>
              </w:rPr>
            </w:pPr>
          </w:p>
          <w:p w14:paraId="0357DD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181" w:firstLineChars="75"/>
              <w:jc w:val="center"/>
              <w:textAlignment w:val="auto"/>
              <w:rPr>
                <w:rFonts w:hint="default" w:ascii="Times New Roman" w:hAnsi="Times New Roman" w:eastAsia="宋体" w:cs="宋体"/>
                <w:b/>
                <w:bCs/>
                <w:color w:val="auto"/>
                <w:kern w:val="2"/>
                <w:sz w:val="24"/>
                <w:szCs w:val="24"/>
                <w:lang w:val="en-US" w:eastAsia="zh-CN" w:bidi="ar-SA"/>
              </w:rPr>
            </w:pPr>
          </w:p>
          <w:p w14:paraId="7385029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181" w:firstLineChars="75"/>
              <w:jc w:val="center"/>
              <w:textAlignment w:val="auto"/>
              <w:rPr>
                <w:rFonts w:hint="default" w:ascii="Times New Roman" w:hAnsi="Times New Roman" w:eastAsia="宋体" w:cs="宋体"/>
                <w:b/>
                <w:bCs/>
                <w:color w:val="auto"/>
                <w:kern w:val="2"/>
                <w:sz w:val="24"/>
                <w:szCs w:val="24"/>
                <w:lang w:val="en-US" w:eastAsia="zh-CN" w:bidi="ar-SA"/>
              </w:rPr>
            </w:pPr>
          </w:p>
          <w:p w14:paraId="50749AF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181" w:firstLineChars="75"/>
              <w:jc w:val="center"/>
              <w:textAlignment w:val="auto"/>
              <w:rPr>
                <w:rFonts w:hint="default" w:ascii="Times New Roman" w:hAnsi="Times New Roman" w:eastAsia="宋体" w:cs="宋体"/>
                <w:b/>
                <w:bCs/>
                <w:color w:val="auto"/>
                <w:kern w:val="2"/>
                <w:sz w:val="24"/>
                <w:szCs w:val="24"/>
                <w:lang w:val="en-US" w:eastAsia="zh-CN" w:bidi="ar-SA"/>
              </w:rPr>
            </w:pPr>
          </w:p>
          <w:p w14:paraId="0645BC3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181" w:firstLineChars="75"/>
              <w:jc w:val="center"/>
              <w:textAlignment w:val="auto"/>
              <w:rPr>
                <w:rFonts w:hint="default" w:ascii="Times New Roman" w:hAnsi="Times New Roman" w:eastAsia="宋体" w:cs="宋体"/>
                <w:b/>
                <w:bCs/>
                <w:color w:val="auto"/>
                <w:kern w:val="2"/>
                <w:sz w:val="24"/>
                <w:szCs w:val="24"/>
                <w:lang w:val="en-US" w:eastAsia="zh-CN" w:bidi="ar-SA"/>
              </w:rPr>
            </w:pPr>
          </w:p>
          <w:p w14:paraId="23C044F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181" w:firstLineChars="75"/>
              <w:jc w:val="center"/>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宋体"/>
                <w:b/>
                <w:bCs/>
                <w:color w:val="auto"/>
                <w:kern w:val="2"/>
                <w:sz w:val="24"/>
                <w:szCs w:val="24"/>
                <w:lang w:val="en-US" w:eastAsia="zh-CN" w:bidi="ar-SA"/>
              </w:rPr>
              <w:t>表1-</w:t>
            </w:r>
            <w:r>
              <w:rPr>
                <w:rFonts w:hint="eastAsia" w:ascii="Times New Roman" w:hAnsi="Times New Roman" w:eastAsia="宋体" w:cs="宋体"/>
                <w:b/>
                <w:bCs/>
                <w:color w:val="auto"/>
                <w:kern w:val="2"/>
                <w:sz w:val="24"/>
                <w:szCs w:val="24"/>
                <w:lang w:val="en-US" w:eastAsia="zh-CN" w:bidi="ar-SA"/>
              </w:rPr>
              <w:t xml:space="preserve">13  </w:t>
            </w:r>
            <w:r>
              <w:rPr>
                <w:rFonts w:hint="default" w:ascii="Times New Roman" w:hAnsi="Times New Roman" w:eastAsia="宋体" w:cs="Times New Roman"/>
                <w:b/>
                <w:bCs/>
                <w:color w:val="auto"/>
                <w:sz w:val="24"/>
                <w:highlight w:val="none"/>
              </w:rPr>
              <w:t>本项目与</w:t>
            </w:r>
            <w:r>
              <w:rPr>
                <w:rFonts w:hint="eastAsia" w:ascii="Times New Roman" w:hAnsi="Times New Roman" w:eastAsia="宋体" w:cs="Times New Roman"/>
                <w:b/>
                <w:bCs/>
                <w:color w:val="auto"/>
                <w:sz w:val="24"/>
                <w:highlight w:val="none"/>
                <w:lang w:eastAsia="zh-CN"/>
              </w:rPr>
              <w:t>《</w:t>
            </w:r>
            <w:r>
              <w:rPr>
                <w:rFonts w:hint="eastAsia" w:ascii="Times New Roman" w:hAnsi="Times New Roman" w:eastAsia="宋体" w:cs="Times New Roman"/>
                <w:b/>
                <w:bCs/>
                <w:color w:val="auto"/>
                <w:sz w:val="24"/>
                <w:highlight w:val="none"/>
                <w:lang w:val="en-US" w:eastAsia="zh-CN"/>
              </w:rPr>
              <w:t>实验室废气污染控制技术规范</w:t>
            </w:r>
            <w:r>
              <w:rPr>
                <w:rFonts w:hint="eastAsia"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rPr>
              <w:t>的相符性分析</w:t>
            </w:r>
            <w:r>
              <w:rPr>
                <w:rFonts w:hint="eastAsia" w:ascii="Times New Roman" w:hAnsi="Times New Roman" w:eastAsia="宋体" w:cs="Times New Roman"/>
                <w:b/>
                <w:bCs/>
                <w:color w:val="auto"/>
                <w:sz w:val="24"/>
                <w:highlight w:val="none"/>
              </w:rPr>
              <w:t>一</w:t>
            </w:r>
            <w:r>
              <w:rPr>
                <w:rFonts w:hint="default" w:ascii="Times New Roman" w:hAnsi="Times New Roman" w:eastAsia="宋体" w:cs="Times New Roman"/>
                <w:b/>
                <w:bCs/>
                <w:color w:val="auto"/>
                <w:sz w:val="24"/>
                <w:highlight w:val="none"/>
              </w:rPr>
              <w:t>览表</w:t>
            </w:r>
          </w:p>
          <w:tbl>
            <w:tblPr>
              <w:tblStyle w:val="2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573"/>
              <w:gridCol w:w="4042"/>
              <w:gridCol w:w="3058"/>
              <w:gridCol w:w="909"/>
            </w:tblGrid>
            <w:tr w14:paraId="28CE6D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0" w:type="pct"/>
                  <w:tcBorders>
                    <w:tl2br w:val="nil"/>
                    <w:tr2bl w:val="nil"/>
                  </w:tcBorders>
                  <w:vAlign w:val="center"/>
                </w:tcPr>
                <w:p w14:paraId="2B5DA40D">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cs="Times New Roman"/>
                      <w:b/>
                      <w:bCs/>
                      <w:color w:val="auto"/>
                      <w:kern w:val="2"/>
                      <w:sz w:val="21"/>
                      <w:szCs w:val="24"/>
                      <w:highlight w:val="none"/>
                      <w:lang w:val="en-US" w:eastAsia="zh-CN" w:bidi="ar-SA"/>
                    </w:rPr>
                    <w:t>序号</w:t>
                  </w:r>
                </w:p>
              </w:tc>
              <w:tc>
                <w:tcPr>
                  <w:tcW w:w="2489" w:type="pct"/>
                  <w:gridSpan w:val="2"/>
                  <w:tcBorders>
                    <w:tl2br w:val="nil"/>
                    <w:tr2bl w:val="nil"/>
                  </w:tcBorders>
                  <w:vAlign w:val="center"/>
                </w:tcPr>
                <w:p w14:paraId="3D8F2A32">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cs="Times New Roman"/>
                      <w:b/>
                      <w:bCs/>
                      <w:color w:val="auto"/>
                      <w:kern w:val="2"/>
                      <w:sz w:val="21"/>
                      <w:szCs w:val="24"/>
                      <w:highlight w:val="none"/>
                      <w:lang w:val="en-US" w:eastAsia="zh-CN" w:bidi="ar-SA"/>
                    </w:rPr>
                    <w:t>规范要求</w:t>
                  </w:r>
                </w:p>
              </w:tc>
              <w:tc>
                <w:tcPr>
                  <w:tcW w:w="1649" w:type="pct"/>
                  <w:tcBorders>
                    <w:tl2br w:val="nil"/>
                    <w:tr2bl w:val="nil"/>
                  </w:tcBorders>
                  <w:vAlign w:val="center"/>
                </w:tcPr>
                <w:p w14:paraId="5C6478FB">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本项目情况</w:t>
                  </w:r>
                </w:p>
              </w:tc>
              <w:tc>
                <w:tcPr>
                  <w:tcW w:w="490" w:type="pct"/>
                  <w:tcBorders>
                    <w:tl2br w:val="nil"/>
                    <w:tr2bl w:val="nil"/>
                  </w:tcBorders>
                  <w:vAlign w:val="center"/>
                </w:tcPr>
                <w:p w14:paraId="23A9C570">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相符性</w:t>
                  </w:r>
                </w:p>
              </w:tc>
            </w:tr>
            <w:tr w14:paraId="28F1CB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4" w:hRule="atLeast"/>
                <w:jc w:val="center"/>
              </w:trPr>
              <w:tc>
                <w:tcPr>
                  <w:tcW w:w="370" w:type="pct"/>
                  <w:tcBorders>
                    <w:tl2br w:val="nil"/>
                    <w:tr2bl w:val="nil"/>
                  </w:tcBorders>
                  <w:vAlign w:val="center"/>
                </w:tcPr>
                <w:p w14:paraId="24045DA2">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cs="Times New Roman"/>
                      <w:b/>
                      <w:bCs/>
                      <w:color w:val="auto"/>
                      <w:kern w:val="2"/>
                      <w:sz w:val="21"/>
                      <w:szCs w:val="24"/>
                      <w:highlight w:val="none"/>
                      <w:lang w:val="en-US" w:eastAsia="zh-CN" w:bidi="ar-SA"/>
                    </w:rPr>
                    <w:t>1</w:t>
                  </w:r>
                </w:p>
              </w:tc>
              <w:tc>
                <w:tcPr>
                  <w:tcW w:w="309" w:type="pct"/>
                  <w:vMerge w:val="restart"/>
                  <w:tcBorders>
                    <w:tl2br w:val="nil"/>
                    <w:tr2bl w:val="nil"/>
                  </w:tcBorders>
                  <w:vAlign w:val="center"/>
                </w:tcPr>
                <w:p w14:paraId="297FEA1F">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b/>
                      <w:bCs/>
                      <w:color w:val="auto"/>
                      <w:kern w:val="2"/>
                      <w:sz w:val="21"/>
                      <w:szCs w:val="24"/>
                      <w:highlight w:val="none"/>
                      <w:lang w:val="en-US" w:eastAsia="zh-CN" w:bidi="ar-SA"/>
                    </w:rPr>
                    <w:t>总体要求</w:t>
                  </w:r>
                </w:p>
              </w:tc>
              <w:tc>
                <w:tcPr>
                  <w:tcW w:w="2180" w:type="pct"/>
                  <w:tcBorders>
                    <w:tl2br w:val="nil"/>
                    <w:tr2bl w:val="nil"/>
                  </w:tcBorders>
                  <w:vAlign w:val="center"/>
                </w:tcPr>
                <w:p w14:paraId="11DB881E">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实验室单位产生的废气应经过排风柜或排 风罩等方式收集，按照相关工程技术规范对净 化工艺和设备进行科学设计和施工，排出室外的有机、无机废气应符合GB14554 和DB32/4041 的规定（国家或地方行业污染物排放标准中对 实验室废气已作规定的，按相应行业排放标准 规定执行）。</w:t>
                  </w:r>
                </w:p>
              </w:tc>
              <w:tc>
                <w:tcPr>
                  <w:tcW w:w="1649" w:type="pct"/>
                  <w:tcBorders>
                    <w:tl2br w:val="nil"/>
                    <w:tr2bl w:val="nil"/>
                  </w:tcBorders>
                  <w:vAlign w:val="center"/>
                </w:tcPr>
                <w:p w14:paraId="5764BB36">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实验过程中原料挥发产生的VOCs经通风橱收集后</w:t>
                  </w:r>
                  <w:r>
                    <w:rPr>
                      <w:rFonts w:hint="eastAsia" w:cs="Times New Roman"/>
                      <w:color w:val="auto"/>
                      <w:kern w:val="2"/>
                      <w:sz w:val="21"/>
                      <w:szCs w:val="24"/>
                      <w:highlight w:val="none"/>
                      <w:lang w:val="en-US" w:eastAsia="zh-CN" w:bidi="ar-SA"/>
                    </w:rPr>
                    <w:t>和经负压排风系统收集的危废间废气一起，</w:t>
                  </w:r>
                  <w:r>
                    <w:rPr>
                      <w:rFonts w:hint="eastAsia" w:ascii="Times New Roman" w:hAnsi="Times New Roman" w:eastAsia="宋体" w:cs="Times New Roman"/>
                      <w:color w:val="auto"/>
                      <w:kern w:val="2"/>
                      <w:sz w:val="21"/>
                      <w:szCs w:val="24"/>
                      <w:highlight w:val="none"/>
                      <w:lang w:val="en-US" w:eastAsia="zh-CN" w:bidi="ar-SA"/>
                    </w:rPr>
                    <w:t>通过二级活性炭吸附装置进行处理，最后通过一根15m高排气筒</w:t>
                  </w:r>
                  <w:r>
                    <w:rPr>
                      <w:rFonts w:hint="eastAsia" w:cs="Times New Roman"/>
                      <w:color w:val="auto"/>
                      <w:kern w:val="2"/>
                      <w:sz w:val="21"/>
                      <w:szCs w:val="24"/>
                      <w:highlight w:val="none"/>
                      <w:lang w:val="en-US" w:eastAsia="zh-CN" w:bidi="ar-SA"/>
                    </w:rPr>
                    <w:t>FQ01</w:t>
                  </w:r>
                  <w:r>
                    <w:rPr>
                      <w:rFonts w:hint="eastAsia" w:ascii="Times New Roman" w:hAnsi="Times New Roman" w:eastAsia="宋体" w:cs="Times New Roman"/>
                      <w:color w:val="auto"/>
                      <w:kern w:val="2"/>
                      <w:sz w:val="21"/>
                      <w:szCs w:val="24"/>
                      <w:highlight w:val="none"/>
                      <w:lang w:val="en-US" w:eastAsia="zh-CN" w:bidi="ar-SA"/>
                    </w:rPr>
                    <w:t>排空</w:t>
                  </w:r>
                </w:p>
              </w:tc>
              <w:tc>
                <w:tcPr>
                  <w:tcW w:w="490" w:type="pct"/>
                  <w:tcBorders>
                    <w:tl2br w:val="nil"/>
                    <w:tr2bl w:val="nil"/>
                  </w:tcBorders>
                  <w:vAlign w:val="center"/>
                </w:tcPr>
                <w:p w14:paraId="08F34F51">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相符</w:t>
                  </w:r>
                </w:p>
              </w:tc>
            </w:tr>
            <w:tr w14:paraId="2218E5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5" w:hRule="atLeast"/>
                <w:jc w:val="center"/>
              </w:trPr>
              <w:tc>
                <w:tcPr>
                  <w:tcW w:w="370" w:type="pct"/>
                  <w:tcBorders>
                    <w:tl2br w:val="nil"/>
                    <w:tr2bl w:val="nil"/>
                  </w:tcBorders>
                  <w:vAlign w:val="center"/>
                </w:tcPr>
                <w:p w14:paraId="43D322E1">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cs="Times New Roman"/>
                      <w:b/>
                      <w:bCs/>
                      <w:color w:val="auto"/>
                      <w:kern w:val="2"/>
                      <w:sz w:val="21"/>
                      <w:szCs w:val="24"/>
                      <w:highlight w:val="none"/>
                      <w:lang w:val="en-US" w:eastAsia="zh-CN" w:bidi="ar-SA"/>
                    </w:rPr>
                    <w:t>2</w:t>
                  </w:r>
                </w:p>
              </w:tc>
              <w:tc>
                <w:tcPr>
                  <w:tcW w:w="309" w:type="pct"/>
                  <w:vMerge w:val="continue"/>
                  <w:tcBorders>
                    <w:tl2br w:val="nil"/>
                    <w:tr2bl w:val="nil"/>
                  </w:tcBorders>
                  <w:vAlign w:val="center"/>
                </w:tcPr>
                <w:p w14:paraId="7FAFFC63">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p>
              </w:tc>
              <w:tc>
                <w:tcPr>
                  <w:tcW w:w="2180" w:type="pct"/>
                  <w:tcBorders>
                    <w:tl2br w:val="nil"/>
                    <w:tr2bl w:val="nil"/>
                  </w:tcBorders>
                  <w:vAlign w:val="center"/>
                </w:tcPr>
                <w:p w14:paraId="2BCEAAA4">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olor w:val="auto"/>
                      <w:spacing w:val="10"/>
                      <w:sz w:val="21"/>
                    </w:rPr>
                    <w:t>收集废气中</w:t>
                  </w:r>
                  <w:r>
                    <w:rPr>
                      <w:rFonts w:hint="default" w:ascii="Times New Roman" w:hAnsi="Times New Roman" w:eastAsia="宋体"/>
                      <w:color w:val="auto"/>
                      <w:spacing w:val="-53"/>
                      <w:sz w:val="21"/>
                    </w:rPr>
                    <w:t xml:space="preserve"> </w:t>
                  </w:r>
                  <w:r>
                    <w:rPr>
                      <w:rFonts w:hint="default" w:ascii="Times New Roman" w:hAnsi="Times New Roman" w:eastAsia="宋体" w:cs="Times New Roman"/>
                      <w:color w:val="auto"/>
                      <w:sz w:val="21"/>
                    </w:rPr>
                    <w:t>NMHC</w:t>
                  </w:r>
                  <w:r>
                    <w:rPr>
                      <w:rFonts w:hint="default" w:ascii="Times New Roman" w:hAnsi="Times New Roman" w:eastAsia="宋体" w:cs="Times New Roman"/>
                      <w:color w:val="auto"/>
                      <w:spacing w:val="10"/>
                      <w:sz w:val="21"/>
                    </w:rPr>
                    <w:t xml:space="preserve"> </w:t>
                  </w:r>
                  <w:r>
                    <w:rPr>
                      <w:rFonts w:hint="default" w:ascii="Times New Roman" w:hAnsi="Times New Roman" w:eastAsia="宋体"/>
                      <w:color w:val="auto"/>
                      <w:spacing w:val="10"/>
                      <w:sz w:val="21"/>
                    </w:rPr>
                    <w:t>初始排放速率大于或等</w:t>
                  </w:r>
                  <w:r>
                    <w:rPr>
                      <w:rFonts w:hint="default" w:ascii="Times New Roman" w:hAnsi="Times New Roman" w:eastAsia="宋体"/>
                      <w:color w:val="auto"/>
                      <w:spacing w:val="14"/>
                      <w:sz w:val="21"/>
                    </w:rPr>
                    <w:t>于</w:t>
                  </w:r>
                  <w:r>
                    <w:rPr>
                      <w:rFonts w:hint="default" w:ascii="Times New Roman" w:hAnsi="Times New Roman" w:eastAsia="宋体"/>
                      <w:color w:val="auto"/>
                      <w:spacing w:val="-30"/>
                      <w:sz w:val="21"/>
                    </w:rPr>
                    <w:t xml:space="preserve"> </w:t>
                  </w:r>
                  <w:r>
                    <w:rPr>
                      <w:rFonts w:hint="default" w:ascii="Times New Roman" w:hAnsi="Times New Roman" w:eastAsia="宋体" w:cs="Times New Roman"/>
                      <w:color w:val="auto"/>
                      <w:spacing w:val="14"/>
                      <w:sz w:val="21"/>
                    </w:rPr>
                    <w:t>2</w:t>
                  </w:r>
                  <w:r>
                    <w:rPr>
                      <w:rFonts w:hint="default" w:ascii="Times New Roman" w:hAnsi="Times New Roman" w:eastAsia="宋体" w:cs="Times New Roman"/>
                      <w:color w:val="auto"/>
                      <w:sz w:val="21"/>
                    </w:rPr>
                    <w:t>kg</w:t>
                  </w:r>
                  <w:r>
                    <w:rPr>
                      <w:rFonts w:hint="default" w:ascii="Times New Roman" w:hAnsi="Times New Roman" w:eastAsia="宋体" w:cs="Times New Roman"/>
                      <w:color w:val="auto"/>
                      <w:spacing w:val="14"/>
                      <w:sz w:val="21"/>
                    </w:rPr>
                    <w:t>/h</w:t>
                  </w:r>
                  <w:r>
                    <w:rPr>
                      <w:rFonts w:hint="default" w:ascii="Times New Roman" w:hAnsi="Times New Roman" w:eastAsia="宋体"/>
                      <w:color w:val="auto"/>
                      <w:spacing w:val="14"/>
                      <w:sz w:val="21"/>
                    </w:rPr>
                    <w:t>的实验室单元，废气净化效率不低于</w:t>
                  </w:r>
                  <w:r>
                    <w:rPr>
                      <w:rFonts w:hint="default" w:ascii="Times New Roman" w:hAnsi="Times New Roman" w:eastAsia="宋体" w:cs="Times New Roman"/>
                      <w:color w:val="auto"/>
                      <w:spacing w:val="8"/>
                      <w:sz w:val="21"/>
                    </w:rPr>
                    <w:t>80%</w:t>
                  </w:r>
                  <w:r>
                    <w:rPr>
                      <w:rFonts w:hint="default" w:ascii="Times New Roman" w:hAnsi="Times New Roman" w:eastAsia="宋体"/>
                      <w:color w:val="auto"/>
                      <w:spacing w:val="8"/>
                      <w:sz w:val="21"/>
                    </w:rPr>
                    <w:t>；</w:t>
                  </w:r>
                  <w:r>
                    <w:rPr>
                      <w:rFonts w:hint="default" w:ascii="Times New Roman" w:hAnsi="Times New Roman" w:eastAsia="宋体"/>
                      <w:color w:val="auto"/>
                      <w:spacing w:val="-45"/>
                      <w:sz w:val="21"/>
                    </w:rPr>
                    <w:t xml:space="preserve"> </w:t>
                  </w:r>
                  <w:r>
                    <w:rPr>
                      <w:rFonts w:hint="default" w:ascii="Times New Roman" w:hAnsi="Times New Roman" w:eastAsia="宋体"/>
                      <w:color w:val="auto"/>
                      <w:spacing w:val="8"/>
                      <w:sz w:val="21"/>
                    </w:rPr>
                    <w:t>收集</w:t>
                  </w:r>
                  <w:r>
                    <w:rPr>
                      <w:rFonts w:hint="default" w:ascii="Times New Roman" w:hAnsi="Times New Roman" w:eastAsia="宋体"/>
                      <w:color w:val="auto"/>
                      <w:spacing w:val="-59"/>
                      <w:sz w:val="21"/>
                    </w:rPr>
                    <w:t xml:space="preserve"> </w:t>
                  </w:r>
                  <w:r>
                    <w:rPr>
                      <w:rFonts w:hint="default" w:ascii="Times New Roman" w:hAnsi="Times New Roman" w:eastAsia="宋体"/>
                      <w:color w:val="auto"/>
                      <w:spacing w:val="8"/>
                      <w:sz w:val="21"/>
                    </w:rPr>
                    <w:t>废</w:t>
                  </w:r>
                  <w:r>
                    <w:rPr>
                      <w:rFonts w:hint="default" w:ascii="Times New Roman" w:hAnsi="Times New Roman" w:eastAsia="宋体"/>
                      <w:color w:val="auto"/>
                      <w:spacing w:val="-58"/>
                      <w:sz w:val="21"/>
                    </w:rPr>
                    <w:t xml:space="preserve"> </w:t>
                  </w:r>
                  <w:r>
                    <w:rPr>
                      <w:rFonts w:hint="default" w:ascii="Times New Roman" w:hAnsi="Times New Roman" w:eastAsia="宋体"/>
                      <w:color w:val="auto"/>
                      <w:spacing w:val="8"/>
                      <w:sz w:val="21"/>
                    </w:rPr>
                    <w:t>气</w:t>
                  </w:r>
                  <w:r>
                    <w:rPr>
                      <w:rFonts w:hint="default" w:ascii="Times New Roman" w:hAnsi="Times New Roman" w:eastAsia="宋体"/>
                      <w:color w:val="auto"/>
                      <w:spacing w:val="-39"/>
                      <w:sz w:val="21"/>
                    </w:rPr>
                    <w:t xml:space="preserve"> </w:t>
                  </w:r>
                  <w:r>
                    <w:rPr>
                      <w:rFonts w:hint="default" w:ascii="Times New Roman" w:hAnsi="Times New Roman" w:eastAsia="宋体"/>
                      <w:color w:val="auto"/>
                      <w:spacing w:val="8"/>
                      <w:sz w:val="21"/>
                    </w:rPr>
                    <w:t>中</w:t>
                  </w:r>
                  <w:r>
                    <w:rPr>
                      <w:rFonts w:hint="default" w:ascii="Times New Roman" w:hAnsi="Times New Roman" w:eastAsia="宋体"/>
                      <w:color w:val="auto"/>
                      <w:spacing w:val="-18"/>
                      <w:sz w:val="21"/>
                    </w:rPr>
                    <w:t xml:space="preserve"> </w:t>
                  </w:r>
                  <w:r>
                    <w:rPr>
                      <w:rFonts w:hint="default" w:ascii="Times New Roman" w:hAnsi="Times New Roman" w:eastAsia="宋体" w:cs="Times New Roman"/>
                      <w:color w:val="auto"/>
                      <w:sz w:val="21"/>
                    </w:rPr>
                    <w:t>NMH</w:t>
                  </w:r>
                  <w:r>
                    <w:rPr>
                      <w:rFonts w:hint="eastAsia" w:ascii="Times New Roman" w:hAnsi="Times New Roman" w:eastAsia="宋体" w:cs="Times New Roman"/>
                      <w:color w:val="auto"/>
                      <w:sz w:val="21"/>
                      <w:lang w:val="en-US" w:eastAsia="zh-CN"/>
                    </w:rPr>
                    <w:t>C</w:t>
                  </w:r>
                  <w:r>
                    <w:rPr>
                      <w:rFonts w:hint="default" w:ascii="Times New Roman" w:hAnsi="Times New Roman" w:eastAsia="宋体"/>
                      <w:color w:val="auto"/>
                      <w:spacing w:val="8"/>
                      <w:sz w:val="21"/>
                    </w:rPr>
                    <w:t>初</w:t>
                  </w:r>
                  <w:r>
                    <w:rPr>
                      <w:rFonts w:hint="default" w:ascii="Times New Roman" w:hAnsi="Times New Roman" w:eastAsia="宋体"/>
                      <w:color w:val="auto"/>
                      <w:spacing w:val="-58"/>
                      <w:sz w:val="21"/>
                    </w:rPr>
                    <w:t xml:space="preserve"> </w:t>
                  </w:r>
                  <w:r>
                    <w:rPr>
                      <w:rFonts w:hint="default" w:ascii="Times New Roman" w:hAnsi="Times New Roman" w:eastAsia="宋体"/>
                      <w:color w:val="auto"/>
                      <w:spacing w:val="8"/>
                      <w:sz w:val="21"/>
                    </w:rPr>
                    <w:t>始排</w:t>
                  </w:r>
                  <w:r>
                    <w:rPr>
                      <w:rFonts w:hint="default" w:ascii="Times New Roman" w:hAnsi="Times New Roman" w:eastAsia="宋体"/>
                      <w:color w:val="auto"/>
                      <w:spacing w:val="-58"/>
                      <w:sz w:val="21"/>
                    </w:rPr>
                    <w:t xml:space="preserve"> </w:t>
                  </w:r>
                  <w:r>
                    <w:rPr>
                      <w:rFonts w:hint="default" w:ascii="Times New Roman" w:hAnsi="Times New Roman" w:eastAsia="宋体"/>
                      <w:color w:val="auto"/>
                      <w:spacing w:val="8"/>
                      <w:sz w:val="21"/>
                    </w:rPr>
                    <w:t>放</w:t>
                  </w:r>
                  <w:r>
                    <w:rPr>
                      <w:rFonts w:hint="default" w:ascii="Times New Roman" w:hAnsi="Times New Roman" w:eastAsia="宋体"/>
                      <w:color w:val="auto"/>
                      <w:spacing w:val="-60"/>
                      <w:sz w:val="21"/>
                    </w:rPr>
                    <w:t xml:space="preserve"> </w:t>
                  </w:r>
                  <w:r>
                    <w:rPr>
                      <w:rFonts w:hint="default" w:ascii="Times New Roman" w:hAnsi="Times New Roman" w:eastAsia="宋体"/>
                      <w:color w:val="auto"/>
                      <w:spacing w:val="8"/>
                      <w:sz w:val="21"/>
                    </w:rPr>
                    <w:t>速</w:t>
                  </w:r>
                  <w:r>
                    <w:rPr>
                      <w:rFonts w:hint="default" w:ascii="Times New Roman" w:hAnsi="Times New Roman" w:eastAsia="宋体"/>
                      <w:color w:val="auto"/>
                      <w:spacing w:val="-56"/>
                      <w:sz w:val="21"/>
                    </w:rPr>
                    <w:t xml:space="preserve"> </w:t>
                  </w:r>
                  <w:r>
                    <w:rPr>
                      <w:rFonts w:hint="default" w:ascii="Times New Roman" w:hAnsi="Times New Roman" w:eastAsia="宋体"/>
                      <w:color w:val="auto"/>
                      <w:spacing w:val="8"/>
                      <w:sz w:val="21"/>
                    </w:rPr>
                    <w:t>率在</w:t>
                  </w:r>
                  <w:r>
                    <w:rPr>
                      <w:rFonts w:hint="default" w:ascii="Times New Roman" w:hAnsi="Times New Roman" w:eastAsia="宋体" w:cs="Times New Roman"/>
                      <w:color w:val="auto"/>
                      <w:spacing w:val="10"/>
                      <w:sz w:val="21"/>
                    </w:rPr>
                    <w:t>0.2</w:t>
                  </w:r>
                  <w:r>
                    <w:rPr>
                      <w:rFonts w:hint="default" w:ascii="Times New Roman" w:hAnsi="Times New Roman" w:eastAsia="宋体" w:cs="Times New Roman"/>
                      <w:color w:val="auto"/>
                      <w:sz w:val="21"/>
                    </w:rPr>
                    <w:t>kg</w:t>
                  </w:r>
                  <w:r>
                    <w:rPr>
                      <w:rFonts w:hint="default" w:ascii="Times New Roman" w:hAnsi="Times New Roman" w:eastAsia="宋体" w:cs="Times New Roman"/>
                      <w:color w:val="auto"/>
                      <w:spacing w:val="10"/>
                      <w:sz w:val="21"/>
                    </w:rPr>
                    <w:t>/h~2</w:t>
                  </w:r>
                  <w:r>
                    <w:rPr>
                      <w:rFonts w:hint="default" w:ascii="Times New Roman" w:hAnsi="Times New Roman" w:eastAsia="宋体" w:cs="Times New Roman"/>
                      <w:color w:val="auto"/>
                      <w:sz w:val="21"/>
                    </w:rPr>
                    <w:t>kg</w:t>
                  </w:r>
                  <w:r>
                    <w:rPr>
                      <w:rFonts w:hint="default" w:ascii="Times New Roman" w:hAnsi="Times New Roman" w:eastAsia="宋体" w:cs="Times New Roman"/>
                      <w:color w:val="auto"/>
                      <w:spacing w:val="10"/>
                      <w:sz w:val="21"/>
                    </w:rPr>
                    <w:t>/h</w:t>
                  </w:r>
                  <w:r>
                    <w:rPr>
                      <w:rFonts w:hint="default" w:ascii="Times New Roman" w:hAnsi="Times New Roman" w:eastAsia="宋体"/>
                      <w:color w:val="auto"/>
                      <w:spacing w:val="10"/>
                      <w:sz w:val="21"/>
                    </w:rPr>
                    <w:t>（含</w:t>
                  </w:r>
                  <w:r>
                    <w:rPr>
                      <w:rFonts w:hint="default" w:ascii="Times New Roman" w:hAnsi="Times New Roman" w:eastAsia="宋体"/>
                      <w:color w:val="auto"/>
                      <w:spacing w:val="-30"/>
                      <w:sz w:val="21"/>
                    </w:rPr>
                    <w:t xml:space="preserve"> </w:t>
                  </w:r>
                  <w:r>
                    <w:rPr>
                      <w:rFonts w:hint="default" w:ascii="Times New Roman" w:hAnsi="Times New Roman" w:eastAsia="宋体" w:cs="Times New Roman"/>
                      <w:color w:val="auto"/>
                      <w:spacing w:val="10"/>
                      <w:sz w:val="21"/>
                    </w:rPr>
                    <w:t>0.2</w:t>
                  </w:r>
                  <w:r>
                    <w:rPr>
                      <w:rFonts w:hint="default" w:ascii="Times New Roman" w:hAnsi="Times New Roman" w:eastAsia="宋体" w:cs="Times New Roman"/>
                      <w:color w:val="auto"/>
                      <w:sz w:val="21"/>
                    </w:rPr>
                    <w:t>kg</w:t>
                  </w:r>
                  <w:r>
                    <w:rPr>
                      <w:rFonts w:hint="default" w:ascii="Times New Roman" w:hAnsi="Times New Roman" w:eastAsia="宋体" w:cs="Times New Roman"/>
                      <w:color w:val="auto"/>
                      <w:spacing w:val="10"/>
                      <w:sz w:val="21"/>
                    </w:rPr>
                    <w:t>/h</w:t>
                  </w:r>
                  <w:r>
                    <w:rPr>
                      <w:rFonts w:hint="default" w:ascii="Times New Roman" w:hAnsi="Times New Roman" w:eastAsia="宋体"/>
                      <w:color w:val="auto"/>
                      <w:spacing w:val="10"/>
                      <w:sz w:val="21"/>
                    </w:rPr>
                    <w:t>）范围内的实验室单</w:t>
                  </w:r>
                  <w:r>
                    <w:rPr>
                      <w:rFonts w:hint="default" w:ascii="Times New Roman" w:hAnsi="Times New Roman" w:eastAsia="宋体"/>
                      <w:color w:val="auto"/>
                      <w:spacing w:val="17"/>
                      <w:sz w:val="21"/>
                    </w:rPr>
                    <w:t>元</w:t>
                  </w:r>
                  <w:r>
                    <w:rPr>
                      <w:rFonts w:hint="default" w:ascii="Times New Roman" w:hAnsi="Times New Roman" w:eastAsia="宋体"/>
                      <w:color w:val="auto"/>
                      <w:spacing w:val="-54"/>
                      <w:sz w:val="21"/>
                    </w:rPr>
                    <w:t xml:space="preserve"> </w:t>
                  </w:r>
                  <w:r>
                    <w:rPr>
                      <w:rFonts w:hint="default" w:ascii="Times New Roman" w:hAnsi="Times New Roman" w:eastAsia="宋体"/>
                      <w:color w:val="auto"/>
                      <w:spacing w:val="17"/>
                      <w:sz w:val="21"/>
                    </w:rPr>
                    <w:t>，废气净化效率不低于</w:t>
                  </w:r>
                  <w:r>
                    <w:rPr>
                      <w:rFonts w:hint="default" w:ascii="Times New Roman" w:hAnsi="Times New Roman" w:eastAsia="宋体"/>
                      <w:color w:val="auto"/>
                      <w:spacing w:val="-19"/>
                      <w:sz w:val="21"/>
                    </w:rPr>
                    <w:t xml:space="preserve"> </w:t>
                  </w:r>
                  <w:r>
                    <w:rPr>
                      <w:rFonts w:hint="default" w:ascii="Times New Roman" w:hAnsi="Times New Roman" w:eastAsia="宋体" w:cs="Times New Roman"/>
                      <w:color w:val="auto"/>
                      <w:spacing w:val="17"/>
                      <w:sz w:val="21"/>
                    </w:rPr>
                    <w:t>60%</w:t>
                  </w:r>
                  <w:r>
                    <w:rPr>
                      <w:rFonts w:hint="default" w:ascii="Times New Roman" w:hAnsi="Times New Roman" w:eastAsia="宋体"/>
                      <w:color w:val="auto"/>
                      <w:spacing w:val="17"/>
                      <w:sz w:val="21"/>
                    </w:rPr>
                    <w:t>；</w:t>
                  </w:r>
                  <w:r>
                    <w:rPr>
                      <w:rFonts w:hint="default" w:ascii="Times New Roman" w:hAnsi="Times New Roman" w:eastAsia="宋体"/>
                      <w:color w:val="auto"/>
                      <w:spacing w:val="-39"/>
                      <w:sz w:val="21"/>
                    </w:rPr>
                    <w:t xml:space="preserve"> </w:t>
                  </w:r>
                  <w:r>
                    <w:rPr>
                      <w:rFonts w:hint="default" w:ascii="Times New Roman" w:hAnsi="Times New Roman" w:eastAsia="宋体"/>
                      <w:color w:val="auto"/>
                      <w:spacing w:val="17"/>
                      <w:sz w:val="21"/>
                    </w:rPr>
                    <w:t>收集废气</w:t>
                  </w:r>
                  <w:r>
                    <w:rPr>
                      <w:rFonts w:hint="eastAsia" w:ascii="Times New Roman" w:hAnsi="Times New Roman" w:eastAsia="宋体"/>
                      <w:color w:val="auto"/>
                      <w:spacing w:val="17"/>
                      <w:sz w:val="21"/>
                      <w:lang w:val="en-US" w:eastAsia="zh-CN"/>
                    </w:rPr>
                    <w:t>中</w:t>
                  </w:r>
                  <w:r>
                    <w:rPr>
                      <w:rFonts w:hint="default" w:ascii="Times New Roman" w:hAnsi="Times New Roman" w:eastAsia="宋体" w:cs="Times New Roman"/>
                      <w:color w:val="auto"/>
                      <w:sz w:val="21"/>
                    </w:rPr>
                    <w:t>NMHC</w:t>
                  </w:r>
                  <w:r>
                    <w:rPr>
                      <w:rFonts w:hint="default" w:ascii="Times New Roman" w:hAnsi="Times New Roman" w:eastAsia="宋体"/>
                      <w:color w:val="auto"/>
                      <w:spacing w:val="13"/>
                      <w:sz w:val="21"/>
                    </w:rPr>
                    <w:t>初始排放速率</w:t>
                  </w:r>
                  <w:r>
                    <w:rPr>
                      <w:rFonts w:hint="default" w:ascii="Times New Roman" w:hAnsi="Times New Roman" w:eastAsia="宋体" w:cs="Times New Roman"/>
                      <w:color w:val="auto"/>
                      <w:spacing w:val="13"/>
                      <w:sz w:val="21"/>
                    </w:rPr>
                    <w:t>0.02</w:t>
                  </w:r>
                  <w:r>
                    <w:rPr>
                      <w:rFonts w:hint="default" w:ascii="Times New Roman" w:hAnsi="Times New Roman" w:eastAsia="宋体" w:cs="Times New Roman"/>
                      <w:color w:val="auto"/>
                      <w:sz w:val="21"/>
                    </w:rPr>
                    <w:t>kg</w:t>
                  </w:r>
                  <w:r>
                    <w:rPr>
                      <w:rFonts w:hint="default" w:ascii="Times New Roman" w:hAnsi="Times New Roman" w:eastAsia="宋体" w:cs="Times New Roman"/>
                      <w:color w:val="auto"/>
                      <w:spacing w:val="13"/>
                      <w:sz w:val="21"/>
                    </w:rPr>
                    <w:t>/h~0.2</w:t>
                  </w:r>
                  <w:r>
                    <w:rPr>
                      <w:rFonts w:hint="default" w:ascii="Times New Roman" w:hAnsi="Times New Roman" w:eastAsia="宋体" w:cs="Times New Roman"/>
                      <w:color w:val="auto"/>
                      <w:sz w:val="21"/>
                    </w:rPr>
                    <w:t>kg</w:t>
                  </w:r>
                  <w:r>
                    <w:rPr>
                      <w:rFonts w:hint="default" w:ascii="Times New Roman" w:hAnsi="Times New Roman" w:eastAsia="宋体" w:cs="Times New Roman"/>
                      <w:color w:val="auto"/>
                      <w:spacing w:val="13"/>
                      <w:sz w:val="21"/>
                    </w:rPr>
                    <w:t>/h</w:t>
                  </w:r>
                  <w:r>
                    <w:rPr>
                      <w:rFonts w:hint="default" w:ascii="Times New Roman" w:hAnsi="Times New Roman" w:eastAsia="宋体"/>
                      <w:color w:val="auto"/>
                      <w:spacing w:val="13"/>
                      <w:sz w:val="21"/>
                    </w:rPr>
                    <w:t>（含0.02kg/h）范围内的实验室单元，废气净化效率不低于50%。</w:t>
                  </w:r>
                </w:p>
              </w:tc>
              <w:tc>
                <w:tcPr>
                  <w:tcW w:w="1649" w:type="pct"/>
                  <w:tcBorders>
                    <w:tl2br w:val="nil"/>
                    <w:tr2bl w:val="nil"/>
                  </w:tcBorders>
                  <w:vAlign w:val="center"/>
                </w:tcPr>
                <w:p w14:paraId="25510C31">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本项目NMHC初始排放速率≤2kg/h，废气净化效率为</w:t>
                  </w:r>
                  <w:r>
                    <w:rPr>
                      <w:rFonts w:hint="eastAsia" w:ascii="Times New Roman" w:hAnsi="Times New Roman" w:eastAsia="宋体" w:cs="Times New Roman"/>
                      <w:color w:val="auto"/>
                      <w:kern w:val="2"/>
                      <w:sz w:val="21"/>
                      <w:szCs w:val="24"/>
                      <w:highlight w:val="none"/>
                      <w:lang w:val="en-US" w:eastAsia="zh-CN" w:bidi="ar-SA"/>
                    </w:rPr>
                    <w:t>90</w:t>
                  </w:r>
                  <w:r>
                    <w:rPr>
                      <w:rFonts w:hint="default" w:ascii="Times New Roman" w:hAnsi="Times New Roman" w:eastAsia="宋体" w:cs="Times New Roman"/>
                      <w:color w:val="auto"/>
                      <w:kern w:val="2"/>
                      <w:sz w:val="21"/>
                      <w:szCs w:val="24"/>
                      <w:highlight w:val="none"/>
                      <w:lang w:val="en-US" w:eastAsia="zh-CN" w:bidi="ar-SA"/>
                    </w:rPr>
                    <w:t>%</w:t>
                  </w:r>
                  <w:r>
                    <w:rPr>
                      <w:rFonts w:hint="eastAsia" w:ascii="Times New Roman" w:hAnsi="Times New Roman" w:eastAsia="宋体" w:cs="Times New Roman"/>
                      <w:color w:val="auto"/>
                      <w:kern w:val="2"/>
                      <w:sz w:val="21"/>
                      <w:szCs w:val="24"/>
                      <w:highlight w:val="none"/>
                      <w:lang w:val="en-US" w:eastAsia="zh-CN" w:bidi="ar-SA"/>
                    </w:rPr>
                    <w:t>，符合规范要求。</w:t>
                  </w:r>
                </w:p>
              </w:tc>
              <w:tc>
                <w:tcPr>
                  <w:tcW w:w="490" w:type="pct"/>
                  <w:tcBorders>
                    <w:tl2br w:val="nil"/>
                    <w:tr2bl w:val="nil"/>
                  </w:tcBorders>
                  <w:vAlign w:val="center"/>
                </w:tcPr>
                <w:p w14:paraId="20675425">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相符</w:t>
                  </w:r>
                </w:p>
              </w:tc>
            </w:tr>
            <w:tr w14:paraId="609BAD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0" w:type="pct"/>
                  <w:tcBorders>
                    <w:tl2br w:val="nil"/>
                    <w:tr2bl w:val="nil"/>
                  </w:tcBorders>
                  <w:vAlign w:val="center"/>
                </w:tcPr>
                <w:p w14:paraId="4E1B87C7">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cs="Times New Roman"/>
                      <w:b/>
                      <w:bCs/>
                      <w:color w:val="auto"/>
                      <w:kern w:val="2"/>
                      <w:sz w:val="21"/>
                      <w:szCs w:val="24"/>
                      <w:highlight w:val="none"/>
                      <w:lang w:val="en-US" w:eastAsia="zh-CN" w:bidi="ar-SA"/>
                    </w:rPr>
                    <w:t>3</w:t>
                  </w:r>
                </w:p>
              </w:tc>
              <w:tc>
                <w:tcPr>
                  <w:tcW w:w="309" w:type="pct"/>
                  <w:vMerge w:val="continue"/>
                  <w:tcBorders>
                    <w:tl2br w:val="nil"/>
                    <w:tr2bl w:val="nil"/>
                  </w:tcBorders>
                  <w:vAlign w:val="center"/>
                </w:tcPr>
                <w:p w14:paraId="01FEA939">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p>
              </w:tc>
              <w:tc>
                <w:tcPr>
                  <w:tcW w:w="2180" w:type="pct"/>
                  <w:tcBorders>
                    <w:tl2br w:val="nil"/>
                    <w:tr2bl w:val="nil"/>
                  </w:tcBorders>
                  <w:vAlign w:val="center"/>
                </w:tcPr>
                <w:p w14:paraId="55216362">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废气收集和净化装置的设计、运行和维护 应满足相关安全规范的要求。</w:t>
                  </w:r>
                </w:p>
              </w:tc>
              <w:tc>
                <w:tcPr>
                  <w:tcW w:w="1649" w:type="pct"/>
                  <w:tcBorders>
                    <w:tl2br w:val="nil"/>
                    <w:tr2bl w:val="nil"/>
                  </w:tcBorders>
                  <w:vAlign w:val="center"/>
                </w:tcPr>
                <w:p w14:paraId="1212D85C">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both"/>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废气收集和净化装置的设计、运行和维护满足相关安全规范的要求。</w:t>
                  </w:r>
                </w:p>
              </w:tc>
              <w:tc>
                <w:tcPr>
                  <w:tcW w:w="490" w:type="pct"/>
                  <w:tcBorders>
                    <w:tl2br w:val="nil"/>
                    <w:tr2bl w:val="nil"/>
                  </w:tcBorders>
                  <w:vAlign w:val="center"/>
                </w:tcPr>
                <w:p w14:paraId="50FA31C4">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相符</w:t>
                  </w:r>
                </w:p>
              </w:tc>
            </w:tr>
            <w:tr w14:paraId="43E75F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370" w:type="pct"/>
                  <w:tcBorders>
                    <w:tl2br w:val="nil"/>
                    <w:tr2bl w:val="nil"/>
                  </w:tcBorders>
                  <w:vAlign w:val="center"/>
                </w:tcPr>
                <w:p w14:paraId="298D8E83">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cs="Times New Roman"/>
                      <w:b/>
                      <w:bCs/>
                      <w:color w:val="auto"/>
                      <w:kern w:val="2"/>
                      <w:sz w:val="21"/>
                      <w:szCs w:val="24"/>
                      <w:highlight w:val="none"/>
                      <w:lang w:val="en-US" w:eastAsia="zh-CN" w:bidi="ar-SA"/>
                    </w:rPr>
                    <w:t>4</w:t>
                  </w:r>
                </w:p>
              </w:tc>
              <w:tc>
                <w:tcPr>
                  <w:tcW w:w="309" w:type="pct"/>
                  <w:vMerge w:val="restart"/>
                  <w:tcBorders>
                    <w:tl2br w:val="nil"/>
                    <w:tr2bl w:val="nil"/>
                  </w:tcBorders>
                  <w:vAlign w:val="center"/>
                </w:tcPr>
                <w:p w14:paraId="65320AE8">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b/>
                      <w:bCs/>
                      <w:color w:val="auto"/>
                      <w:kern w:val="2"/>
                      <w:sz w:val="21"/>
                      <w:szCs w:val="24"/>
                      <w:highlight w:val="none"/>
                      <w:lang w:val="en-US" w:eastAsia="zh-CN" w:bidi="ar-SA"/>
                    </w:rPr>
                    <w:t>废气收集要求</w:t>
                  </w:r>
                </w:p>
              </w:tc>
              <w:tc>
                <w:tcPr>
                  <w:tcW w:w="2180" w:type="pct"/>
                  <w:tcBorders>
                    <w:tl2br w:val="nil"/>
                    <w:tr2bl w:val="nil"/>
                  </w:tcBorders>
                  <w:vAlign w:val="center"/>
                </w:tcPr>
                <w:p w14:paraId="13F9A292">
                  <w:pPr>
                    <w:pStyle w:val="3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olor w:val="auto"/>
                      <w:spacing w:val="14"/>
                      <w:sz w:val="21"/>
                    </w:rPr>
                    <w:t>应根据实验室单元易挥发物质的产生和使用情况，统筹设置废气收集装置，实验室门窗或通风口等排放口外废气无组织排放监控点浓</w:t>
                  </w:r>
                  <w:r>
                    <w:rPr>
                      <w:rFonts w:hint="default" w:ascii="Times New Roman" w:hAnsi="Times New Roman" w:eastAsia="宋体"/>
                      <w:color w:val="auto"/>
                      <w:spacing w:val="6"/>
                      <w:sz w:val="21"/>
                    </w:rPr>
                    <w:t>度限值和监测应符合</w:t>
                  </w:r>
                  <w:r>
                    <w:rPr>
                      <w:rFonts w:hint="default" w:ascii="Times New Roman" w:hAnsi="Times New Roman" w:eastAsia="宋体"/>
                      <w:color w:val="auto"/>
                      <w:spacing w:val="-44"/>
                      <w:sz w:val="21"/>
                    </w:rPr>
                    <w:t xml:space="preserve"> </w:t>
                  </w:r>
                  <w:r>
                    <w:rPr>
                      <w:rFonts w:hint="default" w:ascii="Times New Roman" w:hAnsi="Times New Roman" w:eastAsia="宋体" w:cs="Times New Roman"/>
                      <w:color w:val="auto"/>
                      <w:sz w:val="21"/>
                    </w:rPr>
                    <w:t>GB</w:t>
                  </w:r>
                  <w:r>
                    <w:rPr>
                      <w:rFonts w:hint="default" w:ascii="Times New Roman" w:hAnsi="Times New Roman" w:eastAsia="宋体" w:cs="Times New Roman"/>
                      <w:color w:val="auto"/>
                      <w:spacing w:val="6"/>
                      <w:sz w:val="21"/>
                    </w:rPr>
                    <w:t xml:space="preserve">37822 </w:t>
                  </w:r>
                  <w:r>
                    <w:rPr>
                      <w:rFonts w:hint="default" w:ascii="Times New Roman" w:hAnsi="Times New Roman" w:eastAsia="宋体"/>
                      <w:color w:val="auto"/>
                      <w:spacing w:val="6"/>
                      <w:sz w:val="21"/>
                    </w:rPr>
                    <w:t>和</w:t>
                  </w:r>
                  <w:r>
                    <w:rPr>
                      <w:rFonts w:hint="default" w:ascii="Times New Roman" w:hAnsi="Times New Roman" w:eastAsia="宋体"/>
                      <w:color w:val="auto"/>
                      <w:spacing w:val="-48"/>
                      <w:sz w:val="21"/>
                    </w:rPr>
                    <w:t xml:space="preserve"> </w:t>
                  </w:r>
                  <w:r>
                    <w:rPr>
                      <w:rFonts w:hint="default" w:ascii="Times New Roman" w:hAnsi="Times New Roman" w:eastAsia="宋体" w:cs="Times New Roman"/>
                      <w:color w:val="auto"/>
                      <w:sz w:val="21"/>
                    </w:rPr>
                    <w:t>DB</w:t>
                  </w:r>
                  <w:r>
                    <w:rPr>
                      <w:rFonts w:hint="default" w:ascii="Times New Roman" w:hAnsi="Times New Roman" w:eastAsia="宋体" w:cs="Times New Roman"/>
                      <w:color w:val="auto"/>
                      <w:spacing w:val="6"/>
                      <w:sz w:val="21"/>
                    </w:rPr>
                    <w:t>32/4041</w:t>
                  </w:r>
                  <w:r>
                    <w:rPr>
                      <w:rFonts w:hint="default" w:ascii="Times New Roman" w:hAnsi="Times New Roman" w:eastAsia="宋体"/>
                      <w:color w:val="auto"/>
                      <w:spacing w:val="6"/>
                      <w:sz w:val="21"/>
                    </w:rPr>
                    <w:t>的</w:t>
                  </w:r>
                  <w:r>
                    <w:rPr>
                      <w:rFonts w:hint="default" w:ascii="Times New Roman" w:hAnsi="Times New Roman" w:eastAsia="宋体"/>
                      <w:color w:val="auto"/>
                      <w:spacing w:val="3"/>
                      <w:sz w:val="21"/>
                    </w:rPr>
                    <w:t>要求。</w:t>
                  </w:r>
                </w:p>
              </w:tc>
              <w:tc>
                <w:tcPr>
                  <w:tcW w:w="1649" w:type="pct"/>
                  <w:vMerge w:val="restart"/>
                  <w:tcBorders>
                    <w:tl2br w:val="nil"/>
                    <w:tr2bl w:val="nil"/>
                  </w:tcBorders>
                  <w:vAlign w:val="center"/>
                </w:tcPr>
                <w:p w14:paraId="45FCBC38">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实验过程中原料挥发产生的VOCs经通风橱收集后</w:t>
                  </w:r>
                  <w:r>
                    <w:rPr>
                      <w:rFonts w:hint="eastAsia" w:cs="Times New Roman"/>
                      <w:color w:val="auto"/>
                      <w:kern w:val="2"/>
                      <w:sz w:val="21"/>
                      <w:szCs w:val="24"/>
                      <w:highlight w:val="none"/>
                      <w:lang w:val="en-US" w:eastAsia="zh-CN" w:bidi="ar-SA"/>
                    </w:rPr>
                    <w:t>和经负压排风系统收集的危废间废气一起，</w:t>
                  </w:r>
                  <w:r>
                    <w:rPr>
                      <w:rFonts w:hint="eastAsia" w:ascii="Times New Roman" w:hAnsi="Times New Roman" w:eastAsia="宋体" w:cs="Times New Roman"/>
                      <w:color w:val="auto"/>
                      <w:kern w:val="2"/>
                      <w:sz w:val="21"/>
                      <w:szCs w:val="24"/>
                      <w:highlight w:val="none"/>
                      <w:lang w:val="en-US" w:eastAsia="zh-CN" w:bidi="ar-SA"/>
                    </w:rPr>
                    <w:t>通过二级活性炭吸附装置进行处理，最后通过一根15m高排气筒</w:t>
                  </w:r>
                  <w:r>
                    <w:rPr>
                      <w:rFonts w:hint="eastAsia" w:cs="Times New Roman"/>
                      <w:color w:val="auto"/>
                      <w:kern w:val="2"/>
                      <w:sz w:val="21"/>
                      <w:szCs w:val="24"/>
                      <w:highlight w:val="none"/>
                      <w:lang w:val="en-US" w:eastAsia="zh-CN" w:bidi="ar-SA"/>
                    </w:rPr>
                    <w:t>FQ01</w:t>
                  </w:r>
                  <w:r>
                    <w:rPr>
                      <w:rFonts w:hint="eastAsia" w:ascii="Times New Roman" w:hAnsi="Times New Roman" w:eastAsia="宋体" w:cs="Times New Roman"/>
                      <w:color w:val="auto"/>
                      <w:kern w:val="2"/>
                      <w:sz w:val="21"/>
                      <w:szCs w:val="24"/>
                      <w:highlight w:val="none"/>
                      <w:lang w:val="en-US" w:eastAsia="zh-CN" w:bidi="ar-SA"/>
                    </w:rPr>
                    <w:t>排空</w:t>
                  </w:r>
                  <w:r>
                    <w:rPr>
                      <w:rFonts w:hint="eastAsia" w:cs="Times New Roman"/>
                      <w:color w:val="auto"/>
                      <w:kern w:val="2"/>
                      <w:sz w:val="21"/>
                      <w:szCs w:val="24"/>
                      <w:highlight w:val="none"/>
                      <w:lang w:val="en-US" w:eastAsia="zh-CN" w:bidi="ar-SA"/>
                    </w:rPr>
                    <w:t>。</w:t>
                  </w:r>
                  <w:r>
                    <w:rPr>
                      <w:rFonts w:hint="default" w:ascii="Times New Roman" w:hAnsi="Times New Roman" w:eastAsia="宋体" w:cs="Times New Roman"/>
                      <w:color w:val="auto"/>
                      <w:kern w:val="2"/>
                      <w:sz w:val="21"/>
                      <w:szCs w:val="24"/>
                      <w:highlight w:val="none"/>
                      <w:lang w:val="en-US" w:eastAsia="zh-CN" w:bidi="ar-SA"/>
                    </w:rPr>
                    <w:t>无组织排放监控点浓度限值和监测应符合 GB37822 和</w:t>
                  </w:r>
                </w:p>
                <w:p w14:paraId="7F6561BF">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DB32/4041的要求。本项目使用易挥发物质原辅料在非使用状态下密封储存于</w:t>
                  </w:r>
                  <w:r>
                    <w:rPr>
                      <w:rFonts w:hint="eastAsia" w:ascii="Times New Roman" w:hAnsi="Times New Roman" w:eastAsia="宋体" w:cs="Times New Roman"/>
                      <w:color w:val="auto"/>
                      <w:kern w:val="2"/>
                      <w:sz w:val="21"/>
                      <w:szCs w:val="24"/>
                      <w:highlight w:val="none"/>
                      <w:lang w:val="en-US" w:eastAsia="zh-CN" w:bidi="ar-SA"/>
                    </w:rPr>
                    <w:t>试剂耗材仓库</w:t>
                  </w:r>
                  <w:r>
                    <w:rPr>
                      <w:rFonts w:hint="default" w:ascii="Times New Roman" w:hAnsi="Times New Roman" w:eastAsia="宋体" w:cs="Times New Roman"/>
                      <w:color w:val="auto"/>
                      <w:kern w:val="2"/>
                      <w:sz w:val="21"/>
                      <w:szCs w:val="24"/>
                      <w:highlight w:val="none"/>
                      <w:lang w:val="en-US" w:eastAsia="zh-CN" w:bidi="ar-SA"/>
                    </w:rPr>
                    <w:t>，无组织排放量极小。</w:t>
                  </w:r>
                </w:p>
              </w:tc>
              <w:tc>
                <w:tcPr>
                  <w:tcW w:w="490" w:type="pct"/>
                  <w:tcBorders>
                    <w:tl2br w:val="nil"/>
                    <w:tr2bl w:val="nil"/>
                  </w:tcBorders>
                  <w:vAlign w:val="center"/>
                </w:tcPr>
                <w:p w14:paraId="4115E6ED">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相符</w:t>
                  </w:r>
                </w:p>
              </w:tc>
            </w:tr>
            <w:tr w14:paraId="2B83BC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370" w:type="pct"/>
                  <w:tcBorders>
                    <w:tl2br w:val="nil"/>
                    <w:tr2bl w:val="nil"/>
                  </w:tcBorders>
                  <w:vAlign w:val="center"/>
                </w:tcPr>
                <w:p w14:paraId="3467C581">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cs="Times New Roman"/>
                      <w:b/>
                      <w:bCs/>
                      <w:color w:val="auto"/>
                      <w:kern w:val="2"/>
                      <w:sz w:val="21"/>
                      <w:szCs w:val="24"/>
                      <w:highlight w:val="none"/>
                      <w:lang w:val="en-US" w:eastAsia="zh-CN" w:bidi="ar-SA"/>
                    </w:rPr>
                    <w:t>5</w:t>
                  </w:r>
                </w:p>
              </w:tc>
              <w:tc>
                <w:tcPr>
                  <w:tcW w:w="309" w:type="pct"/>
                  <w:vMerge w:val="continue"/>
                  <w:tcBorders>
                    <w:tl2br w:val="nil"/>
                    <w:tr2bl w:val="nil"/>
                  </w:tcBorders>
                  <w:vAlign w:val="center"/>
                </w:tcPr>
                <w:p w14:paraId="7675700F">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p>
              </w:tc>
              <w:tc>
                <w:tcPr>
                  <w:tcW w:w="2180" w:type="pct"/>
                  <w:tcBorders>
                    <w:tl2br w:val="nil"/>
                    <w:tr2bl w:val="nil"/>
                  </w:tcBorders>
                  <w:vAlign w:val="center"/>
                </w:tcPr>
                <w:p w14:paraId="656A214C">
                  <w:pPr>
                    <w:pStyle w:val="3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olor w:val="auto"/>
                      <w:spacing w:val="13"/>
                      <w:sz w:val="21"/>
                    </w:rPr>
                    <w:t>根据易挥发物质的产生和使用情况﹑</w:t>
                  </w:r>
                  <w:r>
                    <w:rPr>
                      <w:rFonts w:hint="default" w:ascii="Times New Roman" w:hAnsi="Times New Roman" w:eastAsia="宋体"/>
                      <w:color w:val="auto"/>
                      <w:spacing w:val="-70"/>
                      <w:sz w:val="21"/>
                    </w:rPr>
                    <w:t xml:space="preserve"> </w:t>
                  </w:r>
                  <w:r>
                    <w:rPr>
                      <w:rFonts w:hint="default" w:ascii="Times New Roman" w:hAnsi="Times New Roman" w:eastAsia="宋体"/>
                      <w:color w:val="auto"/>
                      <w:spacing w:val="13"/>
                      <w:sz w:val="21"/>
                    </w:rPr>
                    <w:t>废气</w:t>
                  </w:r>
                  <w:r>
                    <w:rPr>
                      <w:rFonts w:hint="default" w:ascii="Times New Roman" w:hAnsi="Times New Roman" w:eastAsia="宋体"/>
                      <w:color w:val="auto"/>
                      <w:spacing w:val="12"/>
                      <w:sz w:val="21"/>
                    </w:rPr>
                    <w:t>特征等因素，在条件允许的情况下</w:t>
                  </w:r>
                  <w:r>
                    <w:rPr>
                      <w:rFonts w:hint="default" w:ascii="Times New Roman" w:hAnsi="Times New Roman" w:eastAsia="宋体"/>
                      <w:color w:val="auto"/>
                      <w:spacing w:val="-56"/>
                      <w:sz w:val="21"/>
                    </w:rPr>
                    <w:t xml:space="preserve"> </w:t>
                  </w:r>
                  <w:r>
                    <w:rPr>
                      <w:rFonts w:hint="default" w:ascii="Times New Roman" w:hAnsi="Times New Roman" w:eastAsia="宋体"/>
                      <w:color w:val="auto"/>
                      <w:spacing w:val="12"/>
                      <w:sz w:val="21"/>
                    </w:rPr>
                    <w:t>﹐进行分质</w:t>
                  </w:r>
                  <w:r>
                    <w:rPr>
                      <w:rFonts w:hint="default" w:ascii="Times New Roman" w:hAnsi="Times New Roman" w:eastAsia="宋体"/>
                      <w:color w:val="auto"/>
                      <w:spacing w:val="8"/>
                      <w:sz w:val="21"/>
                    </w:rPr>
                    <w:t>收集处理。同类废气宜集中收集处理。</w:t>
                  </w:r>
                </w:p>
              </w:tc>
              <w:tc>
                <w:tcPr>
                  <w:tcW w:w="1649" w:type="pct"/>
                  <w:vMerge w:val="continue"/>
                  <w:tcBorders>
                    <w:tl2br w:val="nil"/>
                    <w:tr2bl w:val="nil"/>
                  </w:tcBorders>
                  <w:vAlign w:val="center"/>
                </w:tcPr>
                <w:p w14:paraId="1E71CF81">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2"/>
                      <w:sz w:val="21"/>
                      <w:szCs w:val="24"/>
                      <w:highlight w:val="none"/>
                      <w:lang w:val="en-US" w:eastAsia="zh-CN" w:bidi="ar-SA"/>
                    </w:rPr>
                  </w:pPr>
                </w:p>
              </w:tc>
              <w:tc>
                <w:tcPr>
                  <w:tcW w:w="490" w:type="pct"/>
                  <w:tcBorders>
                    <w:tl2br w:val="nil"/>
                    <w:tr2bl w:val="nil"/>
                  </w:tcBorders>
                  <w:vAlign w:val="center"/>
                </w:tcPr>
                <w:p w14:paraId="652067B8">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相符</w:t>
                  </w:r>
                </w:p>
              </w:tc>
            </w:tr>
            <w:tr w14:paraId="4262EB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0" w:hRule="atLeast"/>
                <w:jc w:val="center"/>
              </w:trPr>
              <w:tc>
                <w:tcPr>
                  <w:tcW w:w="370" w:type="pct"/>
                  <w:tcBorders>
                    <w:tl2br w:val="nil"/>
                    <w:tr2bl w:val="nil"/>
                  </w:tcBorders>
                  <w:vAlign w:val="center"/>
                </w:tcPr>
                <w:p w14:paraId="0CC39F51">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cs="Times New Roman"/>
                      <w:b/>
                      <w:bCs/>
                      <w:color w:val="auto"/>
                      <w:kern w:val="2"/>
                      <w:sz w:val="21"/>
                      <w:szCs w:val="24"/>
                      <w:highlight w:val="none"/>
                      <w:lang w:val="en-US" w:eastAsia="zh-CN" w:bidi="ar-SA"/>
                    </w:rPr>
                    <w:t>6</w:t>
                  </w:r>
                </w:p>
              </w:tc>
              <w:tc>
                <w:tcPr>
                  <w:tcW w:w="309" w:type="pct"/>
                  <w:vMerge w:val="continue"/>
                  <w:tcBorders>
                    <w:tl2br w:val="nil"/>
                    <w:tr2bl w:val="nil"/>
                  </w:tcBorders>
                  <w:vAlign w:val="center"/>
                </w:tcPr>
                <w:p w14:paraId="5186A0BF">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p>
              </w:tc>
              <w:tc>
                <w:tcPr>
                  <w:tcW w:w="2180" w:type="pct"/>
                  <w:tcBorders>
                    <w:tl2br w:val="nil"/>
                    <w:tr2bl w:val="nil"/>
                  </w:tcBorders>
                  <w:vAlign w:val="center"/>
                </w:tcPr>
                <w:p w14:paraId="5115695F">
                  <w:pPr>
                    <w:pStyle w:val="3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olor w:val="auto"/>
                      <w:spacing w:val="14"/>
                      <w:sz w:val="21"/>
                    </w:rPr>
                    <w:t>有废气产生的实验设备和操作工位宜设置在排风柜中，进行实验操作时排风柜应正常开</w:t>
                  </w:r>
                  <w:r>
                    <w:rPr>
                      <w:rFonts w:hint="default" w:ascii="Times New Roman" w:hAnsi="Times New Roman" w:eastAsia="宋体"/>
                      <w:color w:val="auto"/>
                      <w:spacing w:val="3"/>
                      <w:sz w:val="21"/>
                    </w:rPr>
                    <w:t>启，操作口平均面风速不宜低于</w:t>
                  </w:r>
                  <w:r>
                    <w:rPr>
                      <w:rFonts w:hint="default" w:ascii="Times New Roman" w:hAnsi="Times New Roman" w:eastAsia="宋体"/>
                      <w:color w:val="auto"/>
                      <w:spacing w:val="-23"/>
                      <w:sz w:val="21"/>
                    </w:rPr>
                    <w:t xml:space="preserve"> </w:t>
                  </w:r>
                  <w:r>
                    <w:rPr>
                      <w:rFonts w:hint="default" w:ascii="Times New Roman" w:hAnsi="Times New Roman" w:eastAsia="宋体" w:cs="Times New Roman"/>
                      <w:color w:val="auto"/>
                      <w:spacing w:val="3"/>
                      <w:sz w:val="21"/>
                    </w:rPr>
                    <w:t>0.4m/s</w:t>
                  </w:r>
                  <w:r>
                    <w:rPr>
                      <w:rFonts w:hint="default" w:ascii="Times New Roman" w:hAnsi="Times New Roman" w:eastAsia="宋体"/>
                      <w:color w:val="auto"/>
                      <w:spacing w:val="3"/>
                      <w:sz w:val="21"/>
                    </w:rPr>
                    <w:t>。排风柜</w:t>
                  </w:r>
                  <w:r>
                    <w:rPr>
                      <w:rFonts w:hint="default" w:ascii="Times New Roman" w:hAnsi="Times New Roman" w:eastAsia="宋体"/>
                      <w:color w:val="auto"/>
                      <w:spacing w:val="7"/>
                      <w:sz w:val="21"/>
                    </w:rPr>
                    <w:t>应符合</w:t>
                  </w:r>
                  <w:r>
                    <w:rPr>
                      <w:rFonts w:hint="default" w:ascii="Times New Roman" w:hAnsi="Times New Roman" w:eastAsia="宋体"/>
                      <w:color w:val="auto"/>
                      <w:spacing w:val="-34"/>
                      <w:sz w:val="21"/>
                    </w:rPr>
                    <w:t xml:space="preserve"> </w:t>
                  </w:r>
                  <w:r>
                    <w:rPr>
                      <w:rFonts w:hint="default" w:ascii="Times New Roman" w:hAnsi="Times New Roman" w:eastAsia="宋体" w:cs="Times New Roman"/>
                      <w:color w:val="auto"/>
                      <w:sz w:val="21"/>
                    </w:rPr>
                    <w:t>JB</w:t>
                  </w:r>
                  <w:r>
                    <w:rPr>
                      <w:rFonts w:hint="default" w:ascii="Times New Roman" w:hAnsi="Times New Roman" w:eastAsia="宋体" w:cs="Times New Roman"/>
                      <w:color w:val="auto"/>
                      <w:spacing w:val="7"/>
                      <w:sz w:val="21"/>
                    </w:rPr>
                    <w:t>/T6412</w:t>
                  </w:r>
                  <w:r>
                    <w:rPr>
                      <w:rFonts w:hint="default" w:ascii="Times New Roman" w:hAnsi="Times New Roman" w:eastAsia="宋体"/>
                      <w:color w:val="auto"/>
                      <w:spacing w:val="7"/>
                      <w:sz w:val="21"/>
                    </w:rPr>
                    <w:t>的要求，变风量排风柜应符合</w:t>
                  </w:r>
                  <w:r>
                    <w:rPr>
                      <w:rFonts w:hint="default" w:ascii="Times New Roman" w:hAnsi="Times New Roman" w:eastAsia="宋体" w:cs="Times New Roman"/>
                      <w:color w:val="auto"/>
                      <w:sz w:val="21"/>
                    </w:rPr>
                    <w:t>JG</w:t>
                  </w:r>
                  <w:r>
                    <w:rPr>
                      <w:rFonts w:hint="default" w:ascii="Times New Roman" w:hAnsi="Times New Roman" w:eastAsia="宋体" w:cs="Times New Roman"/>
                      <w:color w:val="auto"/>
                      <w:spacing w:val="5"/>
                      <w:sz w:val="21"/>
                    </w:rPr>
                    <w:t>/T222</w:t>
                  </w:r>
                  <w:r>
                    <w:rPr>
                      <w:rFonts w:hint="default" w:ascii="Times New Roman" w:hAnsi="Times New Roman" w:eastAsia="宋体"/>
                      <w:color w:val="auto"/>
                      <w:spacing w:val="5"/>
                      <w:sz w:val="21"/>
                    </w:rPr>
                    <w:t>的要求，可在排风柜出口选配活性炭过</w:t>
                  </w:r>
                  <w:r>
                    <w:rPr>
                      <w:rFonts w:hint="default" w:ascii="Times New Roman" w:hAnsi="Times New Roman" w:eastAsia="宋体"/>
                      <w:color w:val="auto"/>
                      <w:spacing w:val="4"/>
                      <w:sz w:val="21"/>
                    </w:rPr>
                    <w:t>滤器。</w:t>
                  </w:r>
                </w:p>
              </w:tc>
              <w:tc>
                <w:tcPr>
                  <w:tcW w:w="1649" w:type="pct"/>
                  <w:vMerge w:val="continue"/>
                  <w:tcBorders>
                    <w:tl2br w:val="nil"/>
                    <w:tr2bl w:val="nil"/>
                  </w:tcBorders>
                  <w:vAlign w:val="center"/>
                </w:tcPr>
                <w:p w14:paraId="41E5275D">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2"/>
                      <w:sz w:val="21"/>
                      <w:szCs w:val="24"/>
                      <w:highlight w:val="none"/>
                      <w:lang w:val="en-US" w:eastAsia="zh-CN" w:bidi="ar-SA"/>
                    </w:rPr>
                  </w:pPr>
                </w:p>
              </w:tc>
              <w:tc>
                <w:tcPr>
                  <w:tcW w:w="490" w:type="pct"/>
                  <w:tcBorders>
                    <w:tl2br w:val="nil"/>
                    <w:tr2bl w:val="nil"/>
                  </w:tcBorders>
                  <w:vAlign w:val="center"/>
                </w:tcPr>
                <w:p w14:paraId="7116DE19">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相符</w:t>
                  </w:r>
                </w:p>
              </w:tc>
            </w:tr>
            <w:tr w14:paraId="423A23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370" w:type="pct"/>
                  <w:tcBorders>
                    <w:tl2br w:val="nil"/>
                    <w:tr2bl w:val="nil"/>
                  </w:tcBorders>
                  <w:vAlign w:val="center"/>
                </w:tcPr>
                <w:p w14:paraId="6106D09F">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cs="Times New Roman"/>
                      <w:b/>
                      <w:bCs/>
                      <w:color w:val="auto"/>
                      <w:kern w:val="2"/>
                      <w:sz w:val="21"/>
                      <w:szCs w:val="24"/>
                      <w:highlight w:val="none"/>
                      <w:lang w:val="en-US" w:eastAsia="zh-CN" w:bidi="ar-SA"/>
                    </w:rPr>
                    <w:t>7</w:t>
                  </w:r>
                </w:p>
              </w:tc>
              <w:tc>
                <w:tcPr>
                  <w:tcW w:w="309" w:type="pct"/>
                  <w:vMerge w:val="continue"/>
                  <w:tcBorders>
                    <w:tl2br w:val="nil"/>
                    <w:tr2bl w:val="nil"/>
                  </w:tcBorders>
                  <w:vAlign w:val="center"/>
                </w:tcPr>
                <w:p w14:paraId="014F5D27">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p>
              </w:tc>
              <w:tc>
                <w:tcPr>
                  <w:tcW w:w="2180" w:type="pct"/>
                  <w:tcBorders>
                    <w:tl2br w:val="nil"/>
                    <w:tr2bl w:val="nil"/>
                  </w:tcBorders>
                  <w:vAlign w:val="center"/>
                </w:tcPr>
                <w:p w14:paraId="0124C0CD">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olor w:val="auto"/>
                      <w:spacing w:val="27"/>
                      <w:sz w:val="21"/>
                    </w:rPr>
                    <w:t>产生和使用易挥发物质的仪器或操作工</w:t>
                  </w:r>
                  <w:r>
                    <w:rPr>
                      <w:rFonts w:hint="default" w:ascii="Times New Roman" w:hAnsi="Times New Roman" w:eastAsia="宋体"/>
                      <w:color w:val="auto"/>
                      <w:spacing w:val="12"/>
                      <w:sz w:val="21"/>
                    </w:rPr>
                    <w:t>位，</w:t>
                  </w:r>
                  <w:r>
                    <w:rPr>
                      <w:rFonts w:hint="default" w:ascii="Times New Roman" w:hAnsi="Times New Roman" w:eastAsia="宋体"/>
                      <w:color w:val="auto"/>
                      <w:spacing w:val="-55"/>
                      <w:sz w:val="21"/>
                    </w:rPr>
                    <w:t xml:space="preserve"> </w:t>
                  </w:r>
                  <w:r>
                    <w:rPr>
                      <w:rFonts w:hint="default" w:ascii="Times New Roman" w:hAnsi="Times New Roman" w:eastAsia="宋体"/>
                      <w:color w:val="auto"/>
                      <w:spacing w:val="12"/>
                      <w:sz w:val="21"/>
                    </w:rPr>
                    <w:t>以及其他产生废气的实验室设备，未在排</w:t>
                  </w:r>
                  <w:r>
                    <w:rPr>
                      <w:rFonts w:hint="default" w:ascii="Times New Roman" w:hAnsi="Times New Roman" w:eastAsia="宋体"/>
                      <w:color w:val="auto"/>
                      <w:spacing w:val="6"/>
                      <w:sz w:val="21"/>
                    </w:rPr>
                    <w:t>风柜中进行，应在其上方安装废气收集排风罩，</w:t>
                  </w:r>
                  <w:r>
                    <w:rPr>
                      <w:rFonts w:hint="default" w:ascii="Times New Roman" w:hAnsi="Times New Roman" w:eastAsia="宋体"/>
                      <w:color w:val="auto"/>
                      <w:spacing w:val="8"/>
                      <w:sz w:val="21"/>
                    </w:rPr>
                    <w:t>排风罩设置应符合</w:t>
                  </w:r>
                  <w:r>
                    <w:rPr>
                      <w:rFonts w:hint="default" w:ascii="Times New Roman" w:hAnsi="Times New Roman" w:eastAsia="宋体"/>
                      <w:color w:val="auto"/>
                      <w:spacing w:val="-26"/>
                      <w:sz w:val="21"/>
                    </w:rPr>
                    <w:t xml:space="preserve"> </w:t>
                  </w:r>
                  <w:r>
                    <w:rPr>
                      <w:rFonts w:hint="default" w:ascii="Times New Roman" w:hAnsi="Times New Roman" w:eastAsia="宋体" w:cs="Times New Roman"/>
                      <w:color w:val="auto"/>
                      <w:sz w:val="21"/>
                    </w:rPr>
                    <w:t>GB</w:t>
                  </w:r>
                  <w:r>
                    <w:rPr>
                      <w:rFonts w:hint="default" w:ascii="Times New Roman" w:hAnsi="Times New Roman" w:eastAsia="宋体" w:cs="Times New Roman"/>
                      <w:color w:val="auto"/>
                      <w:spacing w:val="8"/>
                      <w:sz w:val="21"/>
                    </w:rPr>
                    <w:t>/T16758</w:t>
                  </w:r>
                  <w:r>
                    <w:rPr>
                      <w:rFonts w:hint="default" w:ascii="Times New Roman" w:hAnsi="Times New Roman" w:eastAsia="宋体"/>
                      <w:color w:val="auto"/>
                      <w:spacing w:val="8"/>
                      <w:sz w:val="21"/>
                    </w:rPr>
                    <w:t>的规定。距排风</w:t>
                  </w:r>
                  <w:r>
                    <w:rPr>
                      <w:rFonts w:hint="default" w:ascii="Times New Roman" w:hAnsi="Times New Roman" w:eastAsia="宋体"/>
                      <w:color w:val="auto"/>
                      <w:spacing w:val="14"/>
                      <w:sz w:val="21"/>
                    </w:rPr>
                    <w:t>罩开口面最远处废气无组织排放位置控制风速</w:t>
                  </w:r>
                  <w:r>
                    <w:rPr>
                      <w:rFonts w:hint="default" w:ascii="Times New Roman" w:hAnsi="Times New Roman" w:eastAsia="宋体"/>
                      <w:color w:val="auto"/>
                      <w:spacing w:val="2"/>
                      <w:sz w:val="21"/>
                    </w:rPr>
                    <w:t>不</w:t>
                  </w:r>
                  <w:r>
                    <w:rPr>
                      <w:rFonts w:hint="default" w:ascii="Times New Roman" w:hAnsi="Times New Roman" w:eastAsia="宋体"/>
                      <w:color w:val="auto"/>
                      <w:spacing w:val="-28"/>
                      <w:sz w:val="21"/>
                    </w:rPr>
                    <w:t xml:space="preserve"> </w:t>
                  </w:r>
                  <w:r>
                    <w:rPr>
                      <w:rFonts w:hint="default" w:ascii="Times New Roman" w:hAnsi="Times New Roman" w:eastAsia="宋体"/>
                      <w:color w:val="auto"/>
                      <w:spacing w:val="2"/>
                      <w:sz w:val="21"/>
                    </w:rPr>
                    <w:t>应</w:t>
                  </w:r>
                  <w:r>
                    <w:rPr>
                      <w:rFonts w:hint="default" w:ascii="Times New Roman" w:hAnsi="Times New Roman" w:eastAsia="宋体"/>
                      <w:color w:val="auto"/>
                      <w:spacing w:val="-38"/>
                      <w:sz w:val="21"/>
                    </w:rPr>
                    <w:t xml:space="preserve"> </w:t>
                  </w:r>
                  <w:r>
                    <w:rPr>
                      <w:rFonts w:hint="default" w:ascii="Times New Roman" w:hAnsi="Times New Roman" w:eastAsia="宋体"/>
                      <w:color w:val="auto"/>
                      <w:spacing w:val="2"/>
                      <w:sz w:val="21"/>
                    </w:rPr>
                    <w:t>低</w:t>
                  </w:r>
                  <w:r>
                    <w:rPr>
                      <w:rFonts w:hint="default" w:ascii="Times New Roman" w:hAnsi="Times New Roman" w:eastAsia="宋体"/>
                      <w:color w:val="auto"/>
                      <w:spacing w:val="-36"/>
                      <w:sz w:val="21"/>
                    </w:rPr>
                    <w:t xml:space="preserve"> </w:t>
                  </w:r>
                  <w:r>
                    <w:rPr>
                      <w:rFonts w:hint="default" w:ascii="Times New Roman" w:hAnsi="Times New Roman" w:eastAsia="宋体"/>
                      <w:color w:val="auto"/>
                      <w:spacing w:val="2"/>
                      <w:sz w:val="21"/>
                    </w:rPr>
                    <w:t xml:space="preserve">于 </w:t>
                  </w:r>
                  <w:r>
                    <w:rPr>
                      <w:rFonts w:hint="default" w:ascii="Times New Roman" w:hAnsi="Times New Roman" w:eastAsia="宋体" w:cs="Times New Roman"/>
                      <w:color w:val="auto"/>
                      <w:spacing w:val="2"/>
                      <w:sz w:val="21"/>
                    </w:rPr>
                    <w:t>0.3m/s</w:t>
                  </w:r>
                  <w:r>
                    <w:rPr>
                      <w:rFonts w:hint="default" w:ascii="Times New Roman" w:hAnsi="Times New Roman" w:eastAsia="宋体"/>
                      <w:color w:val="auto"/>
                      <w:spacing w:val="2"/>
                      <w:sz w:val="21"/>
                    </w:rPr>
                    <w:t>，</w:t>
                  </w:r>
                  <w:r>
                    <w:rPr>
                      <w:rFonts w:hint="default" w:ascii="Times New Roman" w:hAnsi="Times New Roman" w:eastAsia="宋体"/>
                      <w:color w:val="auto"/>
                      <w:spacing w:val="-34"/>
                      <w:sz w:val="21"/>
                    </w:rPr>
                    <w:t xml:space="preserve"> </w:t>
                  </w:r>
                  <w:r>
                    <w:rPr>
                      <w:rFonts w:hint="default" w:ascii="Times New Roman" w:hAnsi="Times New Roman" w:eastAsia="宋体"/>
                      <w:color w:val="auto"/>
                      <w:spacing w:val="2"/>
                      <w:sz w:val="21"/>
                    </w:rPr>
                    <w:t>控</w:t>
                  </w:r>
                  <w:r>
                    <w:rPr>
                      <w:rFonts w:hint="default" w:ascii="Times New Roman" w:hAnsi="Times New Roman" w:eastAsia="宋体"/>
                      <w:color w:val="auto"/>
                      <w:spacing w:val="-36"/>
                      <w:sz w:val="21"/>
                    </w:rPr>
                    <w:t xml:space="preserve"> </w:t>
                  </w:r>
                  <w:r>
                    <w:rPr>
                      <w:rFonts w:hint="default" w:ascii="Times New Roman" w:hAnsi="Times New Roman" w:eastAsia="宋体"/>
                      <w:color w:val="auto"/>
                      <w:spacing w:val="2"/>
                      <w:sz w:val="21"/>
                    </w:rPr>
                    <w:t>制风</w:t>
                  </w:r>
                  <w:r>
                    <w:rPr>
                      <w:rFonts w:hint="default" w:ascii="Times New Roman" w:hAnsi="Times New Roman" w:eastAsia="宋体"/>
                      <w:color w:val="auto"/>
                      <w:spacing w:val="-37"/>
                      <w:sz w:val="21"/>
                    </w:rPr>
                    <w:t xml:space="preserve"> </w:t>
                  </w:r>
                  <w:r>
                    <w:rPr>
                      <w:rFonts w:hint="default" w:ascii="Times New Roman" w:hAnsi="Times New Roman" w:eastAsia="宋体"/>
                      <w:color w:val="auto"/>
                      <w:spacing w:val="2"/>
                      <w:sz w:val="21"/>
                    </w:rPr>
                    <w:t>速</w:t>
                  </w:r>
                  <w:r>
                    <w:rPr>
                      <w:rFonts w:hint="default" w:ascii="Times New Roman" w:hAnsi="Times New Roman" w:eastAsia="宋体"/>
                      <w:color w:val="auto"/>
                      <w:spacing w:val="-22"/>
                      <w:sz w:val="21"/>
                    </w:rPr>
                    <w:t xml:space="preserve"> </w:t>
                  </w:r>
                  <w:r>
                    <w:rPr>
                      <w:rFonts w:hint="default" w:ascii="Times New Roman" w:hAnsi="Times New Roman" w:eastAsia="宋体"/>
                      <w:color w:val="auto"/>
                      <w:spacing w:val="2"/>
                      <w:sz w:val="21"/>
                    </w:rPr>
                    <w:t>的</w:t>
                  </w:r>
                  <w:r>
                    <w:rPr>
                      <w:rFonts w:hint="default" w:ascii="Times New Roman" w:hAnsi="Times New Roman" w:eastAsia="宋体"/>
                      <w:color w:val="auto"/>
                      <w:spacing w:val="-39"/>
                      <w:sz w:val="21"/>
                    </w:rPr>
                    <w:t xml:space="preserve"> </w:t>
                  </w:r>
                  <w:r>
                    <w:rPr>
                      <w:rFonts w:hint="default" w:ascii="Times New Roman" w:hAnsi="Times New Roman" w:eastAsia="宋体"/>
                      <w:color w:val="auto"/>
                      <w:spacing w:val="2"/>
                      <w:sz w:val="21"/>
                    </w:rPr>
                    <w:t>测</w:t>
                  </w:r>
                  <w:r>
                    <w:rPr>
                      <w:rFonts w:hint="default" w:ascii="Times New Roman" w:hAnsi="Times New Roman" w:eastAsia="宋体"/>
                      <w:color w:val="auto"/>
                      <w:spacing w:val="-37"/>
                      <w:sz w:val="21"/>
                    </w:rPr>
                    <w:t xml:space="preserve"> </w:t>
                  </w:r>
                  <w:r>
                    <w:rPr>
                      <w:rFonts w:hint="default" w:ascii="Times New Roman" w:hAnsi="Times New Roman" w:eastAsia="宋体"/>
                      <w:color w:val="auto"/>
                      <w:spacing w:val="2"/>
                      <w:sz w:val="21"/>
                    </w:rPr>
                    <w:t>量</w:t>
                  </w:r>
                  <w:r>
                    <w:rPr>
                      <w:rFonts w:hint="default" w:ascii="Times New Roman" w:hAnsi="Times New Roman" w:eastAsia="宋体"/>
                      <w:color w:val="auto"/>
                      <w:spacing w:val="-37"/>
                      <w:sz w:val="21"/>
                    </w:rPr>
                    <w:t xml:space="preserve"> </w:t>
                  </w:r>
                  <w:r>
                    <w:rPr>
                      <w:rFonts w:hint="default" w:ascii="Times New Roman" w:hAnsi="Times New Roman" w:eastAsia="宋体"/>
                      <w:color w:val="auto"/>
                      <w:spacing w:val="2"/>
                      <w:sz w:val="21"/>
                    </w:rPr>
                    <w:t>按</w:t>
                  </w:r>
                  <w:r>
                    <w:rPr>
                      <w:rFonts w:hint="default" w:ascii="Times New Roman" w:hAnsi="Times New Roman" w:eastAsia="宋体"/>
                      <w:color w:val="auto"/>
                      <w:spacing w:val="-33"/>
                      <w:sz w:val="21"/>
                    </w:rPr>
                    <w:t xml:space="preserve"> </w:t>
                  </w:r>
                  <w:r>
                    <w:rPr>
                      <w:rFonts w:hint="default" w:ascii="Times New Roman" w:hAnsi="Times New Roman" w:eastAsia="宋体"/>
                      <w:color w:val="auto"/>
                      <w:spacing w:val="2"/>
                      <w:sz w:val="21"/>
                    </w:rPr>
                    <w:t>照</w:t>
                  </w:r>
                  <w:r>
                    <w:rPr>
                      <w:rFonts w:hint="default" w:ascii="Times New Roman" w:hAnsi="Times New Roman" w:eastAsia="宋体"/>
                      <w:color w:val="auto"/>
                      <w:sz w:val="21"/>
                    </w:rPr>
                    <w:t xml:space="preserve"> </w:t>
                  </w:r>
                  <w:r>
                    <w:rPr>
                      <w:rFonts w:hint="default" w:ascii="Times New Roman" w:hAnsi="Times New Roman" w:eastAsia="宋体" w:cs="Times New Roman"/>
                      <w:color w:val="auto"/>
                      <w:sz w:val="21"/>
                    </w:rPr>
                    <w:t>GB</w:t>
                  </w:r>
                  <w:r>
                    <w:rPr>
                      <w:rFonts w:hint="default" w:ascii="Times New Roman" w:hAnsi="Times New Roman" w:eastAsia="宋体" w:cs="Times New Roman"/>
                      <w:color w:val="auto"/>
                      <w:spacing w:val="5"/>
                      <w:sz w:val="21"/>
                    </w:rPr>
                    <w:t>/T16758</w:t>
                  </w:r>
                  <w:r>
                    <w:rPr>
                      <w:rFonts w:hint="default" w:ascii="Times New Roman" w:hAnsi="Times New Roman" w:eastAsia="宋体" w:cs="Times New Roman"/>
                      <w:color w:val="auto"/>
                      <w:spacing w:val="-26"/>
                      <w:sz w:val="21"/>
                    </w:rPr>
                    <w:t xml:space="preserve"> </w:t>
                  </w:r>
                  <w:r>
                    <w:rPr>
                      <w:rFonts w:hint="default" w:ascii="Times New Roman" w:hAnsi="Times New Roman" w:eastAsia="宋体"/>
                      <w:color w:val="auto"/>
                      <w:spacing w:val="5"/>
                      <w:sz w:val="21"/>
                    </w:rPr>
                    <w:t>、</w:t>
                  </w:r>
                  <w:r>
                    <w:rPr>
                      <w:rFonts w:hint="default" w:ascii="Times New Roman" w:hAnsi="Times New Roman" w:eastAsia="宋体" w:cs="Times New Roman"/>
                      <w:color w:val="auto"/>
                      <w:sz w:val="21"/>
                    </w:rPr>
                    <w:t>WS</w:t>
                  </w:r>
                  <w:r>
                    <w:rPr>
                      <w:rFonts w:hint="default" w:ascii="Times New Roman" w:hAnsi="Times New Roman" w:eastAsia="宋体" w:cs="Times New Roman"/>
                      <w:color w:val="auto"/>
                      <w:spacing w:val="5"/>
                      <w:sz w:val="21"/>
                    </w:rPr>
                    <w:t>/T757</w:t>
                  </w:r>
                  <w:r>
                    <w:rPr>
                      <w:rFonts w:hint="default" w:ascii="Times New Roman" w:hAnsi="Times New Roman" w:eastAsia="宋体"/>
                      <w:color w:val="auto"/>
                      <w:spacing w:val="5"/>
                      <w:sz w:val="21"/>
                    </w:rPr>
                    <w:t>执行。</w:t>
                  </w:r>
                </w:p>
              </w:tc>
              <w:tc>
                <w:tcPr>
                  <w:tcW w:w="1649" w:type="pct"/>
                  <w:vMerge w:val="continue"/>
                  <w:tcBorders>
                    <w:tl2br w:val="nil"/>
                    <w:tr2bl w:val="nil"/>
                  </w:tcBorders>
                  <w:vAlign w:val="center"/>
                </w:tcPr>
                <w:p w14:paraId="69F67F4B">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2"/>
                      <w:sz w:val="21"/>
                      <w:szCs w:val="24"/>
                      <w:highlight w:val="none"/>
                      <w:lang w:val="en-US" w:eastAsia="zh-CN" w:bidi="ar-SA"/>
                    </w:rPr>
                  </w:pPr>
                </w:p>
              </w:tc>
              <w:tc>
                <w:tcPr>
                  <w:tcW w:w="490" w:type="pct"/>
                  <w:tcBorders>
                    <w:tl2br w:val="nil"/>
                    <w:tr2bl w:val="nil"/>
                  </w:tcBorders>
                  <w:vAlign w:val="center"/>
                </w:tcPr>
                <w:p w14:paraId="07653B5B">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相符</w:t>
                  </w:r>
                </w:p>
              </w:tc>
            </w:tr>
            <w:tr w14:paraId="737946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70" w:type="pct"/>
                  <w:tcBorders>
                    <w:tl2br w:val="nil"/>
                    <w:tr2bl w:val="nil"/>
                  </w:tcBorders>
                  <w:vAlign w:val="center"/>
                </w:tcPr>
                <w:p w14:paraId="5882229F">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cs="Times New Roman"/>
                      <w:b/>
                      <w:bCs/>
                      <w:color w:val="auto"/>
                      <w:kern w:val="2"/>
                      <w:sz w:val="21"/>
                      <w:szCs w:val="24"/>
                      <w:highlight w:val="none"/>
                      <w:lang w:val="en-US" w:eastAsia="zh-CN" w:bidi="ar-SA"/>
                    </w:rPr>
                    <w:t>8</w:t>
                  </w:r>
                </w:p>
              </w:tc>
              <w:tc>
                <w:tcPr>
                  <w:tcW w:w="309" w:type="pct"/>
                  <w:vMerge w:val="continue"/>
                  <w:tcBorders>
                    <w:tl2br w:val="nil"/>
                    <w:tr2bl w:val="nil"/>
                  </w:tcBorders>
                  <w:vAlign w:val="center"/>
                </w:tcPr>
                <w:p w14:paraId="130BF961">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p>
              </w:tc>
              <w:tc>
                <w:tcPr>
                  <w:tcW w:w="2180" w:type="pct"/>
                  <w:tcBorders>
                    <w:tl2br w:val="nil"/>
                    <w:tr2bl w:val="nil"/>
                  </w:tcBorders>
                  <w:vAlign w:val="center"/>
                </w:tcPr>
                <w:p w14:paraId="53BB0EA1">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olor w:val="auto"/>
                      <w:spacing w:val="14"/>
                      <w:sz w:val="21"/>
                    </w:rPr>
                    <w:t>含易挥发物质的试剂库应设置废气收集装</w:t>
                  </w:r>
                  <w:r>
                    <w:rPr>
                      <w:rFonts w:hint="default" w:ascii="Times New Roman" w:hAnsi="Times New Roman" w:eastAsia="宋体"/>
                      <w:color w:val="auto"/>
                      <w:spacing w:val="5"/>
                      <w:sz w:val="21"/>
                    </w:rPr>
                    <w:t>置，换气次数不应低于</w:t>
                  </w:r>
                  <w:r>
                    <w:rPr>
                      <w:rFonts w:hint="default" w:ascii="Times New Roman" w:hAnsi="Times New Roman" w:eastAsia="宋体"/>
                      <w:color w:val="auto"/>
                      <w:spacing w:val="-24"/>
                      <w:sz w:val="21"/>
                    </w:rPr>
                    <w:t xml:space="preserve"> </w:t>
                  </w:r>
                  <w:r>
                    <w:rPr>
                      <w:rFonts w:hint="default" w:ascii="Times New Roman" w:hAnsi="Times New Roman" w:eastAsia="宋体" w:cs="Times New Roman"/>
                      <w:color w:val="auto"/>
                      <w:spacing w:val="5"/>
                      <w:sz w:val="21"/>
                    </w:rPr>
                    <w:t>6</w:t>
                  </w:r>
                  <w:r>
                    <w:rPr>
                      <w:rFonts w:hint="default" w:ascii="Times New Roman" w:hAnsi="Times New Roman" w:eastAsia="宋体"/>
                      <w:color w:val="auto"/>
                      <w:spacing w:val="5"/>
                      <w:sz w:val="21"/>
                    </w:rPr>
                    <w:t>次</w:t>
                  </w:r>
                  <w:r>
                    <w:rPr>
                      <w:rFonts w:hint="default" w:ascii="Times New Roman" w:hAnsi="Times New Roman" w:eastAsia="宋体" w:cs="Times New Roman"/>
                      <w:color w:val="auto"/>
                      <w:spacing w:val="5"/>
                      <w:sz w:val="21"/>
                    </w:rPr>
                    <w:t>/h</w:t>
                  </w:r>
                  <w:r>
                    <w:rPr>
                      <w:rFonts w:hint="default" w:ascii="Times New Roman" w:hAnsi="Times New Roman" w:eastAsia="宋体"/>
                      <w:color w:val="auto"/>
                      <w:spacing w:val="5"/>
                      <w:sz w:val="21"/>
                    </w:rPr>
                    <w:t>。</w:t>
                  </w:r>
                </w:p>
              </w:tc>
              <w:tc>
                <w:tcPr>
                  <w:tcW w:w="1649" w:type="pct"/>
                  <w:vMerge w:val="continue"/>
                  <w:tcBorders>
                    <w:tl2br w:val="nil"/>
                    <w:tr2bl w:val="nil"/>
                  </w:tcBorders>
                  <w:vAlign w:val="center"/>
                </w:tcPr>
                <w:p w14:paraId="60F3BC9B">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2"/>
                      <w:sz w:val="21"/>
                      <w:szCs w:val="24"/>
                      <w:highlight w:val="none"/>
                      <w:lang w:val="en-US" w:eastAsia="zh-CN" w:bidi="ar-SA"/>
                    </w:rPr>
                  </w:pPr>
                </w:p>
              </w:tc>
              <w:tc>
                <w:tcPr>
                  <w:tcW w:w="490" w:type="pct"/>
                  <w:tcBorders>
                    <w:tl2br w:val="nil"/>
                    <w:tr2bl w:val="nil"/>
                  </w:tcBorders>
                  <w:vAlign w:val="center"/>
                </w:tcPr>
                <w:p w14:paraId="2B1A07F3">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相符</w:t>
                  </w:r>
                </w:p>
              </w:tc>
            </w:tr>
            <w:tr w14:paraId="6F29FB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0" w:hRule="atLeast"/>
                <w:jc w:val="center"/>
              </w:trPr>
              <w:tc>
                <w:tcPr>
                  <w:tcW w:w="370" w:type="pct"/>
                  <w:tcBorders>
                    <w:tl2br w:val="nil"/>
                    <w:tr2bl w:val="nil"/>
                  </w:tcBorders>
                  <w:vAlign w:val="center"/>
                </w:tcPr>
                <w:p w14:paraId="2327468F">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cs="Times New Roman"/>
                      <w:b/>
                      <w:bCs/>
                      <w:color w:val="auto"/>
                      <w:kern w:val="2"/>
                      <w:sz w:val="21"/>
                      <w:szCs w:val="24"/>
                      <w:highlight w:val="none"/>
                      <w:lang w:val="en-US" w:eastAsia="zh-CN" w:bidi="ar-SA"/>
                    </w:rPr>
                    <w:t>9</w:t>
                  </w:r>
                </w:p>
              </w:tc>
              <w:tc>
                <w:tcPr>
                  <w:tcW w:w="309" w:type="pct"/>
                  <w:vMerge w:val="restart"/>
                  <w:tcBorders>
                    <w:tl2br w:val="nil"/>
                    <w:tr2bl w:val="nil"/>
                  </w:tcBorders>
                  <w:vAlign w:val="center"/>
                </w:tcPr>
                <w:p w14:paraId="0881A20D">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b/>
                      <w:bCs/>
                      <w:color w:val="auto"/>
                      <w:kern w:val="2"/>
                      <w:sz w:val="21"/>
                      <w:szCs w:val="24"/>
                      <w:highlight w:val="none"/>
                      <w:lang w:val="en-US" w:eastAsia="zh-CN" w:bidi="ar-SA"/>
                    </w:rPr>
                    <w:t>废气净化</w:t>
                  </w:r>
                </w:p>
              </w:tc>
              <w:tc>
                <w:tcPr>
                  <w:tcW w:w="2180" w:type="pct"/>
                  <w:tcBorders>
                    <w:tl2br w:val="nil"/>
                    <w:tr2bl w:val="nil"/>
                  </w:tcBorders>
                  <w:vAlign w:val="top"/>
                </w:tcPr>
                <w:p w14:paraId="579DD282">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olor w:val="auto"/>
                      <w:spacing w:val="14"/>
                      <w:sz w:val="21"/>
                    </w:rPr>
                  </w:pPr>
                  <w:r>
                    <w:rPr>
                      <w:rFonts w:hint="default" w:ascii="Times New Roman" w:hAnsi="Times New Roman" w:eastAsia="宋体"/>
                      <w:color w:val="auto"/>
                      <w:spacing w:val="14"/>
                      <w:sz w:val="21"/>
                    </w:rPr>
                    <w:t>实验室单位应根据废气特性选用适用的净化技术，常见的有吸附法、吸收法等。有机废气可采用吸附法进行处理，采用吸附法时，宜</w:t>
                  </w:r>
                  <w:r>
                    <w:rPr>
                      <w:rFonts w:hint="default" w:ascii="Times New Roman" w:hAnsi="Times New Roman" w:eastAsia="宋体"/>
                      <w:color w:val="auto"/>
                      <w:spacing w:val="13"/>
                      <w:sz w:val="21"/>
                    </w:rPr>
                    <w:t>采用原位再生等废吸附剂产生量较低的技术；</w:t>
                  </w:r>
                  <w:r>
                    <w:rPr>
                      <w:rFonts w:hint="default" w:ascii="Times New Roman" w:hAnsi="Times New Roman" w:eastAsia="宋体"/>
                      <w:color w:val="auto"/>
                      <w:spacing w:val="14"/>
                      <w:sz w:val="21"/>
                    </w:rPr>
                    <w:t>无机废气可采用吸收法或吸附法进行处理；混合废气宜采取组合式净化技术。根据技术发展</w:t>
                  </w:r>
                  <w:r>
                    <w:rPr>
                      <w:rFonts w:hint="default" w:ascii="Times New Roman" w:hAnsi="Times New Roman" w:eastAsia="宋体"/>
                      <w:color w:val="auto"/>
                      <w:spacing w:val="5"/>
                      <w:sz w:val="21"/>
                    </w:rPr>
                    <w:t xml:space="preserve"> </w:t>
                  </w:r>
                  <w:r>
                    <w:rPr>
                      <w:rFonts w:hint="default" w:ascii="Times New Roman" w:hAnsi="Times New Roman" w:eastAsia="宋体"/>
                      <w:color w:val="auto"/>
                      <w:spacing w:val="14"/>
                      <w:sz w:val="21"/>
                    </w:rPr>
                    <w:t>鼓励采用更加高效的技术手段，并根据实际情</w:t>
                  </w:r>
                  <w:r>
                    <w:rPr>
                      <w:rFonts w:hint="default" w:ascii="Times New Roman" w:hAnsi="Times New Roman" w:eastAsia="宋体"/>
                      <w:color w:val="auto"/>
                      <w:spacing w:val="3"/>
                      <w:sz w:val="21"/>
                    </w:rPr>
                    <w:t>况采取适当的预处理措施，符合</w:t>
                  </w:r>
                  <w:r>
                    <w:rPr>
                      <w:rFonts w:hint="default" w:ascii="Times New Roman" w:hAnsi="Times New Roman" w:eastAsia="宋体" w:cs="Times New Roman"/>
                      <w:color w:val="auto"/>
                      <w:sz w:val="21"/>
                    </w:rPr>
                    <w:t>HJ</w:t>
                  </w:r>
                  <w:r>
                    <w:rPr>
                      <w:rFonts w:hint="default" w:ascii="Times New Roman" w:hAnsi="Times New Roman" w:eastAsia="宋体" w:cs="Times New Roman"/>
                      <w:color w:val="auto"/>
                      <w:spacing w:val="3"/>
                      <w:sz w:val="21"/>
                    </w:rPr>
                    <w:t>2000</w:t>
                  </w:r>
                  <w:r>
                    <w:rPr>
                      <w:rFonts w:hint="default" w:ascii="Times New Roman" w:hAnsi="Times New Roman" w:eastAsia="宋体"/>
                      <w:color w:val="auto"/>
                      <w:spacing w:val="3"/>
                      <w:sz w:val="21"/>
                    </w:rPr>
                    <w:t>的要求。</w:t>
                  </w:r>
                </w:p>
              </w:tc>
              <w:tc>
                <w:tcPr>
                  <w:tcW w:w="1649" w:type="pct"/>
                  <w:tcBorders>
                    <w:tl2br w:val="nil"/>
                    <w:tr2bl w:val="nil"/>
                  </w:tcBorders>
                  <w:vAlign w:val="center"/>
                </w:tcPr>
                <w:p w14:paraId="49D0E89C">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实验过程中原料挥发产生的VOCs经通风橱收集后</w:t>
                  </w:r>
                  <w:r>
                    <w:rPr>
                      <w:rFonts w:hint="eastAsia" w:cs="Times New Roman"/>
                      <w:color w:val="auto"/>
                      <w:kern w:val="2"/>
                      <w:sz w:val="21"/>
                      <w:szCs w:val="24"/>
                      <w:highlight w:val="none"/>
                      <w:lang w:val="en-US" w:eastAsia="zh-CN" w:bidi="ar-SA"/>
                    </w:rPr>
                    <w:t>和经负压排风系统收集的危废间废气一起，</w:t>
                  </w:r>
                  <w:r>
                    <w:rPr>
                      <w:rFonts w:hint="eastAsia" w:ascii="Times New Roman" w:hAnsi="Times New Roman" w:eastAsia="宋体" w:cs="Times New Roman"/>
                      <w:color w:val="auto"/>
                      <w:kern w:val="2"/>
                      <w:sz w:val="21"/>
                      <w:szCs w:val="24"/>
                      <w:highlight w:val="none"/>
                      <w:lang w:val="en-US" w:eastAsia="zh-CN" w:bidi="ar-SA"/>
                    </w:rPr>
                    <w:t>通过二级活性炭吸附装置进行处理，最后通过一根15m高排气筒</w:t>
                  </w:r>
                  <w:r>
                    <w:rPr>
                      <w:rFonts w:hint="eastAsia" w:cs="Times New Roman"/>
                      <w:color w:val="auto"/>
                      <w:kern w:val="2"/>
                      <w:sz w:val="21"/>
                      <w:szCs w:val="24"/>
                      <w:highlight w:val="none"/>
                      <w:lang w:val="en-US" w:eastAsia="zh-CN" w:bidi="ar-SA"/>
                    </w:rPr>
                    <w:t>FQ01</w:t>
                  </w:r>
                  <w:r>
                    <w:rPr>
                      <w:rFonts w:hint="eastAsia" w:ascii="Times New Roman" w:hAnsi="Times New Roman" w:eastAsia="宋体" w:cs="Times New Roman"/>
                      <w:color w:val="auto"/>
                      <w:kern w:val="2"/>
                      <w:sz w:val="21"/>
                      <w:szCs w:val="24"/>
                      <w:highlight w:val="none"/>
                      <w:lang w:val="en-US" w:eastAsia="zh-CN" w:bidi="ar-SA"/>
                    </w:rPr>
                    <w:t>排空</w:t>
                  </w:r>
                  <w:r>
                    <w:rPr>
                      <w:rFonts w:hint="eastAsia" w:cs="Times New Roman"/>
                      <w:color w:val="auto"/>
                      <w:kern w:val="2"/>
                      <w:sz w:val="21"/>
                      <w:szCs w:val="24"/>
                      <w:highlight w:val="none"/>
                      <w:lang w:val="en-US" w:eastAsia="zh-CN" w:bidi="ar-SA"/>
                    </w:rPr>
                    <w:t>。</w:t>
                  </w:r>
                </w:p>
              </w:tc>
              <w:tc>
                <w:tcPr>
                  <w:tcW w:w="909" w:type="dxa"/>
                  <w:tcBorders>
                    <w:tl2br w:val="nil"/>
                    <w:tr2bl w:val="nil"/>
                  </w:tcBorders>
                  <w:vAlign w:val="center"/>
                </w:tcPr>
                <w:p w14:paraId="08B930CF">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相符</w:t>
                  </w:r>
                </w:p>
              </w:tc>
            </w:tr>
            <w:tr w14:paraId="4E38A4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370" w:type="pct"/>
                  <w:tcBorders>
                    <w:tl2br w:val="nil"/>
                    <w:tr2bl w:val="nil"/>
                  </w:tcBorders>
                  <w:vAlign w:val="center"/>
                </w:tcPr>
                <w:p w14:paraId="1C9AA6A1">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cs="Times New Roman"/>
                      <w:b/>
                      <w:bCs/>
                      <w:color w:val="auto"/>
                      <w:kern w:val="2"/>
                      <w:sz w:val="21"/>
                      <w:szCs w:val="24"/>
                      <w:highlight w:val="none"/>
                      <w:lang w:val="en-US" w:eastAsia="zh-CN" w:bidi="ar-SA"/>
                    </w:rPr>
                    <w:t>10</w:t>
                  </w:r>
                </w:p>
              </w:tc>
              <w:tc>
                <w:tcPr>
                  <w:tcW w:w="309" w:type="pct"/>
                  <w:vMerge w:val="continue"/>
                  <w:tcBorders>
                    <w:tl2br w:val="nil"/>
                    <w:tr2bl w:val="nil"/>
                  </w:tcBorders>
                  <w:vAlign w:val="center"/>
                </w:tcPr>
                <w:p w14:paraId="68E4AFEB">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p>
              </w:tc>
              <w:tc>
                <w:tcPr>
                  <w:tcW w:w="2180" w:type="pct"/>
                  <w:tcBorders>
                    <w:tl2br w:val="nil"/>
                    <w:tr2bl w:val="nil"/>
                  </w:tcBorders>
                  <w:vAlign w:val="top"/>
                </w:tcPr>
                <w:p w14:paraId="07B2E193">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olor w:val="auto"/>
                      <w:spacing w:val="14"/>
                      <w:sz w:val="21"/>
                    </w:rPr>
                  </w:pPr>
                  <w:r>
                    <w:rPr>
                      <w:rFonts w:hint="default" w:ascii="Times New Roman" w:hAnsi="Times New Roman" w:eastAsia="宋体"/>
                      <w:color w:val="auto"/>
                      <w:spacing w:val="1"/>
                      <w:sz w:val="21"/>
                    </w:rPr>
                    <w:t>净化装置采样口的设置应符合</w:t>
                  </w:r>
                  <w:r>
                    <w:rPr>
                      <w:rFonts w:hint="default" w:ascii="Times New Roman" w:hAnsi="Times New Roman" w:eastAsia="宋体"/>
                      <w:color w:val="auto"/>
                      <w:spacing w:val="-29"/>
                      <w:sz w:val="21"/>
                    </w:rPr>
                    <w:t xml:space="preserve"> </w:t>
                  </w:r>
                  <w:r>
                    <w:rPr>
                      <w:rFonts w:hint="default" w:ascii="Times New Roman" w:hAnsi="Times New Roman" w:eastAsia="宋体" w:cs="Times New Roman"/>
                      <w:color w:val="auto"/>
                      <w:sz w:val="21"/>
                    </w:rPr>
                    <w:t>HJ</w:t>
                  </w:r>
                  <w:r>
                    <w:rPr>
                      <w:rFonts w:hint="default" w:ascii="Times New Roman" w:hAnsi="Times New Roman" w:eastAsia="宋体" w:cs="Times New Roman"/>
                      <w:color w:val="auto"/>
                      <w:spacing w:val="1"/>
                      <w:sz w:val="21"/>
                    </w:rPr>
                    <w:t>/T</w:t>
                  </w:r>
                  <w:r>
                    <w:rPr>
                      <w:rFonts w:hint="default" w:ascii="Times New Roman" w:hAnsi="Times New Roman" w:eastAsia="宋体" w:cs="Times New Roman"/>
                      <w:color w:val="auto"/>
                      <w:spacing w:val="24"/>
                      <w:w w:val="101"/>
                      <w:sz w:val="21"/>
                    </w:rPr>
                    <w:t xml:space="preserve"> </w:t>
                  </w:r>
                  <w:r>
                    <w:rPr>
                      <w:rFonts w:hint="default" w:ascii="Times New Roman" w:hAnsi="Times New Roman" w:eastAsia="宋体" w:cs="Times New Roman"/>
                      <w:color w:val="auto"/>
                      <w:spacing w:val="1"/>
                      <w:sz w:val="21"/>
                    </w:rPr>
                    <w:t>1</w:t>
                  </w:r>
                  <w:r>
                    <w:rPr>
                      <w:rFonts w:hint="default" w:ascii="Times New Roman" w:hAnsi="Times New Roman" w:eastAsia="宋体"/>
                      <w:color w:val="auto"/>
                      <w:spacing w:val="1"/>
                      <w:sz w:val="21"/>
                    </w:rPr>
                    <w:t>、</w:t>
                  </w:r>
                  <w:r>
                    <w:rPr>
                      <w:rFonts w:hint="default" w:ascii="Times New Roman" w:hAnsi="Times New Roman" w:eastAsia="宋体" w:cs="Times New Roman"/>
                      <w:color w:val="auto"/>
                      <w:sz w:val="21"/>
                    </w:rPr>
                    <w:t>HJ</w:t>
                  </w:r>
                  <w:r>
                    <w:rPr>
                      <w:rFonts w:hint="default" w:ascii="Times New Roman" w:hAnsi="Times New Roman" w:eastAsia="宋体" w:cs="Times New Roman"/>
                      <w:color w:val="auto"/>
                      <w:spacing w:val="1"/>
                      <w:sz w:val="21"/>
                    </w:rPr>
                    <w:t>/T</w:t>
                  </w:r>
                  <w:r>
                    <w:rPr>
                      <w:rFonts w:hint="default" w:ascii="Times New Roman" w:hAnsi="Times New Roman" w:eastAsia="宋体" w:cs="Times New Roman"/>
                      <w:color w:val="auto"/>
                      <w:spacing w:val="3"/>
                      <w:sz w:val="21"/>
                    </w:rPr>
                    <w:t>397</w:t>
                  </w:r>
                  <w:r>
                    <w:rPr>
                      <w:rFonts w:hint="default" w:ascii="Times New Roman" w:hAnsi="Times New Roman" w:eastAsia="宋体"/>
                      <w:color w:val="auto"/>
                      <w:spacing w:val="3"/>
                      <w:sz w:val="21"/>
                    </w:rPr>
                    <w:t>和</w:t>
                  </w:r>
                  <w:r>
                    <w:rPr>
                      <w:rFonts w:hint="default" w:ascii="Times New Roman" w:hAnsi="Times New Roman" w:eastAsia="宋体"/>
                      <w:color w:val="auto"/>
                      <w:spacing w:val="-24"/>
                      <w:sz w:val="21"/>
                    </w:rPr>
                    <w:t xml:space="preserve"> </w:t>
                  </w:r>
                  <w:r>
                    <w:rPr>
                      <w:rFonts w:hint="default" w:ascii="Times New Roman" w:hAnsi="Times New Roman" w:eastAsia="宋体" w:cs="Times New Roman"/>
                      <w:color w:val="auto"/>
                      <w:sz w:val="21"/>
                    </w:rPr>
                    <w:t>GB</w:t>
                  </w:r>
                  <w:r>
                    <w:rPr>
                      <w:rFonts w:hint="default" w:ascii="Times New Roman" w:hAnsi="Times New Roman" w:eastAsia="宋体" w:cs="Times New Roman"/>
                      <w:color w:val="auto"/>
                      <w:spacing w:val="3"/>
                      <w:sz w:val="21"/>
                    </w:rPr>
                    <w:t>/T16157</w:t>
                  </w:r>
                  <w:r>
                    <w:rPr>
                      <w:rFonts w:hint="default" w:ascii="Times New Roman" w:hAnsi="Times New Roman" w:eastAsia="宋体"/>
                      <w:color w:val="auto"/>
                      <w:spacing w:val="3"/>
                      <w:sz w:val="21"/>
                    </w:rPr>
                    <w:t>的要求。自行监测应符合</w:t>
                  </w:r>
                  <w:r>
                    <w:rPr>
                      <w:rFonts w:hint="default" w:ascii="Times New Roman" w:hAnsi="Times New Roman" w:eastAsia="宋体"/>
                      <w:color w:val="auto"/>
                      <w:spacing w:val="-44"/>
                      <w:sz w:val="21"/>
                    </w:rPr>
                    <w:t xml:space="preserve"> </w:t>
                  </w:r>
                  <w:r>
                    <w:rPr>
                      <w:rFonts w:hint="default" w:ascii="Times New Roman" w:hAnsi="Times New Roman" w:eastAsia="宋体" w:cs="Times New Roman"/>
                      <w:color w:val="auto"/>
                      <w:sz w:val="21"/>
                    </w:rPr>
                    <w:t xml:space="preserve">HJ </w:t>
                  </w:r>
                  <w:r>
                    <w:rPr>
                      <w:rFonts w:hint="default" w:ascii="Times New Roman" w:hAnsi="Times New Roman" w:eastAsia="宋体" w:cs="Times New Roman"/>
                      <w:color w:val="auto"/>
                      <w:spacing w:val="5"/>
                      <w:sz w:val="21"/>
                    </w:rPr>
                    <w:t>819</w:t>
                  </w:r>
                  <w:r>
                    <w:rPr>
                      <w:rFonts w:hint="default" w:ascii="Times New Roman" w:hAnsi="Times New Roman" w:eastAsia="宋体"/>
                      <w:color w:val="auto"/>
                      <w:spacing w:val="5"/>
                      <w:sz w:val="21"/>
                    </w:rPr>
                    <w:t>的要求，排放同类实验室废气的排气</w:t>
                  </w:r>
                  <w:r>
                    <w:rPr>
                      <w:rFonts w:hint="default" w:ascii="Times New Roman" w:hAnsi="Times New Roman" w:eastAsia="宋体"/>
                      <w:color w:val="auto"/>
                      <w:spacing w:val="4"/>
                      <w:sz w:val="21"/>
                    </w:rPr>
                    <w:t>筒宜合</w:t>
                  </w:r>
                  <w:r>
                    <w:rPr>
                      <w:rFonts w:hint="default" w:ascii="Times New Roman" w:hAnsi="Times New Roman" w:eastAsia="宋体"/>
                      <w:color w:val="auto"/>
                      <w:sz w:val="21"/>
                    </w:rPr>
                    <w:t>并。</w:t>
                  </w:r>
                </w:p>
              </w:tc>
              <w:tc>
                <w:tcPr>
                  <w:tcW w:w="1649" w:type="pct"/>
                  <w:tcBorders>
                    <w:tl2br w:val="nil"/>
                    <w:tr2bl w:val="nil"/>
                  </w:tcBorders>
                  <w:vAlign w:val="center"/>
                </w:tcPr>
                <w:p w14:paraId="26C08B07">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本项目设置1根</w:t>
                  </w:r>
                  <w:r>
                    <w:rPr>
                      <w:rFonts w:hint="eastAsia" w:ascii="Times New Roman" w:hAnsi="Times New Roman" w:eastAsia="宋体" w:cs="Times New Roman"/>
                      <w:color w:val="auto"/>
                      <w:kern w:val="2"/>
                      <w:sz w:val="21"/>
                      <w:szCs w:val="24"/>
                      <w:highlight w:val="none"/>
                      <w:lang w:val="en-US" w:eastAsia="zh-CN" w:bidi="ar-SA"/>
                    </w:rPr>
                    <w:t>15米高</w:t>
                  </w:r>
                  <w:r>
                    <w:rPr>
                      <w:rFonts w:hint="default" w:ascii="Times New Roman" w:hAnsi="Times New Roman" w:eastAsia="宋体" w:cs="Times New Roman"/>
                      <w:color w:val="auto"/>
                      <w:kern w:val="2"/>
                      <w:sz w:val="21"/>
                      <w:szCs w:val="24"/>
                      <w:highlight w:val="none"/>
                      <w:lang w:val="en-US" w:eastAsia="zh-CN" w:bidi="ar-SA"/>
                    </w:rPr>
                    <w:t>排气 筒，采样口设置应符合HJ/T 1、HJ/T 397和GB/T 16157的要求。</w:t>
                  </w:r>
                </w:p>
              </w:tc>
              <w:tc>
                <w:tcPr>
                  <w:tcW w:w="909" w:type="dxa"/>
                  <w:tcBorders>
                    <w:tl2br w:val="nil"/>
                    <w:tr2bl w:val="nil"/>
                  </w:tcBorders>
                  <w:vAlign w:val="center"/>
                </w:tcPr>
                <w:p w14:paraId="5749EA38">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相符</w:t>
                  </w:r>
                </w:p>
              </w:tc>
            </w:tr>
            <w:tr w14:paraId="18F8EA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70" w:type="pct"/>
                  <w:tcBorders>
                    <w:tl2br w:val="nil"/>
                    <w:tr2bl w:val="nil"/>
                  </w:tcBorders>
                  <w:vAlign w:val="center"/>
                </w:tcPr>
                <w:p w14:paraId="512CE1B9">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cs="Times New Roman"/>
                      <w:b/>
                      <w:bCs/>
                      <w:color w:val="auto"/>
                      <w:kern w:val="2"/>
                      <w:sz w:val="21"/>
                      <w:szCs w:val="24"/>
                      <w:highlight w:val="none"/>
                      <w:lang w:val="en-US" w:eastAsia="zh-CN" w:bidi="ar-SA"/>
                    </w:rPr>
                    <w:t>11</w:t>
                  </w:r>
                </w:p>
              </w:tc>
              <w:tc>
                <w:tcPr>
                  <w:tcW w:w="309" w:type="pct"/>
                  <w:vMerge w:val="continue"/>
                  <w:tcBorders>
                    <w:tl2br w:val="nil"/>
                    <w:tr2bl w:val="nil"/>
                  </w:tcBorders>
                  <w:vAlign w:val="center"/>
                </w:tcPr>
                <w:p w14:paraId="0408B3C4">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p>
              </w:tc>
              <w:tc>
                <w:tcPr>
                  <w:tcW w:w="2180" w:type="pct"/>
                  <w:tcBorders>
                    <w:tl2br w:val="nil"/>
                    <w:tr2bl w:val="nil"/>
                  </w:tcBorders>
                  <w:vAlign w:val="top"/>
                </w:tcPr>
                <w:p w14:paraId="20CC4F46">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olor w:val="auto"/>
                      <w:spacing w:val="0"/>
                      <w:position w:val="0"/>
                      <w:sz w:val="21"/>
                    </w:rPr>
                  </w:pPr>
                  <w:r>
                    <w:rPr>
                      <w:rFonts w:hint="default" w:ascii="Times New Roman" w:hAnsi="Times New Roman" w:eastAsia="宋体"/>
                      <w:color w:val="auto"/>
                      <w:spacing w:val="0"/>
                      <w:position w:val="0"/>
                      <w:sz w:val="21"/>
                    </w:rPr>
                    <w:t>吸附法处理有机废气可采用活性炭、活性 炭纤维等作为吸附介质，并满足以下要求。</w:t>
                  </w:r>
                  <w:r>
                    <w:rPr>
                      <w:rFonts w:hint="default" w:ascii="Times New Roman" w:hAnsi="Times New Roman" w:eastAsia="宋体" w:cs="Times New Roman"/>
                      <w:color w:val="auto"/>
                      <w:spacing w:val="0"/>
                      <w:position w:val="0"/>
                      <w:sz w:val="21"/>
                    </w:rPr>
                    <w:t>a</w:t>
                  </w:r>
                  <w:r>
                    <w:rPr>
                      <w:rFonts w:hint="default" w:ascii="Times New Roman" w:hAnsi="Times New Roman" w:eastAsia="宋体"/>
                      <w:color w:val="auto"/>
                      <w:spacing w:val="0"/>
                      <w:position w:val="0"/>
                      <w:sz w:val="21"/>
                    </w:rPr>
                    <w:t xml:space="preserve">）选用的颗粒活性炭碘值不应低于 </w:t>
                  </w:r>
                  <w:r>
                    <w:rPr>
                      <w:rFonts w:hint="default" w:ascii="Times New Roman" w:hAnsi="Times New Roman" w:eastAsia="宋体" w:cs="Times New Roman"/>
                      <w:color w:val="auto"/>
                      <w:spacing w:val="0"/>
                      <w:position w:val="0"/>
                      <w:sz w:val="21"/>
                    </w:rPr>
                    <w:t>800mg/g</w:t>
                  </w:r>
                  <w:r>
                    <w:rPr>
                      <w:rFonts w:hint="default" w:ascii="Times New Roman" w:hAnsi="Times New Roman" w:eastAsia="宋体"/>
                      <w:color w:val="auto"/>
                      <w:spacing w:val="0"/>
                      <w:position w:val="0"/>
                      <w:sz w:val="21"/>
                    </w:rPr>
                    <w:t>，四氯化碳吸附率不应低于</w:t>
                  </w:r>
                  <w:r>
                    <w:rPr>
                      <w:rFonts w:hint="default" w:ascii="Times New Roman" w:hAnsi="Times New Roman" w:eastAsia="宋体" w:cs="Times New Roman"/>
                      <w:color w:val="auto"/>
                      <w:spacing w:val="0"/>
                      <w:position w:val="0"/>
                      <w:sz w:val="21"/>
                    </w:rPr>
                    <w:t>50%</w:t>
                  </w:r>
                  <w:r>
                    <w:rPr>
                      <w:rFonts w:hint="default" w:ascii="Times New Roman" w:hAnsi="Times New Roman" w:eastAsia="宋体"/>
                      <w:color w:val="auto"/>
                      <w:spacing w:val="0"/>
                      <w:position w:val="0"/>
                      <w:sz w:val="21"/>
                    </w:rPr>
                    <w:t>；选用的蜂窝活性炭碘值不应低于</w:t>
                  </w:r>
                  <w:r>
                    <w:rPr>
                      <w:rFonts w:hint="default" w:ascii="Times New Roman" w:hAnsi="Times New Roman" w:eastAsia="宋体" w:cs="Times New Roman"/>
                      <w:color w:val="auto"/>
                      <w:spacing w:val="0"/>
                      <w:position w:val="0"/>
                      <w:sz w:val="21"/>
                    </w:rPr>
                    <w:t>650mg/g</w:t>
                  </w:r>
                  <w:r>
                    <w:rPr>
                      <w:rFonts w:hint="default" w:ascii="Times New Roman" w:hAnsi="Times New Roman" w:eastAsia="宋体"/>
                      <w:color w:val="auto"/>
                      <w:spacing w:val="0"/>
                      <w:position w:val="0"/>
                      <w:sz w:val="21"/>
                    </w:rPr>
                    <w:t>，四氯化碳吸附率不应低于</w:t>
                  </w:r>
                  <w:r>
                    <w:rPr>
                      <w:rFonts w:hint="default" w:ascii="Times New Roman" w:hAnsi="Times New Roman" w:eastAsia="宋体" w:cs="Times New Roman"/>
                      <w:color w:val="auto"/>
                      <w:spacing w:val="0"/>
                      <w:position w:val="0"/>
                      <w:sz w:val="21"/>
                    </w:rPr>
                    <w:t>35%</w:t>
                  </w:r>
                  <w:r>
                    <w:rPr>
                      <w:rFonts w:hint="default" w:ascii="Times New Roman" w:hAnsi="Times New Roman" w:eastAsia="宋体"/>
                      <w:color w:val="auto"/>
                      <w:spacing w:val="0"/>
                      <w:position w:val="0"/>
                      <w:sz w:val="21"/>
                    </w:rPr>
                    <w:t>；其他性能指标应符合</w:t>
                  </w:r>
                  <w:r>
                    <w:rPr>
                      <w:rFonts w:hint="default" w:ascii="Times New Roman" w:hAnsi="Times New Roman" w:eastAsia="宋体" w:cs="Times New Roman"/>
                      <w:color w:val="auto"/>
                      <w:spacing w:val="0"/>
                      <w:position w:val="0"/>
                      <w:sz w:val="21"/>
                    </w:rPr>
                    <w:t>GB/T7701. 1</w:t>
                  </w:r>
                  <w:r>
                    <w:rPr>
                      <w:rFonts w:hint="default" w:ascii="Times New Roman" w:hAnsi="Times New Roman" w:eastAsia="宋体"/>
                      <w:color w:val="auto"/>
                      <w:spacing w:val="0"/>
                      <w:position w:val="0"/>
                      <w:sz w:val="21"/>
                    </w:rPr>
                    <w:t>的要求。选用的 活性炭纤维比表面积不应低于</w:t>
                  </w:r>
                  <w:r>
                    <w:rPr>
                      <w:rFonts w:hint="default" w:ascii="Times New Roman" w:hAnsi="Times New Roman" w:eastAsia="宋体" w:cs="Times New Roman"/>
                      <w:color w:val="auto"/>
                      <w:spacing w:val="0"/>
                      <w:position w:val="0"/>
                      <w:sz w:val="21"/>
                    </w:rPr>
                    <w:t>1100m</w:t>
                  </w:r>
                  <w:r>
                    <w:rPr>
                      <w:rFonts w:hint="default" w:ascii="Times New Roman" w:hAnsi="Times New Roman" w:eastAsia="宋体" w:cs="Times New Roman"/>
                      <w:color w:val="auto"/>
                      <w:spacing w:val="0"/>
                      <w:position w:val="0"/>
                      <w:sz w:val="21"/>
                      <w:szCs w:val="13"/>
                      <w:vertAlign w:val="superscript"/>
                    </w:rPr>
                    <w:t>2</w:t>
                  </w:r>
                  <w:r>
                    <w:rPr>
                      <w:rFonts w:hint="default" w:ascii="Times New Roman" w:hAnsi="Times New Roman" w:eastAsia="宋体" w:cs="Times New Roman"/>
                      <w:color w:val="auto"/>
                      <w:spacing w:val="0"/>
                      <w:position w:val="0"/>
                      <w:sz w:val="21"/>
                    </w:rPr>
                    <w:t>/g</w:t>
                  </w:r>
                  <w:r>
                    <w:rPr>
                      <w:rFonts w:hint="default" w:ascii="Times New Roman" w:hAnsi="Times New Roman" w:eastAsia="宋体"/>
                      <w:color w:val="auto"/>
                      <w:spacing w:val="0"/>
                      <w:position w:val="0"/>
                      <w:sz w:val="21"/>
                    </w:rPr>
                    <w:t>，其他性能指标应符合</w:t>
                  </w:r>
                  <w:r>
                    <w:rPr>
                      <w:rFonts w:hint="default" w:ascii="Times New Roman" w:hAnsi="Times New Roman" w:eastAsia="宋体" w:cs="Times New Roman"/>
                      <w:color w:val="auto"/>
                      <w:spacing w:val="0"/>
                      <w:position w:val="0"/>
                      <w:sz w:val="21"/>
                    </w:rPr>
                    <w:t>HG/T3922</w:t>
                  </w:r>
                  <w:r>
                    <w:rPr>
                      <w:rFonts w:hint="default" w:ascii="Times New Roman" w:hAnsi="Times New Roman" w:eastAsia="宋体"/>
                      <w:color w:val="auto"/>
                      <w:spacing w:val="0"/>
                      <w:position w:val="0"/>
                      <w:sz w:val="21"/>
                    </w:rPr>
                    <w:t>的要求。其他吸附剂的选择应符合</w:t>
                  </w:r>
                  <w:r>
                    <w:rPr>
                      <w:rFonts w:hint="default" w:ascii="Times New Roman" w:hAnsi="Times New Roman" w:eastAsia="宋体" w:cs="Times New Roman"/>
                      <w:color w:val="auto"/>
                      <w:spacing w:val="0"/>
                      <w:position w:val="0"/>
                      <w:sz w:val="21"/>
                    </w:rPr>
                    <w:t>HJ2026</w:t>
                  </w:r>
                  <w:r>
                    <w:rPr>
                      <w:rFonts w:hint="default" w:ascii="Times New Roman" w:hAnsi="Times New Roman" w:eastAsia="宋体"/>
                      <w:color w:val="auto"/>
                      <w:spacing w:val="0"/>
                      <w:position w:val="0"/>
                      <w:sz w:val="21"/>
                    </w:rPr>
                    <w:t>的相关规定。</w:t>
                  </w:r>
                  <w:r>
                    <w:rPr>
                      <w:rFonts w:hint="default" w:ascii="Times New Roman" w:hAnsi="Times New Roman" w:eastAsia="宋体" w:cs="Times New Roman"/>
                      <w:color w:val="auto"/>
                      <w:spacing w:val="0"/>
                      <w:position w:val="0"/>
                      <w:sz w:val="21"/>
                    </w:rPr>
                    <w:t>b</w:t>
                  </w:r>
                  <w:r>
                    <w:rPr>
                      <w:rFonts w:hint="default" w:ascii="Times New Roman" w:hAnsi="Times New Roman" w:eastAsia="宋体"/>
                      <w:color w:val="auto"/>
                      <w:spacing w:val="0"/>
                      <w:position w:val="0"/>
                      <w:sz w:val="21"/>
                    </w:rPr>
                    <w:t>）吸附法处理有机废气的工艺设计应符合</w:t>
                  </w:r>
                  <w:r>
                    <w:rPr>
                      <w:rFonts w:hint="default" w:ascii="Times New Roman" w:hAnsi="Times New Roman" w:eastAsia="宋体" w:cs="Times New Roman"/>
                      <w:color w:val="auto"/>
                      <w:spacing w:val="0"/>
                      <w:position w:val="0"/>
                      <w:sz w:val="21"/>
                    </w:rPr>
                    <w:t>HJ2026</w:t>
                  </w:r>
                  <w:r>
                    <w:rPr>
                      <w:rFonts w:hint="default" w:ascii="Times New Roman" w:hAnsi="Times New Roman" w:eastAsia="宋体"/>
                      <w:color w:val="auto"/>
                      <w:spacing w:val="0"/>
                      <w:position w:val="0"/>
                      <w:sz w:val="21"/>
                    </w:rPr>
                    <w:t>和</w:t>
                  </w:r>
                  <w:r>
                    <w:rPr>
                      <w:rFonts w:hint="default" w:ascii="Times New Roman" w:hAnsi="Times New Roman" w:eastAsia="宋体" w:cs="Times New Roman"/>
                      <w:color w:val="auto"/>
                      <w:spacing w:val="0"/>
                      <w:position w:val="0"/>
                      <w:sz w:val="21"/>
                    </w:rPr>
                    <w:t>HJ/T386</w:t>
                  </w:r>
                  <w:r>
                    <w:rPr>
                      <w:rFonts w:hint="default" w:ascii="Times New Roman" w:hAnsi="Times New Roman" w:eastAsia="宋体"/>
                      <w:color w:val="auto"/>
                      <w:spacing w:val="0"/>
                      <w:position w:val="0"/>
                      <w:sz w:val="21"/>
                    </w:rPr>
                    <w:t>的相关规定﹐废气在吸附装置中应有足够的停留时间，应大于</w:t>
                  </w:r>
                  <w:r>
                    <w:rPr>
                      <w:rFonts w:hint="default" w:ascii="Times New Roman" w:hAnsi="Times New Roman" w:eastAsia="宋体" w:cs="Times New Roman"/>
                      <w:color w:val="auto"/>
                      <w:spacing w:val="0"/>
                      <w:position w:val="0"/>
                      <w:sz w:val="21"/>
                    </w:rPr>
                    <w:t>0.3s</w:t>
                  </w:r>
                  <w:r>
                    <w:rPr>
                      <w:rFonts w:hint="default" w:ascii="Times New Roman" w:hAnsi="Times New Roman" w:eastAsia="宋体"/>
                      <w:color w:val="auto"/>
                      <w:spacing w:val="0"/>
                      <w:position w:val="0"/>
                      <w:sz w:val="21"/>
                    </w:rPr>
                    <w:t>。</w:t>
                  </w:r>
                </w:p>
                <w:p w14:paraId="37B42DAF">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olor w:val="auto"/>
                      <w:spacing w:val="14"/>
                      <w:sz w:val="21"/>
                    </w:rPr>
                  </w:pPr>
                  <w:r>
                    <w:rPr>
                      <w:rFonts w:hint="default" w:ascii="Times New Roman" w:hAnsi="Times New Roman" w:eastAsia="宋体" w:cs="Times New Roman"/>
                      <w:color w:val="auto"/>
                      <w:spacing w:val="0"/>
                      <w:position w:val="0"/>
                      <w:sz w:val="21"/>
                    </w:rPr>
                    <w:t>c</w:t>
                  </w:r>
                  <w:r>
                    <w:rPr>
                      <w:rFonts w:hint="default" w:ascii="Times New Roman" w:hAnsi="Times New Roman" w:eastAsia="宋体"/>
                      <w:color w:val="auto"/>
                      <w:spacing w:val="0"/>
                      <w:position w:val="0"/>
                      <w:sz w:val="21"/>
                    </w:rPr>
                    <w:t>）应根据废气排放特征﹐明确吸附剂更换周期，不宜超过</w:t>
                  </w:r>
                  <w:r>
                    <w:rPr>
                      <w:rFonts w:hint="default" w:ascii="Times New Roman" w:hAnsi="Times New Roman" w:eastAsia="宋体" w:cs="Times New Roman"/>
                      <w:color w:val="auto"/>
                      <w:spacing w:val="0"/>
                      <w:position w:val="0"/>
                      <w:sz w:val="21"/>
                    </w:rPr>
                    <w:t>6</w:t>
                  </w:r>
                  <w:r>
                    <w:rPr>
                      <w:rFonts w:hint="default" w:ascii="Times New Roman" w:hAnsi="Times New Roman" w:eastAsia="宋体"/>
                      <w:color w:val="auto"/>
                      <w:spacing w:val="0"/>
                      <w:position w:val="0"/>
                      <w:sz w:val="21"/>
                    </w:rPr>
                    <w:t>个月，有环境影响评价或者排污许可证等法定文件的，可按其核定的更</w:t>
                  </w:r>
                  <w:r>
                    <w:rPr>
                      <w:rFonts w:hint="eastAsia" w:ascii="Times New Roman" w:hAnsi="Times New Roman" w:eastAsia="宋体"/>
                      <w:color w:val="auto"/>
                      <w:spacing w:val="0"/>
                      <w:position w:val="0"/>
                      <w:sz w:val="21"/>
                      <w:lang w:val="en-US" w:eastAsia="zh-CN"/>
                    </w:rPr>
                    <w:t>换</w:t>
                  </w:r>
                  <w:r>
                    <w:rPr>
                      <w:rFonts w:hint="default" w:ascii="Times New Roman" w:hAnsi="Times New Roman" w:eastAsia="宋体"/>
                      <w:color w:val="auto"/>
                      <w:spacing w:val="0"/>
                      <w:position w:val="0"/>
                      <w:sz w:val="21"/>
                    </w:rPr>
                    <w:t>周期执行，具有原位再生功能的吸附剂可根据再生后吸附性能情况适当延长更换周期。</w:t>
                  </w:r>
                </w:p>
              </w:tc>
              <w:tc>
                <w:tcPr>
                  <w:tcW w:w="1649" w:type="pct"/>
                  <w:tcBorders>
                    <w:tl2br w:val="nil"/>
                    <w:tr2bl w:val="nil"/>
                  </w:tcBorders>
                  <w:vAlign w:val="center"/>
                </w:tcPr>
                <w:p w14:paraId="1CCB93A1">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本项目有机废气采用颗粒活性炭吸附，碘值≥800mg/g，有机废气在吸附装置的停留时间应大于0.3s。定期更换活性炭，更换周期不超过6个月</w:t>
                  </w:r>
                  <w:r>
                    <w:rPr>
                      <w:rFonts w:hint="eastAsia" w:ascii="Times New Roman" w:hAnsi="Times New Roman" w:eastAsia="宋体" w:cs="Times New Roman"/>
                      <w:color w:val="auto"/>
                      <w:kern w:val="2"/>
                      <w:sz w:val="21"/>
                      <w:szCs w:val="24"/>
                      <w:highlight w:val="none"/>
                      <w:lang w:val="en-US" w:eastAsia="zh-CN" w:bidi="ar-SA"/>
                    </w:rPr>
                    <w:t>。</w:t>
                  </w:r>
                </w:p>
              </w:tc>
              <w:tc>
                <w:tcPr>
                  <w:tcW w:w="909" w:type="dxa"/>
                  <w:tcBorders>
                    <w:tl2br w:val="nil"/>
                    <w:tr2bl w:val="nil"/>
                  </w:tcBorders>
                  <w:vAlign w:val="center"/>
                </w:tcPr>
                <w:p w14:paraId="033890DA">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相符</w:t>
                  </w:r>
                </w:p>
              </w:tc>
            </w:tr>
            <w:tr w14:paraId="4F5069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0" w:hRule="atLeast"/>
                <w:jc w:val="center"/>
              </w:trPr>
              <w:tc>
                <w:tcPr>
                  <w:tcW w:w="370" w:type="pct"/>
                  <w:tcBorders>
                    <w:tl2br w:val="nil"/>
                    <w:tr2bl w:val="nil"/>
                  </w:tcBorders>
                  <w:vAlign w:val="center"/>
                </w:tcPr>
                <w:p w14:paraId="37B592F9">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cs="Times New Roman"/>
                      <w:b/>
                      <w:bCs/>
                      <w:color w:val="auto"/>
                      <w:kern w:val="2"/>
                      <w:sz w:val="21"/>
                      <w:szCs w:val="24"/>
                      <w:highlight w:val="none"/>
                      <w:lang w:val="en-US" w:eastAsia="zh-CN" w:bidi="ar-SA"/>
                    </w:rPr>
                    <w:t>12</w:t>
                  </w:r>
                </w:p>
              </w:tc>
              <w:tc>
                <w:tcPr>
                  <w:tcW w:w="309" w:type="pct"/>
                  <w:vMerge w:val="restart"/>
                  <w:tcBorders>
                    <w:tl2br w:val="nil"/>
                    <w:tr2bl w:val="nil"/>
                  </w:tcBorders>
                  <w:vAlign w:val="center"/>
                </w:tcPr>
                <w:p w14:paraId="67411760">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b/>
                      <w:bCs/>
                      <w:color w:val="auto"/>
                      <w:kern w:val="2"/>
                      <w:sz w:val="21"/>
                      <w:szCs w:val="24"/>
                      <w:highlight w:val="none"/>
                      <w:lang w:val="en-US" w:eastAsia="zh-CN" w:bidi="ar-SA"/>
                    </w:rPr>
                    <w:t>易挥发物质的管理</w:t>
                  </w:r>
                </w:p>
              </w:tc>
              <w:tc>
                <w:tcPr>
                  <w:tcW w:w="2180" w:type="pct"/>
                  <w:tcBorders>
                    <w:tl2br w:val="nil"/>
                    <w:tr2bl w:val="nil"/>
                  </w:tcBorders>
                  <w:vAlign w:val="top"/>
                </w:tcPr>
                <w:p w14:paraId="31CB14A2">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olor w:val="auto"/>
                      <w:spacing w:val="14"/>
                      <w:sz w:val="21"/>
                    </w:rPr>
                  </w:pPr>
                  <w:r>
                    <w:rPr>
                      <w:rFonts w:hint="default" w:ascii="Times New Roman" w:hAnsi="Times New Roman" w:eastAsia="宋体"/>
                      <w:color w:val="auto"/>
                      <w:spacing w:val="12"/>
                      <w:sz w:val="21"/>
                    </w:rPr>
                    <w:t>实验室单位应加强对易挥发物质的采</w:t>
                  </w:r>
                  <w:r>
                    <w:rPr>
                      <w:rFonts w:hint="default" w:ascii="Times New Roman" w:hAnsi="Times New Roman" w:eastAsia="宋体"/>
                      <w:color w:val="auto"/>
                      <w:spacing w:val="1"/>
                      <w:sz w:val="21"/>
                    </w:rPr>
                    <w:t xml:space="preserve"> 购、储存和使用管理。建立易挥发物质（常 </w:t>
                  </w:r>
                  <w:r>
                    <w:rPr>
                      <w:rFonts w:hint="default" w:ascii="Times New Roman" w:hAnsi="Times New Roman" w:eastAsia="宋体"/>
                      <w:color w:val="auto"/>
                      <w:spacing w:val="15"/>
                      <w:sz w:val="21"/>
                    </w:rPr>
                    <w:t>见种类见附录</w:t>
                  </w:r>
                  <w:r>
                    <w:rPr>
                      <w:rFonts w:hint="default" w:ascii="Times New Roman" w:hAnsi="Times New Roman" w:eastAsia="宋体" w:cs="Times New Roman"/>
                      <w:color w:val="auto"/>
                      <w:spacing w:val="15"/>
                      <w:sz w:val="21"/>
                    </w:rPr>
                    <w:t>A</w:t>
                  </w:r>
                  <w:r>
                    <w:rPr>
                      <w:rFonts w:hint="default" w:ascii="Times New Roman" w:hAnsi="Times New Roman" w:eastAsia="宋体"/>
                      <w:color w:val="auto"/>
                      <w:spacing w:val="15"/>
                      <w:sz w:val="21"/>
                    </w:rPr>
                    <w:t>）购置和使用登记制度﹐</w:t>
                  </w:r>
                  <w:r>
                    <w:rPr>
                      <w:rFonts w:hint="default" w:ascii="Times New Roman" w:hAnsi="Times New Roman" w:eastAsia="宋体"/>
                      <w:color w:val="auto"/>
                      <w:spacing w:val="12"/>
                      <w:sz w:val="21"/>
                    </w:rPr>
                    <w:t>记录所购买及使用的易挥发物质种类、采购量、使用量、回收量，废弃量及记录人</w:t>
                  </w:r>
                  <w:r>
                    <w:rPr>
                      <w:rFonts w:hint="default" w:ascii="Times New Roman" w:hAnsi="Times New Roman" w:eastAsia="宋体"/>
                      <w:color w:val="auto"/>
                      <w:spacing w:val="10"/>
                      <w:sz w:val="21"/>
                    </w:rPr>
                    <w:t>等信息﹐</w:t>
                  </w:r>
                  <w:r>
                    <w:rPr>
                      <w:rFonts w:hint="default" w:ascii="Times New Roman" w:hAnsi="Times New Roman" w:eastAsia="宋体"/>
                      <w:color w:val="auto"/>
                      <w:spacing w:val="-60"/>
                      <w:sz w:val="21"/>
                    </w:rPr>
                    <w:t xml:space="preserve"> </w:t>
                  </w:r>
                  <w:r>
                    <w:rPr>
                      <w:rFonts w:hint="default" w:ascii="Times New Roman" w:hAnsi="Times New Roman" w:eastAsia="宋体"/>
                      <w:color w:val="auto"/>
                      <w:spacing w:val="10"/>
                      <w:sz w:val="21"/>
                    </w:rPr>
                    <w:t>易挥发物质采购、使用记录表详见附录</w:t>
                  </w:r>
                  <w:r>
                    <w:rPr>
                      <w:rFonts w:hint="default" w:ascii="Times New Roman" w:hAnsi="Times New Roman" w:eastAsia="宋体"/>
                      <w:color w:val="auto"/>
                      <w:spacing w:val="-23"/>
                      <w:sz w:val="21"/>
                    </w:rPr>
                    <w:t xml:space="preserve"> </w:t>
                  </w:r>
                  <w:r>
                    <w:rPr>
                      <w:rFonts w:hint="default" w:ascii="Times New Roman" w:hAnsi="Times New Roman" w:eastAsia="宋体" w:cs="Times New Roman"/>
                      <w:color w:val="auto"/>
                      <w:spacing w:val="10"/>
                      <w:sz w:val="21"/>
                    </w:rPr>
                    <w:t>B</w:t>
                  </w:r>
                  <w:r>
                    <w:rPr>
                      <w:rFonts w:hint="default" w:ascii="Times New Roman" w:hAnsi="Times New Roman" w:eastAsia="宋体" w:cs="Times New Roman"/>
                      <w:color w:val="auto"/>
                      <w:spacing w:val="-20"/>
                      <w:sz w:val="21"/>
                    </w:rPr>
                    <w:t xml:space="preserve"> </w:t>
                  </w:r>
                  <w:r>
                    <w:rPr>
                      <w:rFonts w:hint="default" w:ascii="Times New Roman" w:hAnsi="Times New Roman" w:eastAsia="宋体"/>
                      <w:color w:val="auto"/>
                      <w:spacing w:val="10"/>
                      <w:sz w:val="21"/>
                    </w:rPr>
                    <w:t>，相关台账记录保存期限不应少</w:t>
                  </w:r>
                  <w:r>
                    <w:rPr>
                      <w:rFonts w:hint="default" w:ascii="Times New Roman" w:hAnsi="Times New Roman" w:eastAsia="宋体"/>
                      <w:color w:val="auto"/>
                      <w:spacing w:val="-1"/>
                      <w:sz w:val="21"/>
                    </w:rPr>
                    <w:t>于</w:t>
                  </w:r>
                  <w:r>
                    <w:rPr>
                      <w:rFonts w:hint="default" w:ascii="Times New Roman" w:hAnsi="Times New Roman" w:eastAsia="宋体"/>
                      <w:color w:val="auto"/>
                      <w:spacing w:val="-38"/>
                      <w:sz w:val="21"/>
                    </w:rPr>
                    <w:t xml:space="preserve"> </w:t>
                  </w:r>
                  <w:r>
                    <w:rPr>
                      <w:rFonts w:hint="default" w:ascii="Times New Roman" w:hAnsi="Times New Roman" w:eastAsia="宋体" w:cs="Times New Roman"/>
                      <w:color w:val="auto"/>
                      <w:spacing w:val="-1"/>
                      <w:sz w:val="21"/>
                    </w:rPr>
                    <w:t>5</w:t>
                  </w:r>
                  <w:r>
                    <w:rPr>
                      <w:rFonts w:hint="default" w:ascii="Times New Roman" w:hAnsi="Times New Roman" w:eastAsia="宋体"/>
                      <w:color w:val="auto"/>
                      <w:spacing w:val="-1"/>
                      <w:sz w:val="21"/>
                    </w:rPr>
                    <w:t>年。</w:t>
                  </w:r>
                </w:p>
              </w:tc>
              <w:tc>
                <w:tcPr>
                  <w:tcW w:w="1649" w:type="pct"/>
                  <w:tcBorders>
                    <w:tl2br w:val="nil"/>
                    <w:tr2bl w:val="nil"/>
                  </w:tcBorders>
                  <w:vAlign w:val="top"/>
                </w:tcPr>
                <w:p w14:paraId="1DACB2E2">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2"/>
                      <w:sz w:val="21"/>
                      <w:szCs w:val="24"/>
                      <w:highlight w:val="none"/>
                      <w:lang w:val="en-US" w:eastAsia="zh-CN" w:bidi="ar-SA"/>
                    </w:rPr>
                  </w:pPr>
                </w:p>
                <w:p w14:paraId="2E8C9336">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建设单位应按规范建立易挥发物质购置和使用等相关台账，保存期限不应少于5年。</w:t>
                  </w:r>
                </w:p>
              </w:tc>
              <w:tc>
                <w:tcPr>
                  <w:tcW w:w="909" w:type="dxa"/>
                  <w:tcBorders>
                    <w:tl2br w:val="nil"/>
                    <w:tr2bl w:val="nil"/>
                  </w:tcBorders>
                  <w:vAlign w:val="center"/>
                </w:tcPr>
                <w:p w14:paraId="2C673CD8">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相符</w:t>
                  </w:r>
                </w:p>
              </w:tc>
            </w:tr>
            <w:tr w14:paraId="67A68E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0" w:type="pct"/>
                  <w:tcBorders>
                    <w:tl2br w:val="nil"/>
                    <w:tr2bl w:val="nil"/>
                  </w:tcBorders>
                  <w:vAlign w:val="center"/>
                </w:tcPr>
                <w:p w14:paraId="0D6482DE">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cs="Times New Roman"/>
                      <w:b/>
                      <w:bCs/>
                      <w:color w:val="auto"/>
                      <w:kern w:val="2"/>
                      <w:sz w:val="21"/>
                      <w:szCs w:val="24"/>
                      <w:highlight w:val="none"/>
                      <w:lang w:val="en-US" w:eastAsia="zh-CN" w:bidi="ar-SA"/>
                    </w:rPr>
                    <w:t>13</w:t>
                  </w:r>
                </w:p>
              </w:tc>
              <w:tc>
                <w:tcPr>
                  <w:tcW w:w="309" w:type="pct"/>
                  <w:vMerge w:val="continue"/>
                  <w:tcBorders>
                    <w:tl2br w:val="nil"/>
                    <w:tr2bl w:val="nil"/>
                  </w:tcBorders>
                  <w:vAlign w:val="center"/>
                </w:tcPr>
                <w:p w14:paraId="6186023B">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p>
              </w:tc>
              <w:tc>
                <w:tcPr>
                  <w:tcW w:w="2180" w:type="pct"/>
                  <w:tcBorders>
                    <w:tl2br w:val="nil"/>
                    <w:tr2bl w:val="nil"/>
                  </w:tcBorders>
                  <w:vAlign w:val="top"/>
                </w:tcPr>
                <w:p w14:paraId="706D5AB5">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olor w:val="auto"/>
                      <w:spacing w:val="14"/>
                      <w:sz w:val="21"/>
                    </w:rPr>
                  </w:pPr>
                  <w:r>
                    <w:rPr>
                      <w:rFonts w:hint="default" w:ascii="Times New Roman" w:hAnsi="Times New Roman" w:eastAsia="宋体"/>
                      <w:color w:val="auto"/>
                      <w:spacing w:val="11"/>
                      <w:sz w:val="21"/>
                    </w:rPr>
                    <w:t>易挥发物质应使用密闭容器盛装或储</w:t>
                  </w:r>
                  <w:r>
                    <w:rPr>
                      <w:rFonts w:hint="default" w:ascii="Times New Roman" w:hAnsi="Times New Roman" w:eastAsia="宋体"/>
                      <w:color w:val="auto"/>
                      <w:spacing w:val="9"/>
                      <w:sz w:val="21"/>
                    </w:rPr>
                    <w:t xml:space="preserve"> 存于试剂柜（库）</w:t>
                  </w:r>
                  <w:r>
                    <w:rPr>
                      <w:rFonts w:hint="default" w:ascii="Times New Roman" w:hAnsi="Times New Roman" w:eastAsia="宋体"/>
                      <w:color w:val="auto"/>
                      <w:spacing w:val="-43"/>
                      <w:sz w:val="21"/>
                    </w:rPr>
                    <w:t xml:space="preserve"> </w:t>
                  </w:r>
                  <w:r>
                    <w:rPr>
                      <w:rFonts w:hint="default" w:ascii="Times New Roman" w:hAnsi="Times New Roman" w:eastAsia="宋体"/>
                      <w:color w:val="auto"/>
                      <w:spacing w:val="9"/>
                      <w:sz w:val="21"/>
                    </w:rPr>
                    <w:t>中，并采取措施控制污</w:t>
                  </w:r>
                  <w:r>
                    <w:rPr>
                      <w:rFonts w:hint="default" w:ascii="Times New Roman" w:hAnsi="Times New Roman" w:eastAsia="宋体"/>
                      <w:color w:val="auto"/>
                      <w:spacing w:val="6"/>
                      <w:sz w:val="21"/>
                    </w:rPr>
                    <w:t>染物挥发。</w:t>
                  </w:r>
                </w:p>
              </w:tc>
              <w:tc>
                <w:tcPr>
                  <w:tcW w:w="1649" w:type="pct"/>
                  <w:tcBorders>
                    <w:tl2br w:val="nil"/>
                    <w:tr2bl w:val="nil"/>
                  </w:tcBorders>
                  <w:vAlign w:val="top"/>
                </w:tcPr>
                <w:p w14:paraId="6D3EB35C">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本项目易挥发物质原辅料在非使用状态下密封储存于</w:t>
                  </w:r>
                  <w:r>
                    <w:rPr>
                      <w:rFonts w:hint="eastAsia" w:ascii="Times New Roman" w:hAnsi="Times New Roman" w:eastAsia="宋体" w:cs="Times New Roman"/>
                      <w:color w:val="auto"/>
                      <w:kern w:val="2"/>
                      <w:sz w:val="21"/>
                      <w:szCs w:val="24"/>
                      <w:highlight w:val="none"/>
                      <w:lang w:val="en-US" w:eastAsia="zh-CN" w:bidi="ar-SA"/>
                    </w:rPr>
                    <w:t>试剂耗材仓库</w:t>
                  </w:r>
                  <w:r>
                    <w:rPr>
                      <w:rFonts w:hint="default" w:ascii="Times New Roman" w:hAnsi="Times New Roman" w:eastAsia="宋体" w:cs="Times New Roman"/>
                      <w:color w:val="auto"/>
                      <w:kern w:val="2"/>
                      <w:sz w:val="21"/>
                      <w:szCs w:val="24"/>
                      <w:highlight w:val="none"/>
                      <w:lang w:val="en-US" w:eastAsia="zh-CN" w:bidi="ar-SA"/>
                    </w:rPr>
                    <w:t>，无组织排放量极小。</w:t>
                  </w:r>
                </w:p>
              </w:tc>
              <w:tc>
                <w:tcPr>
                  <w:tcW w:w="909" w:type="dxa"/>
                  <w:tcBorders>
                    <w:tl2br w:val="nil"/>
                    <w:tr2bl w:val="nil"/>
                  </w:tcBorders>
                  <w:vAlign w:val="center"/>
                </w:tcPr>
                <w:p w14:paraId="33B9B194">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相符</w:t>
                  </w:r>
                </w:p>
              </w:tc>
            </w:tr>
            <w:tr w14:paraId="79908E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70" w:type="pct"/>
                  <w:tcBorders>
                    <w:tl2br w:val="nil"/>
                    <w:tr2bl w:val="nil"/>
                  </w:tcBorders>
                  <w:vAlign w:val="center"/>
                </w:tcPr>
                <w:p w14:paraId="2556C255">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cs="Times New Roman"/>
                      <w:b/>
                      <w:bCs/>
                      <w:color w:val="auto"/>
                      <w:kern w:val="2"/>
                      <w:sz w:val="21"/>
                      <w:szCs w:val="24"/>
                      <w:highlight w:val="none"/>
                      <w:lang w:val="en-US" w:eastAsia="zh-CN" w:bidi="ar-SA"/>
                    </w:rPr>
                    <w:t>14</w:t>
                  </w:r>
                </w:p>
              </w:tc>
              <w:tc>
                <w:tcPr>
                  <w:tcW w:w="309" w:type="pct"/>
                  <w:vMerge w:val="continue"/>
                  <w:tcBorders>
                    <w:tl2br w:val="nil"/>
                    <w:tr2bl w:val="nil"/>
                  </w:tcBorders>
                  <w:vAlign w:val="center"/>
                </w:tcPr>
                <w:p w14:paraId="2391C689">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p>
              </w:tc>
              <w:tc>
                <w:tcPr>
                  <w:tcW w:w="2180" w:type="pct"/>
                  <w:tcBorders>
                    <w:tl2br w:val="nil"/>
                    <w:tr2bl w:val="nil"/>
                  </w:tcBorders>
                  <w:vAlign w:val="top"/>
                </w:tcPr>
                <w:p w14:paraId="64E7C50B">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olor w:val="auto"/>
                      <w:spacing w:val="14"/>
                      <w:sz w:val="21"/>
                    </w:rPr>
                  </w:pPr>
                  <w:r>
                    <w:rPr>
                      <w:rFonts w:hint="default" w:ascii="Times New Roman" w:hAnsi="Times New Roman" w:eastAsia="宋体"/>
                      <w:color w:val="auto"/>
                      <w:spacing w:val="12"/>
                      <w:sz w:val="21"/>
                    </w:rPr>
                    <w:t>实验室单位应编制易挥发物质实验操</w:t>
                  </w:r>
                  <w:r>
                    <w:rPr>
                      <w:rFonts w:hint="default" w:ascii="Times New Roman" w:hAnsi="Times New Roman" w:eastAsia="宋体"/>
                      <w:color w:val="auto"/>
                      <w:spacing w:val="1"/>
                      <w:sz w:val="21"/>
                    </w:rPr>
                    <w:t xml:space="preserve"> </w:t>
                  </w:r>
                  <w:r>
                    <w:rPr>
                      <w:rFonts w:hint="default" w:ascii="Times New Roman" w:hAnsi="Times New Roman" w:eastAsia="宋体"/>
                      <w:color w:val="auto"/>
                      <w:spacing w:val="10"/>
                      <w:sz w:val="21"/>
                    </w:rPr>
                    <w:t>作规范</w:t>
                  </w:r>
                  <w:r>
                    <w:rPr>
                      <w:rFonts w:hint="default" w:ascii="Times New Roman" w:hAnsi="Times New Roman" w:eastAsia="宋体"/>
                      <w:color w:val="auto"/>
                      <w:spacing w:val="-60"/>
                      <w:sz w:val="21"/>
                    </w:rPr>
                    <w:t xml:space="preserve"> </w:t>
                  </w:r>
                  <w:r>
                    <w:rPr>
                      <w:rFonts w:hint="default" w:ascii="Times New Roman" w:hAnsi="Times New Roman" w:eastAsia="宋体"/>
                      <w:color w:val="auto"/>
                      <w:spacing w:val="10"/>
                      <w:sz w:val="21"/>
                    </w:rPr>
                    <w:t>﹐涉及易挥发物质使用且具有非密</w:t>
                  </w:r>
                  <w:r>
                    <w:rPr>
                      <w:rFonts w:hint="default" w:ascii="Times New Roman" w:hAnsi="Times New Roman" w:eastAsia="宋体"/>
                      <w:color w:val="auto"/>
                      <w:spacing w:val="12"/>
                      <w:sz w:val="21"/>
                    </w:rPr>
                    <w:t>闭环节的实验操作应在具有废气收集的装</w:t>
                  </w:r>
                  <w:r>
                    <w:rPr>
                      <w:rFonts w:hint="default" w:ascii="Times New Roman" w:hAnsi="Times New Roman" w:eastAsia="宋体"/>
                      <w:color w:val="auto"/>
                      <w:spacing w:val="6"/>
                      <w:sz w:val="21"/>
                    </w:rPr>
                    <w:t>置中进行。</w:t>
                  </w:r>
                </w:p>
              </w:tc>
              <w:tc>
                <w:tcPr>
                  <w:tcW w:w="1649" w:type="pct"/>
                  <w:tcBorders>
                    <w:tl2br w:val="nil"/>
                    <w:tr2bl w:val="nil"/>
                  </w:tcBorders>
                  <w:vAlign w:val="top"/>
                </w:tcPr>
                <w:p w14:paraId="2FD24D0F">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实验过程中原料挥发产生的VOCs经通风橱收集后</w:t>
                  </w:r>
                  <w:r>
                    <w:rPr>
                      <w:rFonts w:hint="eastAsia" w:cs="Times New Roman"/>
                      <w:color w:val="auto"/>
                      <w:kern w:val="2"/>
                      <w:sz w:val="21"/>
                      <w:szCs w:val="24"/>
                      <w:highlight w:val="none"/>
                      <w:lang w:val="en-US" w:eastAsia="zh-CN" w:bidi="ar-SA"/>
                    </w:rPr>
                    <w:t>和经负压排风系统收集的危废间废气一起，</w:t>
                  </w:r>
                  <w:r>
                    <w:rPr>
                      <w:rFonts w:hint="eastAsia" w:ascii="Times New Roman" w:hAnsi="Times New Roman" w:eastAsia="宋体" w:cs="Times New Roman"/>
                      <w:color w:val="auto"/>
                      <w:kern w:val="2"/>
                      <w:sz w:val="21"/>
                      <w:szCs w:val="24"/>
                      <w:highlight w:val="none"/>
                      <w:lang w:val="en-US" w:eastAsia="zh-CN" w:bidi="ar-SA"/>
                    </w:rPr>
                    <w:t>通过二级活性炭吸附装置进行处理，最后通过一根15m高排气筒</w:t>
                  </w:r>
                  <w:r>
                    <w:rPr>
                      <w:rFonts w:hint="eastAsia" w:cs="Times New Roman"/>
                      <w:color w:val="auto"/>
                      <w:kern w:val="2"/>
                      <w:sz w:val="21"/>
                      <w:szCs w:val="24"/>
                      <w:highlight w:val="none"/>
                      <w:lang w:val="en-US" w:eastAsia="zh-CN" w:bidi="ar-SA"/>
                    </w:rPr>
                    <w:t>FQ01</w:t>
                  </w:r>
                  <w:r>
                    <w:rPr>
                      <w:rFonts w:hint="eastAsia" w:ascii="Times New Roman" w:hAnsi="Times New Roman" w:eastAsia="宋体" w:cs="Times New Roman"/>
                      <w:color w:val="auto"/>
                      <w:kern w:val="2"/>
                      <w:sz w:val="21"/>
                      <w:szCs w:val="24"/>
                      <w:highlight w:val="none"/>
                      <w:lang w:val="en-US" w:eastAsia="zh-CN" w:bidi="ar-SA"/>
                    </w:rPr>
                    <w:t>排空</w:t>
                  </w:r>
                  <w:r>
                    <w:rPr>
                      <w:rFonts w:hint="eastAsia" w:cs="Times New Roman"/>
                      <w:color w:val="auto"/>
                      <w:kern w:val="2"/>
                      <w:sz w:val="21"/>
                      <w:szCs w:val="24"/>
                      <w:highlight w:val="none"/>
                      <w:lang w:val="en-US" w:eastAsia="zh-CN" w:bidi="ar-SA"/>
                    </w:rPr>
                    <w:t>。</w:t>
                  </w:r>
                </w:p>
              </w:tc>
              <w:tc>
                <w:tcPr>
                  <w:tcW w:w="909" w:type="dxa"/>
                  <w:tcBorders>
                    <w:tl2br w:val="nil"/>
                    <w:tr2bl w:val="nil"/>
                  </w:tcBorders>
                  <w:vAlign w:val="center"/>
                </w:tcPr>
                <w:p w14:paraId="292AA1D2">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相符</w:t>
                  </w:r>
                </w:p>
              </w:tc>
            </w:tr>
            <w:tr w14:paraId="767CF5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5" w:hRule="atLeast"/>
                <w:jc w:val="center"/>
              </w:trPr>
              <w:tc>
                <w:tcPr>
                  <w:tcW w:w="370" w:type="pct"/>
                  <w:tcBorders>
                    <w:tl2br w:val="nil"/>
                    <w:tr2bl w:val="nil"/>
                  </w:tcBorders>
                  <w:vAlign w:val="center"/>
                </w:tcPr>
                <w:p w14:paraId="042F80FC">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cs="Times New Roman"/>
                      <w:b/>
                      <w:bCs/>
                      <w:color w:val="auto"/>
                      <w:kern w:val="2"/>
                      <w:sz w:val="21"/>
                      <w:szCs w:val="24"/>
                      <w:highlight w:val="none"/>
                      <w:lang w:val="en-US" w:eastAsia="zh-CN" w:bidi="ar-SA"/>
                    </w:rPr>
                    <w:t>15</w:t>
                  </w:r>
                </w:p>
              </w:tc>
              <w:tc>
                <w:tcPr>
                  <w:tcW w:w="309" w:type="pct"/>
                  <w:vMerge w:val="continue"/>
                  <w:tcBorders>
                    <w:tl2br w:val="nil"/>
                    <w:tr2bl w:val="nil"/>
                  </w:tcBorders>
                  <w:vAlign w:val="center"/>
                </w:tcPr>
                <w:p w14:paraId="7B3EB42C">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p>
              </w:tc>
              <w:tc>
                <w:tcPr>
                  <w:tcW w:w="2180" w:type="pct"/>
                  <w:tcBorders>
                    <w:tl2br w:val="nil"/>
                    <w:tr2bl w:val="nil"/>
                  </w:tcBorders>
                  <w:vAlign w:val="top"/>
                </w:tcPr>
                <w:p w14:paraId="0C8EB5F7">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olor w:val="auto"/>
                      <w:spacing w:val="14"/>
                      <w:sz w:val="21"/>
                    </w:rPr>
                  </w:pPr>
                  <w:r>
                    <w:rPr>
                      <w:rFonts w:hint="default" w:ascii="Times New Roman" w:hAnsi="Times New Roman" w:eastAsia="宋体"/>
                      <w:color w:val="auto"/>
                      <w:spacing w:val="12"/>
                      <w:sz w:val="21"/>
                    </w:rPr>
                    <w:t>储存易挥发实验废物的包装容器应加</w:t>
                  </w:r>
                  <w:r>
                    <w:rPr>
                      <w:rFonts w:hint="default" w:ascii="Times New Roman" w:hAnsi="Times New Roman" w:eastAsia="宋体"/>
                      <w:color w:val="auto"/>
                      <w:spacing w:val="7"/>
                      <w:sz w:val="21"/>
                    </w:rPr>
                    <w:t xml:space="preserve"> </w:t>
                  </w:r>
                  <w:r>
                    <w:rPr>
                      <w:rFonts w:hint="default" w:ascii="Times New Roman" w:hAnsi="Times New Roman" w:eastAsia="宋体"/>
                      <w:color w:val="auto"/>
                      <w:spacing w:val="12"/>
                      <w:sz w:val="21"/>
                    </w:rPr>
                    <w:t>盖、封口，保持密闭；储存易挥发实验废</w:t>
                  </w:r>
                  <w:r>
                    <w:rPr>
                      <w:rFonts w:hint="default" w:ascii="Times New Roman" w:hAnsi="Times New Roman" w:eastAsia="宋体"/>
                      <w:color w:val="auto"/>
                      <w:spacing w:val="8"/>
                      <w:sz w:val="21"/>
                    </w:rPr>
                    <w:t>物的仓库应设置废气收集处理设施。</w:t>
                  </w:r>
                </w:p>
              </w:tc>
              <w:tc>
                <w:tcPr>
                  <w:tcW w:w="1649" w:type="pct"/>
                  <w:tcBorders>
                    <w:tl2br w:val="nil"/>
                    <w:tr2bl w:val="nil"/>
                  </w:tcBorders>
                  <w:vAlign w:val="top"/>
                </w:tcPr>
                <w:p w14:paraId="619073B9">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本项目易挥发物质原辅料在非使用状态下密封储存于</w:t>
                  </w:r>
                  <w:r>
                    <w:rPr>
                      <w:rFonts w:hint="eastAsia" w:ascii="Times New Roman" w:hAnsi="Times New Roman" w:eastAsia="宋体" w:cs="Times New Roman"/>
                      <w:color w:val="auto"/>
                      <w:kern w:val="2"/>
                      <w:sz w:val="21"/>
                      <w:szCs w:val="24"/>
                      <w:highlight w:val="none"/>
                      <w:lang w:val="en-US" w:eastAsia="zh-CN" w:bidi="ar-SA"/>
                    </w:rPr>
                    <w:t>试剂耗材仓库</w:t>
                  </w:r>
                  <w:r>
                    <w:rPr>
                      <w:rFonts w:hint="default" w:ascii="Times New Roman" w:hAnsi="Times New Roman" w:eastAsia="宋体" w:cs="Times New Roman"/>
                      <w:color w:val="auto"/>
                      <w:kern w:val="2"/>
                      <w:sz w:val="21"/>
                      <w:szCs w:val="24"/>
                      <w:highlight w:val="none"/>
                      <w:lang w:val="en-US" w:eastAsia="zh-CN" w:bidi="ar-SA"/>
                    </w:rPr>
                    <w:t>，</w:t>
                  </w:r>
                  <w:r>
                    <w:rPr>
                      <w:rFonts w:hint="eastAsia" w:ascii="Times New Roman" w:hAnsi="Times New Roman" w:eastAsia="宋体" w:cs="Times New Roman"/>
                      <w:color w:val="auto"/>
                      <w:kern w:val="2"/>
                      <w:sz w:val="21"/>
                      <w:szCs w:val="24"/>
                      <w:highlight w:val="none"/>
                      <w:lang w:val="en-US" w:eastAsia="zh-CN" w:bidi="ar-SA"/>
                    </w:rPr>
                    <w:t>产生的实验废液、废实验耗材密封储存于危废间，</w:t>
                  </w:r>
                  <w:r>
                    <w:rPr>
                      <w:rFonts w:hint="default" w:ascii="Times New Roman" w:hAnsi="Times New Roman" w:eastAsia="宋体" w:cs="Times New Roman"/>
                      <w:color w:val="auto"/>
                      <w:kern w:val="2"/>
                      <w:sz w:val="21"/>
                      <w:szCs w:val="24"/>
                      <w:highlight w:val="none"/>
                      <w:lang w:val="en-US" w:eastAsia="zh-CN" w:bidi="ar-SA"/>
                    </w:rPr>
                    <w:t>对环境影响极小。</w:t>
                  </w:r>
                </w:p>
              </w:tc>
              <w:tc>
                <w:tcPr>
                  <w:tcW w:w="909" w:type="dxa"/>
                  <w:tcBorders>
                    <w:tl2br w:val="nil"/>
                    <w:tr2bl w:val="nil"/>
                  </w:tcBorders>
                  <w:vAlign w:val="center"/>
                </w:tcPr>
                <w:p w14:paraId="40BFD4B1">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相符</w:t>
                  </w:r>
                </w:p>
              </w:tc>
            </w:tr>
            <w:tr w14:paraId="432B95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5" w:hRule="atLeast"/>
                <w:jc w:val="center"/>
              </w:trPr>
              <w:tc>
                <w:tcPr>
                  <w:tcW w:w="370" w:type="pct"/>
                  <w:tcBorders>
                    <w:tl2br w:val="nil"/>
                    <w:tr2bl w:val="nil"/>
                  </w:tcBorders>
                  <w:vAlign w:val="center"/>
                </w:tcPr>
                <w:p w14:paraId="3D8CF5B1">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cs="Times New Roman"/>
                      <w:b/>
                      <w:bCs/>
                      <w:color w:val="auto"/>
                      <w:kern w:val="2"/>
                      <w:sz w:val="21"/>
                      <w:szCs w:val="24"/>
                      <w:highlight w:val="none"/>
                      <w:lang w:val="en-US" w:eastAsia="zh-CN" w:bidi="ar-SA"/>
                    </w:rPr>
                    <w:t>16</w:t>
                  </w:r>
                </w:p>
              </w:tc>
              <w:tc>
                <w:tcPr>
                  <w:tcW w:w="309" w:type="pct"/>
                  <w:vMerge w:val="restart"/>
                  <w:tcBorders>
                    <w:tl2br w:val="nil"/>
                    <w:tr2bl w:val="nil"/>
                  </w:tcBorders>
                  <w:vAlign w:val="center"/>
                </w:tcPr>
                <w:p w14:paraId="4898CB0E">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b/>
                      <w:bCs/>
                      <w:color w:val="auto"/>
                      <w:spacing w:val="8"/>
                    </w:rPr>
                    <w:t>收</w:t>
                  </w:r>
                  <w:r>
                    <w:rPr>
                      <w:rFonts w:hint="default" w:ascii="Times New Roman" w:hAnsi="Times New Roman" w:eastAsia="宋体"/>
                      <w:b/>
                      <w:bCs/>
                      <w:color w:val="auto"/>
                      <w:spacing w:val="-30"/>
                    </w:rPr>
                    <w:t xml:space="preserve"> </w:t>
                  </w:r>
                  <w:r>
                    <w:rPr>
                      <w:rFonts w:hint="default" w:ascii="Times New Roman" w:hAnsi="Times New Roman" w:eastAsia="宋体"/>
                      <w:b/>
                      <w:bCs/>
                      <w:color w:val="auto"/>
                      <w:spacing w:val="8"/>
                    </w:rPr>
                    <w:t>集</w:t>
                  </w:r>
                  <w:r>
                    <w:rPr>
                      <w:rFonts w:hint="default" w:ascii="Times New Roman" w:hAnsi="Times New Roman" w:eastAsia="宋体"/>
                      <w:b/>
                      <w:bCs/>
                      <w:color w:val="auto"/>
                      <w:spacing w:val="-38"/>
                    </w:rPr>
                    <w:t xml:space="preserve"> </w:t>
                  </w:r>
                  <w:r>
                    <w:rPr>
                      <w:rFonts w:hint="default" w:ascii="Times New Roman" w:hAnsi="Times New Roman" w:eastAsia="宋体"/>
                      <w:b/>
                      <w:bCs/>
                      <w:color w:val="auto"/>
                      <w:spacing w:val="8"/>
                    </w:rPr>
                    <w:t>和</w:t>
                  </w:r>
                  <w:r>
                    <w:rPr>
                      <w:rFonts w:hint="default" w:ascii="Times New Roman" w:hAnsi="Times New Roman" w:eastAsia="宋体"/>
                      <w:b/>
                      <w:bCs/>
                      <w:color w:val="auto"/>
                      <w:spacing w:val="-35"/>
                    </w:rPr>
                    <w:t xml:space="preserve"> </w:t>
                  </w:r>
                  <w:r>
                    <w:rPr>
                      <w:rFonts w:hint="default" w:ascii="Times New Roman" w:hAnsi="Times New Roman" w:eastAsia="宋体"/>
                      <w:b/>
                      <w:bCs/>
                      <w:color w:val="auto"/>
                      <w:spacing w:val="8"/>
                    </w:rPr>
                    <w:t>净</w:t>
                  </w:r>
                  <w:r>
                    <w:rPr>
                      <w:rFonts w:hint="default" w:ascii="Times New Roman" w:hAnsi="Times New Roman" w:eastAsia="宋体"/>
                      <w:b/>
                      <w:bCs/>
                      <w:color w:val="auto"/>
                      <w:spacing w:val="-38"/>
                    </w:rPr>
                    <w:t xml:space="preserve"> </w:t>
                  </w:r>
                  <w:r>
                    <w:rPr>
                      <w:rFonts w:hint="default" w:ascii="Times New Roman" w:hAnsi="Times New Roman" w:eastAsia="宋体"/>
                      <w:b/>
                      <w:bCs/>
                      <w:color w:val="auto"/>
                      <w:spacing w:val="8"/>
                    </w:rPr>
                    <w:t>化</w:t>
                  </w:r>
                  <w:r>
                    <w:rPr>
                      <w:rFonts w:hint="default" w:ascii="Times New Roman" w:hAnsi="Times New Roman" w:eastAsia="宋体"/>
                      <w:b/>
                      <w:bCs/>
                      <w:color w:val="auto"/>
                      <w:spacing w:val="-35"/>
                    </w:rPr>
                    <w:t xml:space="preserve"> </w:t>
                  </w:r>
                  <w:r>
                    <w:rPr>
                      <w:rFonts w:hint="default" w:ascii="Times New Roman" w:hAnsi="Times New Roman" w:eastAsia="宋体"/>
                      <w:b/>
                      <w:bCs/>
                      <w:color w:val="auto"/>
                      <w:spacing w:val="8"/>
                    </w:rPr>
                    <w:t>装</w:t>
                  </w:r>
                  <w:r>
                    <w:rPr>
                      <w:rFonts w:hint="default" w:ascii="Times New Roman" w:hAnsi="Times New Roman" w:eastAsia="宋体"/>
                      <w:b/>
                      <w:bCs/>
                      <w:color w:val="auto"/>
                      <w:spacing w:val="-38"/>
                    </w:rPr>
                    <w:t xml:space="preserve"> </w:t>
                  </w:r>
                  <w:r>
                    <w:rPr>
                      <w:rFonts w:hint="default" w:ascii="Times New Roman" w:hAnsi="Times New Roman" w:eastAsia="宋体"/>
                      <w:b/>
                      <w:bCs/>
                      <w:color w:val="auto"/>
                      <w:spacing w:val="8"/>
                    </w:rPr>
                    <w:t>置</w:t>
                  </w:r>
                  <w:r>
                    <w:rPr>
                      <w:rFonts w:hint="default" w:ascii="Times New Roman" w:hAnsi="Times New Roman" w:eastAsia="宋体"/>
                      <w:b/>
                      <w:bCs/>
                      <w:color w:val="auto"/>
                      <w:spacing w:val="-35"/>
                    </w:rPr>
                    <w:t xml:space="preserve"> </w:t>
                  </w:r>
                  <w:r>
                    <w:rPr>
                      <w:rFonts w:hint="default" w:ascii="Times New Roman" w:hAnsi="Times New Roman" w:eastAsia="宋体"/>
                      <w:b/>
                      <w:bCs/>
                      <w:color w:val="auto"/>
                      <w:spacing w:val="8"/>
                    </w:rPr>
                    <w:t>运</w:t>
                  </w:r>
                  <w:r>
                    <w:rPr>
                      <w:rFonts w:hint="default" w:ascii="Times New Roman" w:hAnsi="Times New Roman" w:eastAsia="宋体"/>
                      <w:b/>
                      <w:bCs/>
                      <w:color w:val="auto"/>
                      <w:spacing w:val="-37"/>
                    </w:rPr>
                    <w:t xml:space="preserve"> </w:t>
                  </w:r>
                  <w:r>
                    <w:rPr>
                      <w:rFonts w:hint="default" w:ascii="Times New Roman" w:hAnsi="Times New Roman" w:eastAsia="宋体"/>
                      <w:b/>
                      <w:bCs/>
                      <w:color w:val="auto"/>
                      <w:spacing w:val="8"/>
                    </w:rPr>
                    <w:t>行</w:t>
                  </w:r>
                  <w:r>
                    <w:rPr>
                      <w:rFonts w:hint="default" w:ascii="Times New Roman" w:hAnsi="Times New Roman" w:eastAsia="宋体"/>
                      <w:b/>
                      <w:bCs/>
                      <w:color w:val="auto"/>
                      <w:spacing w:val="-36"/>
                    </w:rPr>
                    <w:t xml:space="preserve"> </w:t>
                  </w:r>
                  <w:r>
                    <w:rPr>
                      <w:rFonts w:hint="default" w:ascii="Times New Roman" w:hAnsi="Times New Roman" w:eastAsia="宋体"/>
                      <w:b/>
                      <w:bCs/>
                      <w:color w:val="auto"/>
                      <w:spacing w:val="8"/>
                    </w:rPr>
                    <w:t>维</w:t>
                  </w:r>
                  <w:r>
                    <w:rPr>
                      <w:rFonts w:hint="default" w:ascii="Times New Roman" w:hAnsi="Times New Roman" w:eastAsia="宋体"/>
                      <w:b/>
                      <w:bCs/>
                      <w:color w:val="auto"/>
                      <w:spacing w:val="-37"/>
                    </w:rPr>
                    <w:t xml:space="preserve"> </w:t>
                  </w:r>
                  <w:r>
                    <w:rPr>
                      <w:rFonts w:hint="default" w:ascii="Times New Roman" w:hAnsi="Times New Roman" w:eastAsia="宋体"/>
                      <w:b/>
                      <w:bCs/>
                      <w:color w:val="auto"/>
                      <w:spacing w:val="8"/>
                    </w:rPr>
                    <w:t>护</w:t>
                  </w:r>
                </w:p>
              </w:tc>
              <w:tc>
                <w:tcPr>
                  <w:tcW w:w="2180" w:type="pct"/>
                  <w:tcBorders>
                    <w:tl2br w:val="nil"/>
                    <w:tr2bl w:val="nil"/>
                  </w:tcBorders>
                  <w:vAlign w:val="top"/>
                </w:tcPr>
                <w:p w14:paraId="4264FD61">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olor w:val="auto"/>
                      <w:spacing w:val="14"/>
                      <w:sz w:val="21"/>
                    </w:rPr>
                  </w:pPr>
                  <w:r>
                    <w:rPr>
                      <w:rFonts w:hint="default" w:ascii="Times New Roman" w:hAnsi="Times New Roman" w:eastAsia="宋体"/>
                      <w:color w:val="auto"/>
                      <w:spacing w:val="12"/>
                      <w:sz w:val="21"/>
                    </w:rPr>
                    <w:t>废气收集和净化装置应在产生废气的</w:t>
                  </w:r>
                  <w:r>
                    <w:rPr>
                      <w:rFonts w:hint="default" w:ascii="Times New Roman" w:hAnsi="Times New Roman" w:eastAsia="宋体"/>
                      <w:color w:val="auto"/>
                      <w:spacing w:val="7"/>
                      <w:sz w:val="21"/>
                    </w:rPr>
                    <w:t xml:space="preserve"> </w:t>
                  </w:r>
                  <w:r>
                    <w:rPr>
                      <w:rFonts w:hint="default" w:ascii="Times New Roman" w:hAnsi="Times New Roman" w:eastAsia="宋体"/>
                      <w:color w:val="auto"/>
                      <w:spacing w:val="12"/>
                      <w:sz w:val="21"/>
                    </w:rPr>
                    <w:t>实验前开启，实验结束后应保证实验废气</w:t>
                  </w:r>
                  <w:r>
                    <w:rPr>
                      <w:rFonts w:hint="default" w:ascii="Times New Roman" w:hAnsi="Times New Roman" w:eastAsia="宋体"/>
                      <w:color w:val="auto"/>
                      <w:spacing w:val="2"/>
                      <w:sz w:val="21"/>
                    </w:rPr>
                    <w:t xml:space="preserve"> </w:t>
                  </w:r>
                  <w:r>
                    <w:rPr>
                      <w:rFonts w:hint="default" w:ascii="Times New Roman" w:hAnsi="Times New Roman" w:eastAsia="宋体"/>
                      <w:color w:val="auto"/>
                      <w:spacing w:val="12"/>
                      <w:sz w:val="21"/>
                    </w:rPr>
                    <w:t>处理完全再停机，并实现收集和净化装与实验设施运行的联动控制。收集和净化装置运行过程中发生故障，应及时停用检</w:t>
                  </w:r>
                  <w:r>
                    <w:rPr>
                      <w:rFonts w:hint="default" w:ascii="Times New Roman" w:hAnsi="Times New Roman" w:eastAsia="宋体"/>
                      <w:color w:val="auto"/>
                      <w:sz w:val="21"/>
                    </w:rPr>
                    <w:t>修。</w:t>
                  </w:r>
                </w:p>
              </w:tc>
              <w:tc>
                <w:tcPr>
                  <w:tcW w:w="1649" w:type="pct"/>
                  <w:tcBorders>
                    <w:tl2br w:val="nil"/>
                    <w:tr2bl w:val="nil"/>
                  </w:tcBorders>
                  <w:vAlign w:val="top"/>
                </w:tcPr>
                <w:p w14:paraId="224134EA">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本项目活性炭吸附装置和收集装置同启同停，收集和净化装置运行过程中发生故障，应及时停用检修。</w:t>
                  </w:r>
                </w:p>
              </w:tc>
              <w:tc>
                <w:tcPr>
                  <w:tcW w:w="909" w:type="dxa"/>
                  <w:tcBorders>
                    <w:tl2br w:val="nil"/>
                    <w:tr2bl w:val="nil"/>
                  </w:tcBorders>
                  <w:vAlign w:val="center"/>
                </w:tcPr>
                <w:p w14:paraId="4649A4F8">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相符</w:t>
                  </w:r>
                </w:p>
              </w:tc>
            </w:tr>
            <w:tr w14:paraId="5CE0A1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370" w:type="pct"/>
                  <w:tcBorders>
                    <w:tl2br w:val="nil"/>
                    <w:tr2bl w:val="nil"/>
                  </w:tcBorders>
                  <w:vAlign w:val="center"/>
                </w:tcPr>
                <w:p w14:paraId="23408E4A">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cs="Times New Roman"/>
                      <w:b/>
                      <w:bCs/>
                      <w:color w:val="auto"/>
                      <w:kern w:val="2"/>
                      <w:sz w:val="21"/>
                      <w:szCs w:val="24"/>
                      <w:highlight w:val="none"/>
                      <w:lang w:val="en-US" w:eastAsia="zh-CN" w:bidi="ar-SA"/>
                    </w:rPr>
                    <w:t>17</w:t>
                  </w:r>
                </w:p>
              </w:tc>
              <w:tc>
                <w:tcPr>
                  <w:tcW w:w="309" w:type="pct"/>
                  <w:vMerge w:val="continue"/>
                  <w:tcBorders>
                    <w:tl2br w:val="nil"/>
                    <w:tr2bl w:val="nil"/>
                  </w:tcBorders>
                  <w:vAlign w:val="center"/>
                </w:tcPr>
                <w:p w14:paraId="31EF0273">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p>
              </w:tc>
              <w:tc>
                <w:tcPr>
                  <w:tcW w:w="2180" w:type="pct"/>
                  <w:tcBorders>
                    <w:tl2br w:val="nil"/>
                    <w:tr2bl w:val="nil"/>
                  </w:tcBorders>
                  <w:vAlign w:val="top"/>
                </w:tcPr>
                <w:p w14:paraId="03E3D71A">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olor w:val="auto"/>
                      <w:spacing w:val="14"/>
                      <w:sz w:val="21"/>
                    </w:rPr>
                  </w:pPr>
                  <w:r>
                    <w:rPr>
                      <w:rFonts w:hint="default" w:ascii="Times New Roman" w:hAnsi="Times New Roman" w:eastAsia="宋体"/>
                      <w:color w:val="auto"/>
                      <w:spacing w:val="12"/>
                      <w:sz w:val="21"/>
                    </w:rPr>
                    <w:t>实验室单位应采用受影响人员易于获</w:t>
                  </w:r>
                  <w:r>
                    <w:rPr>
                      <w:rFonts w:hint="default" w:ascii="Times New Roman" w:hAnsi="Times New Roman" w:eastAsia="宋体"/>
                      <w:color w:val="auto"/>
                      <w:spacing w:val="1"/>
                      <w:sz w:val="21"/>
                    </w:rPr>
                    <w:t xml:space="preserve"> </w:t>
                  </w:r>
                  <w:r>
                    <w:rPr>
                      <w:rFonts w:hint="default" w:ascii="Times New Roman" w:hAnsi="Times New Roman" w:eastAsia="宋体"/>
                      <w:color w:val="auto"/>
                      <w:spacing w:val="12"/>
                      <w:sz w:val="21"/>
                    </w:rPr>
                    <w:t>悉的方式及时公示吸附剂更换信息﹐包括更换日期、更换量、生产厂家、关键品质</w:t>
                  </w:r>
                  <w:r>
                    <w:rPr>
                      <w:rFonts w:hint="default" w:ascii="Times New Roman" w:hAnsi="Times New Roman" w:eastAsia="宋体"/>
                      <w:color w:val="auto"/>
                      <w:spacing w:val="7"/>
                      <w:sz w:val="21"/>
                    </w:rPr>
                    <w:t>参数及相关人员等信息。</w:t>
                  </w:r>
                </w:p>
              </w:tc>
              <w:tc>
                <w:tcPr>
                  <w:tcW w:w="1649" w:type="pct"/>
                  <w:tcBorders>
                    <w:tl2br w:val="nil"/>
                    <w:tr2bl w:val="nil"/>
                  </w:tcBorders>
                  <w:vAlign w:val="top"/>
                </w:tcPr>
                <w:p w14:paraId="59DF9156">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本项目应及时公示吸附剂更换信息﹐包括更换日期、更换量、生 产厂家、关键品质参数及相关人员等信息。</w:t>
                  </w:r>
                </w:p>
              </w:tc>
              <w:tc>
                <w:tcPr>
                  <w:tcW w:w="909" w:type="dxa"/>
                  <w:tcBorders>
                    <w:tl2br w:val="nil"/>
                    <w:tr2bl w:val="nil"/>
                  </w:tcBorders>
                  <w:vAlign w:val="center"/>
                </w:tcPr>
                <w:p w14:paraId="6B9304F8">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相符</w:t>
                  </w:r>
                </w:p>
              </w:tc>
            </w:tr>
            <w:tr w14:paraId="3848E4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370" w:type="pct"/>
                  <w:tcBorders>
                    <w:tl2br w:val="nil"/>
                    <w:tr2bl w:val="nil"/>
                  </w:tcBorders>
                  <w:vAlign w:val="center"/>
                </w:tcPr>
                <w:p w14:paraId="0BB124E7">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cs="Times New Roman"/>
                      <w:b/>
                      <w:bCs/>
                      <w:color w:val="auto"/>
                      <w:kern w:val="2"/>
                      <w:sz w:val="21"/>
                      <w:szCs w:val="24"/>
                      <w:highlight w:val="none"/>
                      <w:lang w:val="en-US" w:eastAsia="zh-CN" w:bidi="ar-SA"/>
                    </w:rPr>
                    <w:t>18</w:t>
                  </w:r>
                </w:p>
              </w:tc>
              <w:tc>
                <w:tcPr>
                  <w:tcW w:w="309" w:type="pct"/>
                  <w:vMerge w:val="continue"/>
                  <w:tcBorders>
                    <w:tl2br w:val="nil"/>
                    <w:tr2bl w:val="nil"/>
                  </w:tcBorders>
                  <w:vAlign w:val="center"/>
                </w:tcPr>
                <w:p w14:paraId="6877C097">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p>
              </w:tc>
              <w:tc>
                <w:tcPr>
                  <w:tcW w:w="2180" w:type="pct"/>
                  <w:tcBorders>
                    <w:tl2br w:val="nil"/>
                    <w:tr2bl w:val="nil"/>
                  </w:tcBorders>
                  <w:vAlign w:val="top"/>
                </w:tcPr>
                <w:p w14:paraId="1AA7653A">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olor w:val="auto"/>
                      <w:spacing w:val="14"/>
                      <w:sz w:val="21"/>
                    </w:rPr>
                  </w:pPr>
                  <w:r>
                    <w:rPr>
                      <w:rFonts w:hint="default" w:ascii="Times New Roman" w:hAnsi="Times New Roman" w:eastAsia="宋体"/>
                      <w:color w:val="auto"/>
                      <w:spacing w:val="12"/>
                      <w:sz w:val="21"/>
                    </w:rPr>
                    <w:t>废气净化装置产生的废吸收液和吸附</w:t>
                  </w:r>
                  <w:r>
                    <w:rPr>
                      <w:rFonts w:hint="default" w:ascii="Times New Roman" w:hAnsi="Times New Roman" w:eastAsia="宋体"/>
                      <w:color w:val="auto"/>
                      <w:spacing w:val="7"/>
                      <w:sz w:val="21"/>
                    </w:rPr>
                    <w:t xml:space="preserve"> </w:t>
                  </w:r>
                  <w:r>
                    <w:rPr>
                      <w:rFonts w:hint="default" w:ascii="Times New Roman" w:hAnsi="Times New Roman" w:eastAsia="宋体"/>
                      <w:color w:val="auto"/>
                      <w:spacing w:val="24"/>
                      <w:sz w:val="21"/>
                    </w:rPr>
                    <w:t>剂再生时产生的废气应进行规范收集处</w:t>
                  </w:r>
                </w:p>
              </w:tc>
              <w:tc>
                <w:tcPr>
                  <w:tcW w:w="1649" w:type="pct"/>
                  <w:tcBorders>
                    <w:tl2br w:val="nil"/>
                    <w:tr2bl w:val="nil"/>
                  </w:tcBorders>
                  <w:vAlign w:val="top"/>
                </w:tcPr>
                <w:p w14:paraId="2A5C6594">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本项目废气处理装置产生的废活性炭，定期委托有资质单位处置。</w:t>
                  </w:r>
                </w:p>
              </w:tc>
              <w:tc>
                <w:tcPr>
                  <w:tcW w:w="909" w:type="dxa"/>
                  <w:tcBorders>
                    <w:tl2br w:val="nil"/>
                    <w:tr2bl w:val="nil"/>
                  </w:tcBorders>
                  <w:vAlign w:val="center"/>
                </w:tcPr>
                <w:p w14:paraId="05C7E5A1">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相符</w:t>
                  </w:r>
                </w:p>
              </w:tc>
            </w:tr>
            <w:tr w14:paraId="05A6E8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70" w:type="pct"/>
                  <w:tcBorders>
                    <w:tl2br w:val="nil"/>
                    <w:tr2bl w:val="nil"/>
                  </w:tcBorders>
                  <w:vAlign w:val="center"/>
                </w:tcPr>
                <w:p w14:paraId="7EDB4FDE">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cs="Times New Roman"/>
                      <w:b/>
                      <w:bCs/>
                      <w:color w:val="auto"/>
                      <w:kern w:val="2"/>
                      <w:sz w:val="21"/>
                      <w:szCs w:val="24"/>
                      <w:highlight w:val="none"/>
                      <w:lang w:val="en-US" w:eastAsia="zh-CN" w:bidi="ar-SA"/>
                    </w:rPr>
                    <w:t>19</w:t>
                  </w:r>
                </w:p>
              </w:tc>
              <w:tc>
                <w:tcPr>
                  <w:tcW w:w="309" w:type="pct"/>
                  <w:vMerge w:val="continue"/>
                  <w:tcBorders>
                    <w:tl2br w:val="nil"/>
                    <w:tr2bl w:val="nil"/>
                  </w:tcBorders>
                  <w:vAlign w:val="center"/>
                </w:tcPr>
                <w:p w14:paraId="73061DE2">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p>
              </w:tc>
              <w:tc>
                <w:tcPr>
                  <w:tcW w:w="2180" w:type="pct"/>
                  <w:tcBorders>
                    <w:tl2br w:val="nil"/>
                    <w:tr2bl w:val="nil"/>
                  </w:tcBorders>
                  <w:vAlign w:val="top"/>
                </w:tcPr>
                <w:p w14:paraId="3F049D4D">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olor w:val="auto"/>
                      <w:spacing w:val="14"/>
                      <w:sz w:val="21"/>
                    </w:rPr>
                  </w:pPr>
                  <w:r>
                    <w:rPr>
                      <w:rFonts w:hint="default" w:ascii="Times New Roman" w:hAnsi="Times New Roman" w:eastAsia="宋体"/>
                      <w:color w:val="auto"/>
                      <w:spacing w:val="12"/>
                      <w:sz w:val="21"/>
                    </w:rPr>
                    <w:t>废气收集和净化装置应采取措施降低</w:t>
                  </w:r>
                  <w:r>
                    <w:rPr>
                      <w:rFonts w:hint="default" w:ascii="Times New Roman" w:hAnsi="Times New Roman" w:eastAsia="宋体"/>
                      <w:color w:val="auto"/>
                      <w:spacing w:val="7"/>
                      <w:sz w:val="21"/>
                    </w:rPr>
                    <w:t xml:space="preserve"> 噪声和振动对环境的影响。</w:t>
                  </w:r>
                </w:p>
              </w:tc>
              <w:tc>
                <w:tcPr>
                  <w:tcW w:w="1649" w:type="pct"/>
                  <w:tcBorders>
                    <w:tl2br w:val="nil"/>
                    <w:tr2bl w:val="nil"/>
                  </w:tcBorders>
                  <w:vAlign w:val="top"/>
                </w:tcPr>
                <w:p w14:paraId="325CD8BD">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本项目活性炭吸附装置和收集装置应使用低噪、减振设备，降低</w:t>
                  </w:r>
                  <w:r>
                    <w:rPr>
                      <w:rFonts w:hint="eastAsia" w:ascii="Times New Roman" w:hAnsi="Times New Roman" w:eastAsia="宋体" w:cs="Times New Roman"/>
                      <w:color w:val="auto"/>
                      <w:kern w:val="2"/>
                      <w:sz w:val="21"/>
                      <w:szCs w:val="24"/>
                      <w:highlight w:val="none"/>
                      <w:lang w:val="en-US" w:eastAsia="zh-CN" w:bidi="ar-SA"/>
                    </w:rPr>
                    <w:t>对</w:t>
                  </w:r>
                  <w:r>
                    <w:rPr>
                      <w:rFonts w:hint="default" w:ascii="Times New Roman" w:hAnsi="Times New Roman" w:eastAsia="宋体" w:cs="Times New Roman"/>
                      <w:color w:val="auto"/>
                      <w:kern w:val="2"/>
                      <w:sz w:val="21"/>
                      <w:szCs w:val="24"/>
                      <w:highlight w:val="none"/>
                      <w:lang w:val="en-US" w:eastAsia="zh-CN" w:bidi="ar-SA"/>
                    </w:rPr>
                    <w:t>环境的影响。</w:t>
                  </w:r>
                </w:p>
              </w:tc>
              <w:tc>
                <w:tcPr>
                  <w:tcW w:w="909" w:type="dxa"/>
                  <w:tcBorders>
                    <w:tl2br w:val="nil"/>
                    <w:tr2bl w:val="nil"/>
                  </w:tcBorders>
                  <w:vAlign w:val="center"/>
                </w:tcPr>
                <w:p w14:paraId="5773EEA6">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相符</w:t>
                  </w:r>
                </w:p>
              </w:tc>
            </w:tr>
            <w:tr w14:paraId="29F177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370" w:type="pct"/>
                  <w:tcBorders>
                    <w:tl2br w:val="nil"/>
                    <w:tr2bl w:val="nil"/>
                  </w:tcBorders>
                  <w:vAlign w:val="center"/>
                </w:tcPr>
                <w:p w14:paraId="588404ED">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cs="Times New Roman"/>
                      <w:b/>
                      <w:bCs/>
                      <w:color w:val="auto"/>
                      <w:kern w:val="2"/>
                      <w:sz w:val="21"/>
                      <w:szCs w:val="24"/>
                      <w:highlight w:val="none"/>
                      <w:lang w:val="en-US" w:eastAsia="zh-CN" w:bidi="ar-SA"/>
                    </w:rPr>
                    <w:t>20</w:t>
                  </w:r>
                </w:p>
              </w:tc>
              <w:tc>
                <w:tcPr>
                  <w:tcW w:w="309" w:type="pct"/>
                  <w:vMerge w:val="continue"/>
                  <w:tcBorders>
                    <w:tl2br w:val="nil"/>
                    <w:tr2bl w:val="nil"/>
                  </w:tcBorders>
                  <w:vAlign w:val="center"/>
                </w:tcPr>
                <w:p w14:paraId="0960D83C">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p>
              </w:tc>
              <w:tc>
                <w:tcPr>
                  <w:tcW w:w="2180" w:type="pct"/>
                  <w:tcBorders>
                    <w:tl2br w:val="nil"/>
                    <w:tr2bl w:val="nil"/>
                  </w:tcBorders>
                  <w:vAlign w:val="top"/>
                </w:tcPr>
                <w:p w14:paraId="3C735F56">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olor w:val="auto"/>
                      <w:spacing w:val="14"/>
                      <w:sz w:val="21"/>
                    </w:rPr>
                  </w:pPr>
                  <w:r>
                    <w:rPr>
                      <w:rFonts w:hint="default" w:ascii="Times New Roman" w:hAnsi="Times New Roman" w:eastAsia="宋体"/>
                      <w:color w:val="auto"/>
                      <w:spacing w:val="9"/>
                      <w:sz w:val="21"/>
                    </w:rPr>
                    <w:t>废气净化装置产生的危险废物，应按</w:t>
                  </w:r>
                  <w:r>
                    <w:rPr>
                      <w:rFonts w:hint="default" w:ascii="Times New Roman" w:hAnsi="Times New Roman" w:eastAsia="宋体"/>
                      <w:color w:val="auto"/>
                      <w:spacing w:val="7"/>
                      <w:sz w:val="21"/>
                    </w:rPr>
                    <w:t xml:space="preserve"> </w:t>
                  </w:r>
                  <w:r>
                    <w:rPr>
                      <w:rFonts w:hint="default" w:ascii="Times New Roman" w:hAnsi="Times New Roman" w:eastAsia="宋体" w:cs="Times New Roman"/>
                      <w:color w:val="auto"/>
                      <w:sz w:val="21"/>
                    </w:rPr>
                    <w:t>GB</w:t>
                  </w:r>
                  <w:r>
                    <w:rPr>
                      <w:rFonts w:hint="default" w:ascii="Times New Roman" w:hAnsi="Times New Roman" w:eastAsia="宋体" w:cs="Times New Roman"/>
                      <w:color w:val="auto"/>
                      <w:spacing w:val="29"/>
                      <w:w w:val="101"/>
                      <w:sz w:val="21"/>
                    </w:rPr>
                    <w:t xml:space="preserve"> </w:t>
                  </w:r>
                  <w:r>
                    <w:rPr>
                      <w:rFonts w:hint="default" w:ascii="Times New Roman" w:hAnsi="Times New Roman" w:eastAsia="宋体" w:cs="Times New Roman"/>
                      <w:color w:val="auto"/>
                      <w:spacing w:val="6"/>
                      <w:sz w:val="21"/>
                    </w:rPr>
                    <w:t xml:space="preserve">18597 </w:t>
                  </w:r>
                  <w:r>
                    <w:rPr>
                      <w:rFonts w:hint="default" w:ascii="Times New Roman" w:hAnsi="Times New Roman" w:eastAsia="宋体"/>
                      <w:color w:val="auto"/>
                      <w:spacing w:val="6"/>
                      <w:sz w:val="21"/>
                    </w:rPr>
                    <w:t>和</w:t>
                  </w:r>
                  <w:r>
                    <w:rPr>
                      <w:rFonts w:hint="default" w:ascii="Times New Roman" w:hAnsi="Times New Roman" w:eastAsia="宋体"/>
                      <w:color w:val="auto"/>
                      <w:spacing w:val="-42"/>
                      <w:sz w:val="21"/>
                    </w:rPr>
                    <w:t xml:space="preserve"> </w:t>
                  </w:r>
                  <w:r>
                    <w:rPr>
                      <w:rFonts w:hint="default" w:ascii="Times New Roman" w:hAnsi="Times New Roman" w:eastAsia="宋体" w:cs="Times New Roman"/>
                      <w:color w:val="auto"/>
                      <w:sz w:val="21"/>
                    </w:rPr>
                    <w:t>HJ</w:t>
                  </w:r>
                  <w:r>
                    <w:rPr>
                      <w:rFonts w:hint="default" w:ascii="Times New Roman" w:hAnsi="Times New Roman" w:eastAsia="宋体" w:cs="Times New Roman"/>
                      <w:color w:val="auto"/>
                      <w:spacing w:val="6"/>
                      <w:sz w:val="21"/>
                    </w:rPr>
                    <w:t xml:space="preserve"> 2025 </w:t>
                  </w:r>
                  <w:r>
                    <w:rPr>
                      <w:rFonts w:hint="default" w:ascii="Times New Roman" w:hAnsi="Times New Roman" w:eastAsia="宋体"/>
                      <w:color w:val="auto"/>
                      <w:spacing w:val="6"/>
                      <w:sz w:val="21"/>
                    </w:rPr>
                    <w:t>等危险废物贮存、转</w:t>
                  </w:r>
                  <w:r>
                    <w:rPr>
                      <w:rFonts w:hint="default" w:ascii="Times New Roman" w:hAnsi="Times New Roman" w:eastAsia="宋体"/>
                      <w:color w:val="auto"/>
                      <w:sz w:val="21"/>
                    </w:rPr>
                    <w:t xml:space="preserve"> </w:t>
                  </w:r>
                  <w:r>
                    <w:rPr>
                      <w:rFonts w:hint="default" w:ascii="Times New Roman" w:hAnsi="Times New Roman" w:eastAsia="宋体"/>
                      <w:color w:val="auto"/>
                      <w:spacing w:val="8"/>
                      <w:sz w:val="21"/>
                    </w:rPr>
                    <w:t>移、处置等相关要求进行环境管理。</w:t>
                  </w:r>
                </w:p>
              </w:tc>
              <w:tc>
                <w:tcPr>
                  <w:tcW w:w="1649" w:type="pct"/>
                  <w:tcBorders>
                    <w:tl2br w:val="nil"/>
                    <w:tr2bl w:val="nil"/>
                  </w:tcBorders>
                  <w:vAlign w:val="top"/>
                </w:tcPr>
                <w:p w14:paraId="5570FFC1">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本项目废气处理装置产生的废活性炭和废过滤器，定期委托有</w:t>
                  </w:r>
                  <w:r>
                    <w:rPr>
                      <w:rFonts w:hint="eastAsia" w:ascii="Times New Roman" w:hAnsi="Times New Roman" w:eastAsia="宋体" w:cs="Times New Roman"/>
                      <w:color w:val="auto"/>
                      <w:kern w:val="2"/>
                      <w:sz w:val="21"/>
                      <w:szCs w:val="24"/>
                      <w:highlight w:val="none"/>
                      <w:lang w:val="en-US" w:eastAsia="zh-CN" w:bidi="ar-SA"/>
                    </w:rPr>
                    <w:t>资</w:t>
                  </w:r>
                  <w:r>
                    <w:rPr>
                      <w:rFonts w:hint="default" w:ascii="Times New Roman" w:hAnsi="Times New Roman" w:eastAsia="宋体" w:cs="Times New Roman"/>
                      <w:color w:val="auto"/>
                      <w:kern w:val="2"/>
                      <w:sz w:val="21"/>
                      <w:szCs w:val="24"/>
                      <w:highlight w:val="none"/>
                      <w:lang w:val="en-US" w:eastAsia="zh-CN" w:bidi="ar-SA"/>
                    </w:rPr>
                    <w:t>质单位处置。</w:t>
                  </w:r>
                </w:p>
              </w:tc>
              <w:tc>
                <w:tcPr>
                  <w:tcW w:w="909" w:type="dxa"/>
                  <w:tcBorders>
                    <w:tl2br w:val="nil"/>
                    <w:tr2bl w:val="nil"/>
                  </w:tcBorders>
                  <w:vAlign w:val="center"/>
                </w:tcPr>
                <w:p w14:paraId="3B62B444">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相符</w:t>
                  </w:r>
                </w:p>
              </w:tc>
            </w:tr>
            <w:tr w14:paraId="2D38DB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370" w:type="pct"/>
                  <w:tcBorders>
                    <w:tl2br w:val="nil"/>
                    <w:tr2bl w:val="nil"/>
                  </w:tcBorders>
                  <w:vAlign w:val="center"/>
                </w:tcPr>
                <w:p w14:paraId="5F6F96A6">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eastAsia"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cs="Times New Roman"/>
                      <w:b/>
                      <w:bCs/>
                      <w:color w:val="auto"/>
                      <w:kern w:val="2"/>
                      <w:sz w:val="21"/>
                      <w:szCs w:val="24"/>
                      <w:highlight w:val="none"/>
                      <w:lang w:val="en-US" w:eastAsia="zh-CN" w:bidi="ar-SA"/>
                    </w:rPr>
                    <w:t>21</w:t>
                  </w:r>
                </w:p>
              </w:tc>
              <w:tc>
                <w:tcPr>
                  <w:tcW w:w="309" w:type="pct"/>
                  <w:vMerge w:val="continue"/>
                  <w:tcBorders>
                    <w:tl2br w:val="nil"/>
                    <w:tr2bl w:val="nil"/>
                  </w:tcBorders>
                  <w:vAlign w:val="center"/>
                </w:tcPr>
                <w:p w14:paraId="306DF32B">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p>
              </w:tc>
              <w:tc>
                <w:tcPr>
                  <w:tcW w:w="2180" w:type="pct"/>
                  <w:tcBorders>
                    <w:tl2br w:val="nil"/>
                    <w:tr2bl w:val="nil"/>
                  </w:tcBorders>
                  <w:vAlign w:val="top"/>
                </w:tcPr>
                <w:p w14:paraId="5C01668B">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olor w:val="auto"/>
                      <w:spacing w:val="14"/>
                      <w:sz w:val="21"/>
                    </w:rPr>
                  </w:pPr>
                  <w:r>
                    <w:rPr>
                      <w:rFonts w:hint="default" w:ascii="Times New Roman" w:hAnsi="Times New Roman" w:eastAsia="宋体"/>
                      <w:color w:val="auto"/>
                      <w:spacing w:val="12"/>
                      <w:sz w:val="21"/>
                    </w:rPr>
                    <w:t>实验室单位应将收集和净化装置的管</w:t>
                  </w:r>
                  <w:r>
                    <w:rPr>
                      <w:rFonts w:hint="default" w:ascii="Times New Roman" w:hAnsi="Times New Roman" w:eastAsia="宋体"/>
                      <w:color w:val="auto"/>
                      <w:spacing w:val="1"/>
                      <w:sz w:val="21"/>
                    </w:rPr>
                    <w:t xml:space="preserve"> </w:t>
                  </w:r>
                  <w:r>
                    <w:rPr>
                      <w:rFonts w:hint="default" w:ascii="Times New Roman" w:hAnsi="Times New Roman" w:eastAsia="宋体"/>
                      <w:color w:val="auto"/>
                      <w:spacing w:val="12"/>
                      <w:sz w:val="21"/>
                    </w:rPr>
                    <w:t>理纳入日常管理中，对管理和技术人员进</w:t>
                  </w:r>
                  <w:r>
                    <w:rPr>
                      <w:rFonts w:hint="default" w:ascii="Times New Roman" w:hAnsi="Times New Roman" w:eastAsia="宋体"/>
                      <w:color w:val="auto"/>
                      <w:spacing w:val="2"/>
                      <w:sz w:val="21"/>
                    </w:rPr>
                    <w:t xml:space="preserve"> </w:t>
                  </w:r>
                  <w:r>
                    <w:rPr>
                      <w:rFonts w:hint="default" w:ascii="Times New Roman" w:hAnsi="Times New Roman" w:eastAsia="宋体"/>
                      <w:color w:val="auto"/>
                      <w:spacing w:val="12"/>
                      <w:sz w:val="21"/>
                    </w:rPr>
                    <w:t>行培训，掌握必要的运行管理知识和应急</w:t>
                  </w:r>
                  <w:r>
                    <w:rPr>
                      <w:rFonts w:hint="default" w:ascii="Times New Roman" w:hAnsi="Times New Roman" w:eastAsia="宋体"/>
                      <w:color w:val="auto"/>
                      <w:spacing w:val="2"/>
                      <w:sz w:val="21"/>
                    </w:rPr>
                    <w:t xml:space="preserve"> </w:t>
                  </w:r>
                  <w:r>
                    <w:rPr>
                      <w:rFonts w:hint="default" w:ascii="Times New Roman" w:hAnsi="Times New Roman" w:eastAsia="宋体"/>
                      <w:color w:val="auto"/>
                      <w:spacing w:val="7"/>
                      <w:sz w:val="21"/>
                    </w:rPr>
                    <w:t>情况下的处理措施。</w:t>
                  </w:r>
                </w:p>
              </w:tc>
              <w:tc>
                <w:tcPr>
                  <w:tcW w:w="1649" w:type="pct"/>
                  <w:vMerge w:val="restart"/>
                  <w:tcBorders>
                    <w:tl2br w:val="nil"/>
                    <w:tr2bl w:val="nil"/>
                  </w:tcBorders>
                  <w:vAlign w:val="center"/>
                </w:tcPr>
                <w:p w14:paraId="7D90C92E">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本项目应建立对废气处理装置和废气收集装置的日常管理，并建立相应的运行、维护和操作规程以及相关台账制度，定期对废气处理装置和废气收集装置进行维护保养，确保设施正常稳定运行，并按要求定期开展废气</w:t>
                  </w:r>
                </w:p>
                <w:p w14:paraId="544C1F12">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的监测。</w:t>
                  </w:r>
                </w:p>
              </w:tc>
              <w:tc>
                <w:tcPr>
                  <w:tcW w:w="909" w:type="dxa"/>
                  <w:tcBorders>
                    <w:tl2br w:val="nil"/>
                    <w:tr2bl w:val="nil"/>
                  </w:tcBorders>
                  <w:vAlign w:val="center"/>
                </w:tcPr>
                <w:p w14:paraId="6EF19D1F">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相符</w:t>
                  </w:r>
                </w:p>
              </w:tc>
            </w:tr>
            <w:tr w14:paraId="1DC1D5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0" w:hRule="atLeast"/>
                <w:jc w:val="center"/>
              </w:trPr>
              <w:tc>
                <w:tcPr>
                  <w:tcW w:w="370" w:type="pct"/>
                  <w:tcBorders>
                    <w:tl2br w:val="nil"/>
                    <w:tr2bl w:val="nil"/>
                  </w:tcBorders>
                  <w:vAlign w:val="center"/>
                </w:tcPr>
                <w:p w14:paraId="7DF04FB0">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cs="Times New Roman"/>
                      <w:b/>
                      <w:bCs/>
                      <w:color w:val="auto"/>
                      <w:kern w:val="2"/>
                      <w:sz w:val="21"/>
                      <w:szCs w:val="24"/>
                      <w:highlight w:val="none"/>
                      <w:lang w:val="en-US" w:eastAsia="zh-CN" w:bidi="ar-SA"/>
                    </w:rPr>
                    <w:t>22</w:t>
                  </w:r>
                </w:p>
              </w:tc>
              <w:tc>
                <w:tcPr>
                  <w:tcW w:w="309" w:type="pct"/>
                  <w:vMerge w:val="continue"/>
                  <w:tcBorders>
                    <w:tl2br w:val="nil"/>
                    <w:tr2bl w:val="nil"/>
                  </w:tcBorders>
                  <w:vAlign w:val="center"/>
                </w:tcPr>
                <w:p w14:paraId="34EBC0B7">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p>
              </w:tc>
              <w:tc>
                <w:tcPr>
                  <w:tcW w:w="2180" w:type="pct"/>
                  <w:tcBorders>
                    <w:tl2br w:val="nil"/>
                    <w:tr2bl w:val="nil"/>
                  </w:tcBorders>
                  <w:vAlign w:val="top"/>
                </w:tcPr>
                <w:p w14:paraId="3CA85B39">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olor w:val="auto"/>
                      <w:spacing w:val="14"/>
                      <w:sz w:val="21"/>
                    </w:rPr>
                  </w:pPr>
                  <w:r>
                    <w:rPr>
                      <w:rFonts w:hint="default" w:ascii="Times New Roman" w:hAnsi="Times New Roman" w:eastAsia="宋体"/>
                      <w:color w:val="auto"/>
                      <w:spacing w:val="12"/>
                      <w:sz w:val="21"/>
                    </w:rPr>
                    <w:t>实验室单位应建立收集和净化装置的</w:t>
                  </w:r>
                  <w:r>
                    <w:rPr>
                      <w:rFonts w:hint="default" w:ascii="Times New Roman" w:hAnsi="Times New Roman" w:eastAsia="宋体"/>
                      <w:color w:val="auto"/>
                      <w:spacing w:val="1"/>
                      <w:sz w:val="21"/>
                    </w:rPr>
                    <w:t xml:space="preserve"> </w:t>
                  </w:r>
                  <w:r>
                    <w:rPr>
                      <w:rFonts w:hint="default" w:ascii="Times New Roman" w:hAnsi="Times New Roman" w:eastAsia="宋体"/>
                      <w:color w:val="auto"/>
                      <w:spacing w:val="4"/>
                      <w:sz w:val="21"/>
                    </w:rPr>
                    <w:t>运行、维护和操作规程以及相关台账制度，</w:t>
                  </w:r>
                  <w:r>
                    <w:rPr>
                      <w:rFonts w:hint="default" w:ascii="Times New Roman" w:hAnsi="Times New Roman" w:eastAsia="宋体"/>
                      <w:color w:val="auto"/>
                      <w:spacing w:val="12"/>
                      <w:sz w:val="21"/>
                    </w:rPr>
                    <w:t>明确设施的检查周期，相关台账主要记录</w:t>
                  </w:r>
                  <w:r>
                    <w:rPr>
                      <w:rFonts w:hint="default" w:ascii="Times New Roman" w:hAnsi="Times New Roman" w:eastAsia="宋体"/>
                      <w:color w:val="auto"/>
                      <w:spacing w:val="4"/>
                      <w:sz w:val="21"/>
                    </w:rPr>
                    <w:t xml:space="preserve"> </w:t>
                  </w:r>
                  <w:r>
                    <w:rPr>
                      <w:rFonts w:hint="default" w:ascii="Times New Roman" w:hAnsi="Times New Roman" w:eastAsia="宋体"/>
                      <w:color w:val="auto"/>
                      <w:spacing w:val="10"/>
                      <w:sz w:val="21"/>
                    </w:rPr>
                    <w:t>内容（见附录</w:t>
                  </w:r>
                  <w:r>
                    <w:rPr>
                      <w:rFonts w:hint="default" w:ascii="Times New Roman" w:hAnsi="Times New Roman" w:eastAsia="宋体" w:cs="Times New Roman"/>
                      <w:color w:val="auto"/>
                      <w:spacing w:val="10"/>
                      <w:sz w:val="21"/>
                    </w:rPr>
                    <w:t>C</w:t>
                  </w:r>
                  <w:r>
                    <w:rPr>
                      <w:rFonts w:hint="default" w:ascii="Times New Roman" w:hAnsi="Times New Roman" w:eastAsia="宋体"/>
                      <w:color w:val="auto"/>
                      <w:spacing w:val="10"/>
                      <w:sz w:val="21"/>
                    </w:rPr>
                    <w:t>）包括：</w:t>
                  </w:r>
                  <w:r>
                    <w:rPr>
                      <w:rFonts w:hint="default" w:ascii="Times New Roman" w:hAnsi="Times New Roman" w:eastAsia="宋体" w:cs="Times New Roman"/>
                      <w:color w:val="auto"/>
                      <w:spacing w:val="10"/>
                      <w:sz w:val="21"/>
                    </w:rPr>
                    <w:t>a</w:t>
                  </w:r>
                  <w:r>
                    <w:rPr>
                      <w:rFonts w:hint="default" w:ascii="Times New Roman" w:hAnsi="Times New Roman" w:eastAsia="宋体"/>
                      <w:color w:val="auto"/>
                      <w:spacing w:val="10"/>
                      <w:sz w:val="21"/>
                    </w:rPr>
                    <w:t>）收集和净化装</w:t>
                  </w:r>
                  <w:r>
                    <w:rPr>
                      <w:rFonts w:hint="default" w:ascii="Times New Roman" w:hAnsi="Times New Roman" w:eastAsia="宋体"/>
                      <w:color w:val="auto"/>
                      <w:spacing w:val="6"/>
                      <w:sz w:val="21"/>
                    </w:rPr>
                    <w:t>置的启动、停止时间；</w:t>
                  </w:r>
                  <w:r>
                    <w:rPr>
                      <w:rFonts w:hint="default" w:ascii="Times New Roman" w:hAnsi="Times New Roman" w:eastAsia="宋体" w:cs="Times New Roman"/>
                      <w:color w:val="auto"/>
                      <w:spacing w:val="6"/>
                      <w:sz w:val="21"/>
                    </w:rPr>
                    <w:t>b</w:t>
                  </w:r>
                  <w:r>
                    <w:rPr>
                      <w:rFonts w:hint="default" w:ascii="Times New Roman" w:hAnsi="Times New Roman" w:eastAsia="宋体"/>
                      <w:color w:val="auto"/>
                      <w:spacing w:val="6"/>
                      <w:sz w:val="21"/>
                    </w:rPr>
                    <w:t>）吸附剂和吸收液 等更换时间﹔</w:t>
                  </w:r>
                  <w:r>
                    <w:rPr>
                      <w:rFonts w:hint="default" w:ascii="Times New Roman" w:hAnsi="Times New Roman" w:eastAsia="宋体" w:cs="Times New Roman"/>
                      <w:color w:val="auto"/>
                      <w:spacing w:val="6"/>
                      <w:sz w:val="21"/>
                    </w:rPr>
                    <w:t>c</w:t>
                  </w:r>
                  <w:r>
                    <w:rPr>
                      <w:rFonts w:hint="default" w:ascii="Times New Roman" w:hAnsi="Times New Roman" w:eastAsia="宋体"/>
                      <w:color w:val="auto"/>
                      <w:spacing w:val="6"/>
                      <w:sz w:val="21"/>
                    </w:rPr>
                    <w:t>）净化装置运行工艺控制参</w:t>
                  </w:r>
                  <w:r>
                    <w:rPr>
                      <w:rFonts w:hint="default" w:ascii="Times New Roman" w:hAnsi="Times New Roman" w:eastAsia="宋体"/>
                      <w:color w:val="auto"/>
                      <w:spacing w:val="17"/>
                      <w:sz w:val="21"/>
                    </w:rPr>
                    <w:t xml:space="preserve"> </w:t>
                  </w:r>
                  <w:r>
                    <w:rPr>
                      <w:rFonts w:hint="default" w:ascii="Times New Roman" w:hAnsi="Times New Roman" w:eastAsia="宋体"/>
                      <w:color w:val="auto"/>
                      <w:spacing w:val="9"/>
                      <w:sz w:val="21"/>
                    </w:rPr>
                    <w:t>数﹔</w:t>
                  </w:r>
                  <w:r>
                    <w:rPr>
                      <w:rFonts w:hint="default" w:ascii="Times New Roman" w:hAnsi="Times New Roman" w:eastAsia="宋体" w:cs="Times New Roman"/>
                      <w:color w:val="auto"/>
                      <w:spacing w:val="9"/>
                      <w:sz w:val="21"/>
                    </w:rPr>
                    <w:t xml:space="preserve">d </w:t>
                  </w:r>
                  <w:r>
                    <w:rPr>
                      <w:rFonts w:hint="default" w:ascii="Times New Roman" w:hAnsi="Times New Roman" w:eastAsia="宋体"/>
                      <w:color w:val="auto"/>
                      <w:spacing w:val="9"/>
                      <w:sz w:val="21"/>
                    </w:rPr>
                    <w:t>主要设备维护情况；</w:t>
                  </w:r>
                  <w:r>
                    <w:rPr>
                      <w:rFonts w:hint="default" w:ascii="Times New Roman" w:hAnsi="Times New Roman" w:eastAsia="宋体" w:cs="Times New Roman"/>
                      <w:color w:val="auto"/>
                      <w:spacing w:val="9"/>
                      <w:sz w:val="21"/>
                    </w:rPr>
                    <w:t>e</w:t>
                  </w:r>
                  <w:r>
                    <w:rPr>
                      <w:rFonts w:hint="default" w:ascii="Times New Roman" w:hAnsi="Times New Roman" w:eastAsia="宋体"/>
                      <w:color w:val="auto"/>
                      <w:spacing w:val="9"/>
                      <w:sz w:val="21"/>
                    </w:rPr>
                    <w:t>）运行故障及</w:t>
                  </w:r>
                  <w:r>
                    <w:rPr>
                      <w:rFonts w:hint="default" w:ascii="Times New Roman" w:hAnsi="Times New Roman" w:eastAsia="宋体"/>
                      <w:color w:val="auto"/>
                      <w:spacing w:val="6"/>
                      <w:sz w:val="21"/>
                    </w:rPr>
                    <w:t>维修情况。</w:t>
                  </w:r>
                </w:p>
              </w:tc>
              <w:tc>
                <w:tcPr>
                  <w:tcW w:w="1649" w:type="pct"/>
                  <w:vMerge w:val="continue"/>
                  <w:tcBorders>
                    <w:tl2br w:val="nil"/>
                    <w:tr2bl w:val="nil"/>
                  </w:tcBorders>
                  <w:vAlign w:val="center"/>
                </w:tcPr>
                <w:p w14:paraId="752ABBD1">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p>
              </w:tc>
              <w:tc>
                <w:tcPr>
                  <w:tcW w:w="909" w:type="dxa"/>
                  <w:tcBorders>
                    <w:tl2br w:val="nil"/>
                    <w:tr2bl w:val="nil"/>
                  </w:tcBorders>
                  <w:vAlign w:val="center"/>
                </w:tcPr>
                <w:p w14:paraId="4FE77AF9">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相符</w:t>
                  </w:r>
                </w:p>
              </w:tc>
            </w:tr>
            <w:tr w14:paraId="194D9B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370" w:type="pct"/>
                  <w:tcBorders>
                    <w:tl2br w:val="nil"/>
                    <w:tr2bl w:val="nil"/>
                  </w:tcBorders>
                  <w:vAlign w:val="center"/>
                </w:tcPr>
                <w:p w14:paraId="26DF7E60">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cs="Times New Roman"/>
                      <w:b/>
                      <w:bCs/>
                      <w:color w:val="auto"/>
                      <w:kern w:val="2"/>
                      <w:sz w:val="21"/>
                      <w:szCs w:val="24"/>
                      <w:highlight w:val="none"/>
                      <w:lang w:val="en-US" w:eastAsia="zh-CN" w:bidi="ar-SA"/>
                    </w:rPr>
                    <w:t>23</w:t>
                  </w:r>
                </w:p>
              </w:tc>
              <w:tc>
                <w:tcPr>
                  <w:tcW w:w="309" w:type="pct"/>
                  <w:vMerge w:val="continue"/>
                  <w:tcBorders>
                    <w:tl2br w:val="nil"/>
                    <w:tr2bl w:val="nil"/>
                  </w:tcBorders>
                  <w:vAlign w:val="center"/>
                </w:tcPr>
                <w:p w14:paraId="4FA9444B">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p>
              </w:tc>
              <w:tc>
                <w:tcPr>
                  <w:tcW w:w="2180" w:type="pct"/>
                  <w:tcBorders>
                    <w:tl2br w:val="nil"/>
                    <w:tr2bl w:val="nil"/>
                  </w:tcBorders>
                  <w:vAlign w:val="top"/>
                </w:tcPr>
                <w:p w14:paraId="7F78773D">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olor w:val="auto"/>
                      <w:spacing w:val="14"/>
                      <w:sz w:val="21"/>
                    </w:rPr>
                  </w:pPr>
                  <w:r>
                    <w:rPr>
                      <w:rFonts w:hint="default" w:ascii="Times New Roman" w:hAnsi="Times New Roman" w:eastAsia="宋体"/>
                      <w:color w:val="auto"/>
                      <w:spacing w:val="12"/>
                      <w:sz w:val="21"/>
                    </w:rPr>
                    <w:t>实验室单位应保证实验室废气收集和</w:t>
                  </w:r>
                  <w:r>
                    <w:rPr>
                      <w:rFonts w:hint="default" w:ascii="Times New Roman" w:hAnsi="Times New Roman" w:eastAsia="宋体"/>
                      <w:color w:val="auto"/>
                      <w:spacing w:val="1"/>
                      <w:sz w:val="21"/>
                    </w:rPr>
                    <w:t xml:space="preserve"> </w:t>
                  </w:r>
                  <w:r>
                    <w:rPr>
                      <w:rFonts w:hint="default" w:ascii="Times New Roman" w:hAnsi="Times New Roman" w:eastAsia="宋体"/>
                      <w:color w:val="auto"/>
                      <w:spacing w:val="12"/>
                      <w:sz w:val="21"/>
                    </w:rPr>
                    <w:t>净化装置正常运行，在条件许可的情况下</w:t>
                  </w:r>
                  <w:r>
                    <w:rPr>
                      <w:rFonts w:hint="default" w:ascii="Times New Roman" w:hAnsi="Times New Roman" w:eastAsia="宋体"/>
                      <w:color w:val="auto"/>
                      <w:spacing w:val="8"/>
                      <w:sz w:val="21"/>
                    </w:rPr>
                    <w:t>可委托第三方进行专业化运维。</w:t>
                  </w:r>
                </w:p>
              </w:tc>
              <w:tc>
                <w:tcPr>
                  <w:tcW w:w="1649" w:type="pct"/>
                  <w:vMerge w:val="continue"/>
                  <w:tcBorders>
                    <w:tl2br w:val="nil"/>
                    <w:tr2bl w:val="nil"/>
                  </w:tcBorders>
                  <w:vAlign w:val="center"/>
                </w:tcPr>
                <w:p w14:paraId="77319D78">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p>
              </w:tc>
              <w:tc>
                <w:tcPr>
                  <w:tcW w:w="490" w:type="pct"/>
                  <w:tcBorders>
                    <w:tl2br w:val="nil"/>
                    <w:tr2bl w:val="nil"/>
                  </w:tcBorders>
                  <w:vAlign w:val="center"/>
                </w:tcPr>
                <w:p w14:paraId="71D6EF7F">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相符</w:t>
                  </w:r>
                </w:p>
              </w:tc>
            </w:tr>
          </w:tbl>
          <w:p w14:paraId="7C55C4E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val="0"/>
                <w:color w:val="auto"/>
                <w:sz w:val="24"/>
                <w:highlight w:val="none"/>
                <w:lang w:eastAsia="zh-CN"/>
              </w:rPr>
            </w:pPr>
            <w:r>
              <w:rPr>
                <w:rFonts w:hint="eastAsia" w:ascii="Times New Roman" w:hAnsi="Times New Roman" w:eastAsia="宋体" w:cs="Times New Roman"/>
                <w:b/>
                <w:bCs w:val="0"/>
                <w:color w:val="auto"/>
                <w:sz w:val="24"/>
                <w:highlight w:val="none"/>
                <w:lang w:val="en-US" w:eastAsia="zh-CN"/>
              </w:rPr>
              <w:t>（4）</w:t>
            </w:r>
            <w:r>
              <w:rPr>
                <w:rFonts w:hint="eastAsia" w:ascii="Times New Roman" w:hAnsi="Times New Roman" w:eastAsia="宋体" w:cs="Times New Roman"/>
                <w:b/>
                <w:bCs w:val="0"/>
                <w:color w:val="auto"/>
                <w:sz w:val="24"/>
                <w:highlight w:val="none"/>
                <w:lang w:eastAsia="zh-CN"/>
              </w:rPr>
              <w:t>、与《关于进一步加强实验室危险废物管理工作的通知》（苏环办[2020]284 号）</w:t>
            </w:r>
          </w:p>
          <w:p w14:paraId="19CDFEA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Times New Roman" w:hAnsi="Times New Roman" w:eastAsia="宋体" w:cs="Times New Roman"/>
                <w:b/>
                <w:bCs w:val="0"/>
                <w:color w:val="auto"/>
                <w:sz w:val="24"/>
                <w:highlight w:val="none"/>
                <w:lang w:eastAsia="zh-CN"/>
              </w:rPr>
            </w:pPr>
            <w:r>
              <w:rPr>
                <w:rFonts w:hint="eastAsia" w:ascii="Times New Roman" w:hAnsi="Times New Roman" w:eastAsia="宋体" w:cs="Times New Roman"/>
                <w:b/>
                <w:bCs w:val="0"/>
                <w:color w:val="auto"/>
                <w:sz w:val="24"/>
                <w:highlight w:val="none"/>
                <w:lang w:eastAsia="zh-CN"/>
              </w:rPr>
              <w:t>相符性分析</w:t>
            </w:r>
          </w:p>
          <w:p w14:paraId="2BA089D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181" w:firstLineChars="75"/>
              <w:jc w:val="center"/>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宋体"/>
                <w:b/>
                <w:bCs/>
                <w:color w:val="auto"/>
                <w:kern w:val="2"/>
                <w:sz w:val="24"/>
                <w:szCs w:val="24"/>
                <w:lang w:val="en-US" w:eastAsia="zh-CN" w:bidi="ar-SA"/>
              </w:rPr>
              <w:t>表1-</w:t>
            </w:r>
            <w:r>
              <w:rPr>
                <w:rFonts w:hint="eastAsia" w:ascii="Times New Roman" w:hAnsi="Times New Roman" w:eastAsia="宋体" w:cs="宋体"/>
                <w:b/>
                <w:bCs/>
                <w:color w:val="auto"/>
                <w:kern w:val="2"/>
                <w:sz w:val="24"/>
                <w:szCs w:val="24"/>
                <w:lang w:val="en-US" w:eastAsia="zh-CN" w:bidi="ar-SA"/>
              </w:rPr>
              <w:t xml:space="preserve">14  </w:t>
            </w:r>
            <w:r>
              <w:rPr>
                <w:rFonts w:hint="default" w:ascii="Times New Roman" w:hAnsi="Times New Roman" w:eastAsia="宋体" w:cs="Times New Roman"/>
                <w:b/>
                <w:bCs/>
                <w:color w:val="auto"/>
                <w:sz w:val="24"/>
                <w:highlight w:val="none"/>
              </w:rPr>
              <w:t>本项目与</w:t>
            </w:r>
            <w:r>
              <w:rPr>
                <w:rFonts w:hint="eastAsia" w:ascii="Times New Roman" w:hAnsi="Times New Roman" w:eastAsia="宋体" w:cs="Times New Roman"/>
                <w:b/>
                <w:bCs/>
                <w:color w:val="auto"/>
                <w:sz w:val="24"/>
                <w:highlight w:val="none"/>
                <w:lang w:eastAsia="zh-CN"/>
              </w:rPr>
              <w:t>《</w:t>
            </w:r>
            <w:r>
              <w:rPr>
                <w:rFonts w:hint="eastAsia" w:ascii="Times New Roman" w:hAnsi="Times New Roman" w:eastAsia="宋体" w:cs="Times New Roman"/>
                <w:b/>
                <w:bCs/>
                <w:color w:val="auto"/>
                <w:sz w:val="24"/>
                <w:highlight w:val="none"/>
                <w:lang w:val="en-US" w:eastAsia="zh-CN"/>
              </w:rPr>
              <w:t>关于进一步加强实验室危险废物管理工作的通知</w:t>
            </w:r>
            <w:r>
              <w:rPr>
                <w:rFonts w:hint="eastAsia"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rPr>
              <w:t>的相符性分析</w:t>
            </w:r>
            <w:r>
              <w:rPr>
                <w:rFonts w:hint="eastAsia" w:ascii="Times New Roman" w:hAnsi="Times New Roman" w:eastAsia="宋体" w:cs="Times New Roman"/>
                <w:b/>
                <w:bCs/>
                <w:color w:val="auto"/>
                <w:sz w:val="24"/>
                <w:highlight w:val="none"/>
              </w:rPr>
              <w:t>一</w:t>
            </w:r>
            <w:r>
              <w:rPr>
                <w:rFonts w:hint="default" w:ascii="Times New Roman" w:hAnsi="Times New Roman" w:eastAsia="宋体" w:cs="Times New Roman"/>
                <w:b/>
                <w:bCs/>
                <w:color w:val="auto"/>
                <w:sz w:val="24"/>
                <w:highlight w:val="none"/>
              </w:rPr>
              <w:t>览表</w:t>
            </w:r>
          </w:p>
          <w:tbl>
            <w:tblPr>
              <w:tblStyle w:val="2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9"/>
              <w:gridCol w:w="638"/>
              <w:gridCol w:w="4025"/>
              <w:gridCol w:w="3043"/>
              <w:gridCol w:w="892"/>
            </w:tblGrid>
            <w:tr w14:paraId="332453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1" w:type="pct"/>
                  <w:tcBorders>
                    <w:tl2br w:val="nil"/>
                    <w:tr2bl w:val="nil"/>
                  </w:tcBorders>
                  <w:vAlign w:val="center"/>
                </w:tcPr>
                <w:p w14:paraId="34E90634">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cs="Times New Roman"/>
                      <w:b/>
                      <w:bCs/>
                      <w:color w:val="auto"/>
                      <w:kern w:val="2"/>
                      <w:sz w:val="21"/>
                      <w:szCs w:val="24"/>
                      <w:highlight w:val="none"/>
                      <w:lang w:val="en-US" w:eastAsia="zh-CN" w:bidi="ar-SA"/>
                    </w:rPr>
                    <w:t>序号</w:t>
                  </w:r>
                </w:p>
              </w:tc>
              <w:tc>
                <w:tcPr>
                  <w:tcW w:w="2515" w:type="pct"/>
                  <w:gridSpan w:val="2"/>
                  <w:tcBorders>
                    <w:tl2br w:val="nil"/>
                    <w:tr2bl w:val="nil"/>
                  </w:tcBorders>
                  <w:vAlign w:val="center"/>
                </w:tcPr>
                <w:p w14:paraId="611902DD">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cs="Times New Roman"/>
                      <w:b/>
                      <w:bCs/>
                      <w:color w:val="auto"/>
                      <w:kern w:val="2"/>
                      <w:sz w:val="21"/>
                      <w:szCs w:val="24"/>
                      <w:highlight w:val="none"/>
                      <w:lang w:val="en-US" w:eastAsia="zh-CN" w:bidi="ar-SA"/>
                    </w:rPr>
                    <w:t>规范要求</w:t>
                  </w:r>
                </w:p>
              </w:tc>
              <w:tc>
                <w:tcPr>
                  <w:tcW w:w="1641" w:type="pct"/>
                  <w:tcBorders>
                    <w:tl2br w:val="nil"/>
                    <w:tr2bl w:val="nil"/>
                  </w:tcBorders>
                  <w:vAlign w:val="center"/>
                </w:tcPr>
                <w:p w14:paraId="3D18911B">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本项目情况</w:t>
                  </w:r>
                </w:p>
              </w:tc>
              <w:tc>
                <w:tcPr>
                  <w:tcW w:w="481" w:type="pct"/>
                  <w:tcBorders>
                    <w:tl2br w:val="nil"/>
                    <w:tr2bl w:val="nil"/>
                  </w:tcBorders>
                  <w:vAlign w:val="center"/>
                </w:tcPr>
                <w:p w14:paraId="198D4B94">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相符性</w:t>
                  </w:r>
                </w:p>
              </w:tc>
            </w:tr>
            <w:tr w14:paraId="27CCD3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4" w:hRule="atLeast"/>
                <w:jc w:val="center"/>
              </w:trPr>
              <w:tc>
                <w:tcPr>
                  <w:tcW w:w="361" w:type="pct"/>
                  <w:tcBorders>
                    <w:tl2br w:val="nil"/>
                    <w:tr2bl w:val="nil"/>
                  </w:tcBorders>
                  <w:vAlign w:val="center"/>
                </w:tcPr>
                <w:p w14:paraId="300A32C9">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cs="Times New Roman"/>
                      <w:b/>
                      <w:bCs/>
                      <w:color w:val="auto"/>
                      <w:kern w:val="2"/>
                      <w:sz w:val="21"/>
                      <w:szCs w:val="24"/>
                      <w:highlight w:val="none"/>
                      <w:lang w:val="en-US" w:eastAsia="zh-CN" w:bidi="ar-SA"/>
                    </w:rPr>
                    <w:t>1</w:t>
                  </w:r>
                </w:p>
              </w:tc>
              <w:tc>
                <w:tcPr>
                  <w:tcW w:w="344" w:type="pct"/>
                  <w:vMerge w:val="restart"/>
                  <w:tcBorders>
                    <w:tl2br w:val="nil"/>
                    <w:tr2bl w:val="nil"/>
                  </w:tcBorders>
                  <w:vAlign w:val="center"/>
                </w:tcPr>
                <w:p w14:paraId="2452F883">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明确 主体</w:t>
                  </w:r>
                </w:p>
                <w:p w14:paraId="02DDBCBF">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责  任， 加强 源头 管理</w:t>
                  </w:r>
                </w:p>
              </w:tc>
              <w:tc>
                <w:tcPr>
                  <w:tcW w:w="2171" w:type="pct"/>
                  <w:tcBorders>
                    <w:tl2br w:val="nil"/>
                    <w:tr2bl w:val="nil"/>
                  </w:tcBorders>
                  <w:vAlign w:val="center"/>
                </w:tcPr>
                <w:p w14:paraId="12CF444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（一）强化信息申报。实验室危险废物是指在 教学、研究、开发和检测活动中,化学和生物等 实验室产生的具有危险特性的固体废物（不包 括医疗废物，实验动物尸体及相关废弃物，危 险特性尚未确定的废物，涉及生物安全和疾病防治的其他废物）。各级教育、科研、医疗卫生、检测机构等实验室及其设立单位(以下简称产废单位)是实验室危险废物全过程环境管理的责任主体。各产废单位应加强实验室危险废 物基础信息管理，根据相关法律法规并对照环评审批文件，结合教学科研实际，理清产废环节，摸清危险废物产生种类、数量、危险特性、包装方式、贮存设施以及委托处置等情况，并登录省危险废物动态管理信息系统填报</w:t>
                  </w:r>
                  <w:r>
                    <w:rPr>
                      <w:rFonts w:hint="eastAsia" w:ascii="Times New Roman" w:hAnsi="Times New Roman" w:eastAsia="宋体" w:cs="Times New Roman"/>
                      <w:color w:val="auto"/>
                      <w:kern w:val="2"/>
                      <w:sz w:val="21"/>
                      <w:szCs w:val="24"/>
                      <w:highlight w:val="none"/>
                      <w:lang w:val="en-US" w:eastAsia="zh-CN" w:bidi="ar-SA"/>
                    </w:rPr>
                    <w:t>相关信息。</w:t>
                  </w:r>
                </w:p>
              </w:tc>
              <w:tc>
                <w:tcPr>
                  <w:tcW w:w="1641" w:type="pct"/>
                  <w:tcBorders>
                    <w:tl2br w:val="nil"/>
                    <w:tr2bl w:val="nil"/>
                  </w:tcBorders>
                  <w:vAlign w:val="center"/>
                </w:tcPr>
                <w:p w14:paraId="0481A716">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本项目建设单位作为本项目危废管理的责任主体，按要求记录并申报危废产生种类、数量、</w:t>
                  </w:r>
                  <w:r>
                    <w:rPr>
                      <w:rFonts w:hint="eastAsia" w:ascii="Times New Roman" w:hAnsi="Times New Roman" w:eastAsia="宋体" w:cs="Times New Roman"/>
                      <w:color w:val="auto"/>
                      <w:kern w:val="2"/>
                      <w:sz w:val="21"/>
                      <w:szCs w:val="24"/>
                      <w:highlight w:val="none"/>
                      <w:lang w:val="en-US" w:eastAsia="zh-CN" w:bidi="ar-SA"/>
                    </w:rPr>
                    <w:t>危险</w:t>
                  </w:r>
                  <w:r>
                    <w:rPr>
                      <w:rFonts w:hint="default" w:ascii="Times New Roman" w:hAnsi="Times New Roman" w:eastAsia="宋体" w:cs="Times New Roman"/>
                      <w:color w:val="auto"/>
                      <w:kern w:val="2"/>
                      <w:sz w:val="21"/>
                      <w:szCs w:val="24"/>
                      <w:highlight w:val="none"/>
                      <w:lang w:val="en-US" w:eastAsia="zh-CN" w:bidi="ar-SA"/>
                    </w:rPr>
                    <w:t>特性、包装方式、贮存设施以及委托处置等情况。</w:t>
                  </w:r>
                </w:p>
              </w:tc>
              <w:tc>
                <w:tcPr>
                  <w:tcW w:w="481" w:type="pct"/>
                  <w:tcBorders>
                    <w:tl2br w:val="nil"/>
                    <w:tr2bl w:val="nil"/>
                  </w:tcBorders>
                  <w:vAlign w:val="center"/>
                </w:tcPr>
                <w:p w14:paraId="1EAE2D70">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相符</w:t>
                  </w:r>
                </w:p>
              </w:tc>
            </w:tr>
            <w:tr w14:paraId="74EA04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361" w:type="pct"/>
                  <w:tcBorders>
                    <w:tl2br w:val="nil"/>
                    <w:tr2bl w:val="nil"/>
                  </w:tcBorders>
                  <w:vAlign w:val="center"/>
                </w:tcPr>
                <w:p w14:paraId="108A27F3">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cs="Times New Roman"/>
                      <w:b/>
                      <w:bCs/>
                      <w:color w:val="auto"/>
                      <w:kern w:val="2"/>
                      <w:sz w:val="21"/>
                      <w:szCs w:val="24"/>
                      <w:highlight w:val="none"/>
                      <w:lang w:val="en-US" w:eastAsia="zh-CN" w:bidi="ar-SA"/>
                    </w:rPr>
                    <w:t>2</w:t>
                  </w:r>
                </w:p>
              </w:tc>
              <w:tc>
                <w:tcPr>
                  <w:tcW w:w="344" w:type="pct"/>
                  <w:vMerge w:val="continue"/>
                  <w:tcBorders>
                    <w:tl2br w:val="nil"/>
                    <w:tr2bl w:val="nil"/>
                  </w:tcBorders>
                  <w:vAlign w:val="center"/>
                </w:tcPr>
                <w:p w14:paraId="2D64B5FC">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p>
              </w:tc>
              <w:tc>
                <w:tcPr>
                  <w:tcW w:w="2171" w:type="pct"/>
                  <w:tcBorders>
                    <w:tl2br w:val="nil"/>
                    <w:tr2bl w:val="nil"/>
                  </w:tcBorders>
                  <w:vAlign w:val="center"/>
                </w:tcPr>
                <w:p w14:paraId="4CE19D6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（二）加强源头分类。各产废单位要按照《实 验 室 废 弃 化 学 品 收 集 技 术 规 范 》 (GB/T31190-2014) 、《危险废物贮存污染控制 标准》(GB18597-2001)等国家有关要求做好源头分类工作，建设规范且满足防渗防漏需求的贮存设施。要建立实验室危险废物分类收集管理制度，制定内部收集流程、分类判定方法包装标签要求以及相应的台账记录体系；分类应 遵循安全性、可操作性和经济性原则，满足收集、贮存和委托处置的需要。要按照相关法律 法规要求执行危险废物申报登记、管理计划备案、转移联单等管理制度，做到分类收集贮存、依法委托处置。对长期贮存的实验室废物,各产废单位应尽快摸清底数，检测理化性质、明确 危险特性，进行分类分质，委托有资质单位进行利用处置。</w:t>
                  </w:r>
                </w:p>
              </w:tc>
              <w:tc>
                <w:tcPr>
                  <w:tcW w:w="1641" w:type="pct"/>
                  <w:tcBorders>
                    <w:tl2br w:val="nil"/>
                    <w:tr2bl w:val="nil"/>
                  </w:tcBorders>
                  <w:vAlign w:val="center"/>
                </w:tcPr>
                <w:p w14:paraId="028F6A38">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本项目</w:t>
                  </w:r>
                  <w:r>
                    <w:rPr>
                      <w:rFonts w:hint="eastAsia" w:cs="Times New Roman"/>
                      <w:color w:val="auto"/>
                      <w:kern w:val="2"/>
                      <w:sz w:val="21"/>
                      <w:szCs w:val="24"/>
                      <w:highlight w:val="none"/>
                      <w:lang w:val="en-US" w:eastAsia="zh-CN" w:bidi="ar-SA"/>
                    </w:rPr>
                    <w:t>危废间</w:t>
                  </w:r>
                  <w:r>
                    <w:rPr>
                      <w:rFonts w:hint="eastAsia" w:ascii="Times New Roman" w:hAnsi="Times New Roman" w:eastAsia="宋体" w:cs="Times New Roman"/>
                      <w:color w:val="auto"/>
                      <w:kern w:val="2"/>
                      <w:sz w:val="21"/>
                      <w:szCs w:val="24"/>
                      <w:highlight w:val="none"/>
                      <w:lang w:val="en-US" w:eastAsia="zh-CN" w:bidi="ar-SA"/>
                    </w:rPr>
                    <w:t>按要求设置，危废分类收集、按要求贮存、转运、处置等，不长期贮存，定期委托资质单位处理。.</w:t>
                  </w:r>
                </w:p>
              </w:tc>
              <w:tc>
                <w:tcPr>
                  <w:tcW w:w="481" w:type="pct"/>
                  <w:tcBorders>
                    <w:tl2br w:val="nil"/>
                    <w:tr2bl w:val="nil"/>
                  </w:tcBorders>
                  <w:vAlign w:val="center"/>
                </w:tcPr>
                <w:p w14:paraId="143B5972">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相符</w:t>
                  </w:r>
                </w:p>
              </w:tc>
            </w:tr>
            <w:tr w14:paraId="1AF59E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361" w:type="pct"/>
                  <w:tcBorders>
                    <w:tl2br w:val="nil"/>
                    <w:tr2bl w:val="nil"/>
                  </w:tcBorders>
                  <w:vAlign w:val="center"/>
                </w:tcPr>
                <w:p w14:paraId="1724B311">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cs="Times New Roman"/>
                      <w:b/>
                      <w:bCs/>
                      <w:color w:val="auto"/>
                      <w:kern w:val="2"/>
                      <w:sz w:val="21"/>
                      <w:szCs w:val="24"/>
                      <w:highlight w:val="none"/>
                      <w:lang w:val="en-US" w:eastAsia="zh-CN" w:bidi="ar-SA"/>
                    </w:rPr>
                    <w:t>3</w:t>
                  </w:r>
                </w:p>
              </w:tc>
              <w:tc>
                <w:tcPr>
                  <w:tcW w:w="344" w:type="pct"/>
                  <w:tcBorders>
                    <w:tl2br w:val="nil"/>
                    <w:tr2bl w:val="nil"/>
                  </w:tcBorders>
                  <w:vAlign w:val="center"/>
                </w:tcPr>
                <w:p w14:paraId="072C1617">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规范 收集 途  径， 推进 能力 建设</w:t>
                  </w:r>
                </w:p>
              </w:tc>
              <w:tc>
                <w:tcPr>
                  <w:tcW w:w="2171" w:type="pct"/>
                  <w:tcBorders>
                    <w:tl2br w:val="nil"/>
                    <w:tr2bl w:val="nil"/>
                  </w:tcBorders>
                  <w:vAlign w:val="center"/>
                </w:tcPr>
                <w:p w14:paraId="5F8B051A">
                  <w:pPr>
                    <w:pStyle w:val="3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各产废单位除自行委托处置外，也可委托集中收集试点单位开展收集处置，并如实记录收集的危险废物种类、数量，做好交接记录。集中收集试点单位应按照《危险废物贮存污染控制 标准》要求，建设规范且满足需求的贮存设施；健全实验室危险废物收集体系，落实规范化收集工作要求，确保合法合规运输处置；要保留与产废单位间有关危险废物转移记录凭据，如实向属地生态环境部门申报经营记录情况。</w:t>
                  </w:r>
                </w:p>
              </w:tc>
              <w:tc>
                <w:tcPr>
                  <w:tcW w:w="1641" w:type="pct"/>
                  <w:tcBorders>
                    <w:tl2br w:val="nil"/>
                    <w:tr2bl w:val="nil"/>
                  </w:tcBorders>
                  <w:vAlign w:val="center"/>
                </w:tcPr>
                <w:p w14:paraId="0EC93790">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本项目</w:t>
                  </w:r>
                  <w:r>
                    <w:rPr>
                      <w:rFonts w:hint="eastAsia" w:ascii="Times New Roman" w:hAnsi="Times New Roman" w:eastAsia="宋体" w:cs="Times New Roman"/>
                      <w:color w:val="auto"/>
                      <w:kern w:val="2"/>
                      <w:sz w:val="21"/>
                      <w:szCs w:val="24"/>
                      <w:highlight w:val="none"/>
                      <w:lang w:val="en-US" w:eastAsia="zh-CN" w:bidi="ar-SA"/>
                    </w:rPr>
                    <w:t>产生的</w:t>
                  </w:r>
                  <w:r>
                    <w:rPr>
                      <w:rFonts w:hint="default" w:ascii="Times New Roman" w:hAnsi="Times New Roman" w:eastAsia="宋体" w:cs="Times New Roman"/>
                      <w:color w:val="auto"/>
                      <w:kern w:val="2"/>
                      <w:sz w:val="21"/>
                      <w:szCs w:val="24"/>
                      <w:highlight w:val="none"/>
                      <w:lang w:val="en-US" w:eastAsia="zh-CN" w:bidi="ar-SA"/>
                    </w:rPr>
                    <w:t>危废</w:t>
                  </w:r>
                  <w:r>
                    <w:rPr>
                      <w:rFonts w:hint="eastAsia" w:ascii="Times New Roman" w:hAnsi="Times New Roman" w:eastAsia="宋体" w:cs="Times New Roman"/>
                      <w:color w:val="auto"/>
                      <w:kern w:val="2"/>
                      <w:sz w:val="21"/>
                      <w:szCs w:val="24"/>
                      <w:highlight w:val="none"/>
                      <w:lang w:val="en-US" w:eastAsia="zh-CN" w:bidi="ar-SA"/>
                    </w:rPr>
                    <w:t>均</w:t>
                  </w:r>
                  <w:r>
                    <w:rPr>
                      <w:rFonts w:hint="default" w:ascii="Times New Roman" w:hAnsi="Times New Roman" w:eastAsia="宋体" w:cs="Times New Roman"/>
                      <w:color w:val="auto"/>
                      <w:kern w:val="2"/>
                      <w:sz w:val="21"/>
                      <w:szCs w:val="24"/>
                      <w:highlight w:val="none"/>
                      <w:lang w:val="en-US" w:eastAsia="zh-CN" w:bidi="ar-SA"/>
                    </w:rPr>
                    <w:t>委托资质单位处置。</w:t>
                  </w:r>
                </w:p>
              </w:tc>
              <w:tc>
                <w:tcPr>
                  <w:tcW w:w="481" w:type="pct"/>
                  <w:tcBorders>
                    <w:tl2br w:val="nil"/>
                    <w:tr2bl w:val="nil"/>
                  </w:tcBorders>
                  <w:vAlign w:val="center"/>
                </w:tcPr>
                <w:p w14:paraId="4BDC6BE4">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相符</w:t>
                  </w:r>
                </w:p>
              </w:tc>
            </w:tr>
          </w:tbl>
          <w:p w14:paraId="7A41638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Cs/>
                <w:color w:val="auto"/>
                <w:sz w:val="24"/>
                <w:highlight w:val="none"/>
                <w:lang w:eastAsia="zh-CN"/>
              </w:rPr>
            </w:pPr>
          </w:p>
        </w:tc>
      </w:tr>
    </w:tbl>
    <w:p w14:paraId="7C73D1F0">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ascii="Times New Roman" w:hAnsi="Times New Roman" w:eastAsia="宋体"/>
          <w:snapToGrid w:val="0"/>
          <w:color w:val="auto"/>
          <w:sz w:val="30"/>
          <w:szCs w:val="30"/>
          <w:highlight w:val="none"/>
        </w:rPr>
      </w:pPr>
      <w:bookmarkStart w:id="4" w:name="_Toc11677"/>
      <w:r>
        <w:rPr>
          <w:rFonts w:ascii="Times New Roman" w:hAnsi="Times New Roman" w:eastAsia="宋体"/>
          <w:snapToGrid w:val="0"/>
          <w:color w:val="auto"/>
          <w:sz w:val="30"/>
          <w:szCs w:val="30"/>
          <w:highlight w:val="none"/>
        </w:rPr>
        <w:t>二、建设项目工程分析</w:t>
      </w:r>
      <w:bookmarkEnd w:id="4"/>
    </w:p>
    <w:tbl>
      <w:tblPr>
        <w:tblStyle w:val="26"/>
        <w:tblW w:w="9346" w:type="dxa"/>
        <w:tblInd w:w="-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8729"/>
      </w:tblGrid>
      <w:tr w14:paraId="43777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64" w:hRule="atLeast"/>
        </w:trPr>
        <w:tc>
          <w:tcPr>
            <w:tcW w:w="617" w:type="dxa"/>
            <w:vAlign w:val="center"/>
          </w:tcPr>
          <w:p w14:paraId="13799296">
            <w:pPr>
              <w:pStyle w:val="12"/>
              <w:keepNext w:val="0"/>
              <w:keepLines w:val="0"/>
              <w:suppressLineNumbers w:val="0"/>
              <w:spacing w:beforeAutospacing="0" w:afterAutospacing="0"/>
              <w:ind w:lef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highlight w:val="none"/>
              </w:rPr>
              <w:t>建设内容</w:t>
            </w:r>
          </w:p>
        </w:tc>
        <w:tc>
          <w:tcPr>
            <w:tcW w:w="8729" w:type="dxa"/>
          </w:tcPr>
          <w:p w14:paraId="74224DC8">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Cs w:val="21"/>
                <w:highlight w:val="none"/>
              </w:rPr>
              <w:t>1、</w:t>
            </w:r>
            <w:r>
              <w:rPr>
                <w:rFonts w:hint="default" w:ascii="Times New Roman" w:hAnsi="Times New Roman" w:eastAsia="宋体" w:cs="Times New Roman"/>
                <w:b/>
                <w:bCs/>
                <w:color w:val="auto"/>
                <w:sz w:val="24"/>
                <w:highlight w:val="none"/>
              </w:rPr>
              <w:t>项目由来</w:t>
            </w:r>
          </w:p>
          <w:p w14:paraId="3130D9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无锡奕拓医药科技有限责任公司成立于2023年08月02日，注册地位于无锡市新吴区净慧东道196号C栋16层，法定代表人为朱继东。经营范围包括：技术服务、技术开发、技术咨询、技术交流、技术转让、技术推广；医学研究和试验发展（除人体干细胞、基因诊断与治疗技术开发和应用）；化工产品销售（不含许可类化工产品）。</w:t>
            </w:r>
          </w:p>
          <w:p w14:paraId="735EA41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yellow"/>
                <w:lang w:val="en-US" w:eastAsia="zh-CN"/>
              </w:rPr>
            </w:pPr>
            <w:r>
              <w:rPr>
                <w:rFonts w:hint="eastAsia" w:ascii="Times New Roman" w:hAnsi="Times New Roman" w:eastAsia="宋体" w:cs="Times New Roman"/>
                <w:color w:val="auto"/>
                <w:sz w:val="24"/>
                <w:highlight w:val="none"/>
                <w:lang w:val="en-US" w:eastAsia="zh-CN"/>
              </w:rPr>
              <w:t>2025年，企业拟租赁无锡生命科学产业发展有限公司现有厂房开展“无锡奕拓医药实验室新建项目”，建筑面积2090.67平方米。项目总投资2000万元</w:t>
            </w:r>
            <w:r>
              <w:rPr>
                <w:rFonts w:hint="eastAsia" w:cs="Times New Roman"/>
                <w:color w:val="auto"/>
                <w:sz w:val="24"/>
                <w:highlight w:val="none"/>
                <w:lang w:val="en-US" w:eastAsia="zh-CN"/>
              </w:rPr>
              <w:t>，拟</w:t>
            </w:r>
            <w:r>
              <w:rPr>
                <w:rFonts w:hint="eastAsia" w:ascii="Times New Roman" w:hAnsi="Times New Roman" w:eastAsia="宋体" w:cs="Times New Roman"/>
                <w:color w:val="auto"/>
                <w:sz w:val="24"/>
                <w:highlight w:val="none"/>
                <w:lang w:val="en-US" w:eastAsia="zh-CN"/>
              </w:rPr>
              <w:t>引进自动化工作站、显微镜等进口设备共计14台</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套，购置通风橱、生物安全柜等国产设备17台</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套。本项目主要内容为小分子抗肿瘤药的早期小试研发。项目建成后，可年产500个化合物测试。</w:t>
            </w:r>
          </w:p>
          <w:p w14:paraId="5D6EFDCA">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yellow"/>
              </w:rPr>
              <w:t>本项目于</w:t>
            </w:r>
            <w:r>
              <w:rPr>
                <w:rFonts w:hint="eastAsia" w:ascii="Times New Roman" w:hAnsi="Times New Roman" w:eastAsia="宋体" w:cs="Times New Roman"/>
                <w:color w:val="auto"/>
                <w:sz w:val="24"/>
                <w:highlight w:val="yellow"/>
                <w:lang w:val="en-US" w:eastAsia="zh-CN"/>
              </w:rPr>
              <w:t>2025年3月24</w:t>
            </w:r>
            <w:r>
              <w:rPr>
                <w:rFonts w:hint="default" w:ascii="Times New Roman" w:hAnsi="Times New Roman" w:eastAsia="宋体" w:cs="Times New Roman"/>
                <w:color w:val="auto"/>
                <w:sz w:val="24"/>
                <w:highlight w:val="yellow"/>
              </w:rPr>
              <w:t>日完成项目备案（备案证号：锡新数投备〔2025〕329号，项目代码</w:t>
            </w:r>
            <w:r>
              <w:rPr>
                <w:rFonts w:hint="eastAsia" w:ascii="Times New Roman" w:hAnsi="Times New Roman" w:eastAsia="宋体" w:cs="Times New Roman"/>
                <w:color w:val="auto"/>
                <w:sz w:val="24"/>
                <w:highlight w:val="yellow"/>
                <w:lang w:val="en-US" w:eastAsia="zh-CN"/>
              </w:rPr>
              <w:t>2501</w:t>
            </w:r>
            <w:r>
              <w:rPr>
                <w:rFonts w:hint="default" w:ascii="Times New Roman" w:hAnsi="Times New Roman" w:eastAsia="宋体" w:cs="Times New Roman"/>
                <w:color w:val="auto"/>
                <w:sz w:val="24"/>
                <w:highlight w:val="yellow"/>
                <w:lang w:val="en-US" w:eastAsia="zh-CN"/>
              </w:rPr>
              <w:t>-320214-89-02-</w:t>
            </w:r>
            <w:r>
              <w:rPr>
                <w:rFonts w:hint="eastAsia" w:ascii="Times New Roman" w:hAnsi="Times New Roman" w:eastAsia="宋体" w:cs="Times New Roman"/>
                <w:color w:val="auto"/>
                <w:sz w:val="24"/>
                <w:highlight w:val="yellow"/>
                <w:lang w:val="en-US" w:eastAsia="zh-CN"/>
              </w:rPr>
              <w:t>412222</w:t>
            </w:r>
            <w:r>
              <w:rPr>
                <w:rFonts w:hint="default" w:ascii="Times New Roman" w:hAnsi="Times New Roman" w:eastAsia="宋体" w:cs="Times New Roman"/>
                <w:color w:val="auto"/>
                <w:sz w:val="24"/>
                <w:highlight w:val="yellow"/>
              </w:rPr>
              <w:t>），同意开展项目前期及报批准备工作。</w:t>
            </w:r>
          </w:p>
          <w:p w14:paraId="5E4187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yellow"/>
              </w:rPr>
              <w:t>本项目涉及到的微生物</w:t>
            </w:r>
            <w:r>
              <w:rPr>
                <w:rFonts w:hint="eastAsia" w:ascii="Times New Roman" w:hAnsi="Times New Roman" w:eastAsia="宋体" w:cs="Times New Roman"/>
                <w:color w:val="auto"/>
                <w:sz w:val="24"/>
                <w:szCs w:val="24"/>
                <w:highlight w:val="yellow"/>
                <w:lang w:eastAsia="zh-CN"/>
              </w:rPr>
              <w:t>为</w:t>
            </w:r>
            <w:r>
              <w:rPr>
                <w:rFonts w:hint="default" w:ascii="Times New Roman" w:hAnsi="Times New Roman" w:eastAsia="宋体" w:cs="Times New Roman"/>
                <w:color w:val="auto"/>
                <w:sz w:val="24"/>
                <w:szCs w:val="24"/>
                <w:highlight w:val="yellow"/>
              </w:rPr>
              <w:t>黄热病毒（疫苗株</w:t>
            </w:r>
            <w:r>
              <w:rPr>
                <w:rFonts w:hint="eastAsia" w:ascii="Times New Roman" w:hAnsi="Times New Roman" w:cs="Times New Roman"/>
                <w:color w:val="auto"/>
                <w:sz w:val="24"/>
                <w:szCs w:val="24"/>
                <w:highlight w:val="yellow"/>
                <w:lang w:eastAsia="zh-CN"/>
              </w:rPr>
              <w:t>，</w:t>
            </w:r>
            <w:r>
              <w:rPr>
                <w:rFonts w:hint="default" w:ascii="Times New Roman" w:hAnsi="Times New Roman" w:eastAsia="宋体" w:cs="Times New Roman"/>
                <w:color w:val="auto"/>
                <w:sz w:val="24"/>
                <w:szCs w:val="24"/>
                <w:highlight w:val="yellow"/>
              </w:rPr>
              <w:t>17D），</w:t>
            </w:r>
            <w:r>
              <w:rPr>
                <w:rFonts w:hint="default" w:ascii="Times New Roman" w:hAnsi="Times New Roman" w:eastAsia="宋体" w:cs="Times New Roman"/>
                <w:color w:val="auto"/>
                <w:sz w:val="24"/>
                <w:szCs w:val="24"/>
                <w:highlight w:val="none"/>
              </w:rPr>
              <w:t>依据《人间传染的病原微生物名录》及《病原微生物实验室生物安全管理条例》等相关资料，本项目</w:t>
            </w:r>
            <w:r>
              <w:rPr>
                <w:rFonts w:hint="default" w:ascii="Times New Roman" w:hAnsi="Times New Roman" w:eastAsia="宋体" w:cs="Times New Roman"/>
                <w:color w:val="auto"/>
                <w:sz w:val="24"/>
                <w:szCs w:val="24"/>
                <w:highlight w:val="none"/>
                <w:lang w:eastAsia="zh-CN"/>
              </w:rPr>
              <w:t>狂</w:t>
            </w:r>
            <w:r>
              <w:rPr>
                <w:rFonts w:hint="default" w:ascii="Times New Roman" w:hAnsi="Times New Roman" w:eastAsia="宋体" w:cs="Times New Roman"/>
                <w:color w:val="auto"/>
                <w:sz w:val="24"/>
                <w:szCs w:val="24"/>
                <w:highlight w:val="none"/>
              </w:rPr>
              <w:t>黄热病毒（疫苗株</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17D）均有生物活性，为第三类病原微生物，即</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能够引起人类或者动物疾病，但</w:t>
            </w:r>
            <w:r>
              <w:rPr>
                <w:rFonts w:hint="eastAsia" w:ascii="Times New Roman" w:hAnsi="Times New Roman" w:eastAsia="宋体" w:cs="Times New Roman"/>
                <w:color w:val="auto"/>
                <w:sz w:val="24"/>
                <w:szCs w:val="24"/>
                <w:highlight w:val="none"/>
                <w:lang w:eastAsia="zh-CN"/>
              </w:rPr>
              <w:t>一</w:t>
            </w:r>
            <w:r>
              <w:rPr>
                <w:rFonts w:hint="default" w:ascii="Times New Roman" w:hAnsi="Times New Roman" w:eastAsia="宋体" w:cs="Times New Roman"/>
                <w:color w:val="auto"/>
                <w:sz w:val="24"/>
                <w:szCs w:val="24"/>
                <w:highlight w:val="none"/>
              </w:rPr>
              <w:t>般情况下对人、动物或者环境不构成严重危害，传播风险有限，实验室感染后很少引起严重疾病，并且具备有效治疗和预防措施的微生物。不再涉及其它病原微生物，因此本项目不会涉及</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高致病性禽流感</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等高致病性病毒。本项目生物安全防护水平为BSL-2</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II级。本项目不涉及P3、P4及</w:t>
            </w:r>
            <w:r>
              <w:rPr>
                <w:rFonts w:hint="eastAsia" w:ascii="Times New Roman" w:hAnsi="Times New Roman" w:eastAsia="宋体" w:cs="Times New Roman"/>
                <w:color w:val="auto"/>
                <w:sz w:val="24"/>
                <w:szCs w:val="24"/>
                <w:highlight w:val="none"/>
                <w:lang w:eastAsia="zh-CN"/>
              </w:rPr>
              <w:t>转</w:t>
            </w:r>
            <w:r>
              <w:rPr>
                <w:rFonts w:hint="default" w:ascii="Times New Roman" w:hAnsi="Times New Roman" w:eastAsia="宋体" w:cs="Times New Roman"/>
                <w:color w:val="auto"/>
                <w:sz w:val="24"/>
                <w:szCs w:val="24"/>
                <w:highlight w:val="none"/>
              </w:rPr>
              <w:t>基因实验室，只建设P2实验室，生物实验应采取II级生物安全保护措施，实验室为二级生物安全防护实验室</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小分子抗肿瘤药的早期小试研发，并通过细胞培养和细胞检测实验为抗肿瘤药物的研发提供支持</w:t>
            </w:r>
            <w:r>
              <w:rPr>
                <w:rFonts w:hint="eastAsia" w:ascii="Times New Roman" w:hAnsi="Times New Roman" w:cs="Times New Roman"/>
                <w:color w:val="auto"/>
                <w:sz w:val="24"/>
                <w:szCs w:val="24"/>
                <w:highlight w:val="none"/>
                <w:lang w:eastAsia="zh-CN"/>
              </w:rPr>
              <w:t>，不涉及</w:t>
            </w:r>
            <w:r>
              <w:rPr>
                <w:rFonts w:hint="eastAsia" w:cs="Times New Roman"/>
                <w:color w:val="auto"/>
                <w:sz w:val="24"/>
                <w:szCs w:val="24"/>
                <w:highlight w:val="none"/>
                <w:lang w:eastAsia="zh-CN"/>
              </w:rPr>
              <w:t>研发中试</w:t>
            </w:r>
            <w:r>
              <w:rPr>
                <w:rFonts w:hint="default" w:ascii="Times New Roman" w:hAnsi="Times New Roman" w:eastAsia="宋体" w:cs="Times New Roman"/>
                <w:color w:val="auto"/>
                <w:sz w:val="24"/>
                <w:szCs w:val="24"/>
                <w:highlight w:val="none"/>
              </w:rPr>
              <w:t>。</w:t>
            </w:r>
          </w:p>
          <w:p w14:paraId="24435F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根据《中华人民共和国环境保护法》以及国务院第682号</w:t>
            </w:r>
            <w:r>
              <w:rPr>
                <w:rFonts w:hint="default" w:ascii="Times New Roman" w:hAnsi="Times New Roman" w:eastAsia="宋体" w:cs="Times New Roman"/>
                <w:color w:val="auto"/>
                <w:sz w:val="24"/>
                <w:highlight w:val="none"/>
                <w:lang w:val="en-US" w:eastAsia="zh-CN"/>
              </w:rPr>
              <w:t>令</w:t>
            </w:r>
            <w:r>
              <w:rPr>
                <w:rFonts w:hint="default" w:ascii="Times New Roman" w:hAnsi="Times New Roman" w:eastAsia="宋体" w:cs="Times New Roman"/>
                <w:color w:val="auto"/>
                <w:sz w:val="24"/>
                <w:highlight w:val="none"/>
              </w:rPr>
              <w:t>《建设项目环境保护管理条例》的有关规定，本项目属于《建设项目环境影响评价分类管理名录》（2021年）中“</w:t>
            </w:r>
            <w:r>
              <w:rPr>
                <w:rFonts w:hint="eastAsia" w:ascii="Times New Roman" w:hAnsi="Times New Roman" w:eastAsia="宋体" w:cs="Times New Roman"/>
                <w:color w:val="auto"/>
                <w:sz w:val="24"/>
                <w:highlight w:val="none"/>
                <w:lang w:val="en-US" w:eastAsia="zh-CN"/>
              </w:rPr>
              <w:t>四十五、研究和试验发展98专业实验室、研发（试验）基地</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eastAsia="zh-CN"/>
              </w:rPr>
              <w:t>类</w:t>
            </w:r>
            <w:r>
              <w:rPr>
                <w:rFonts w:hint="default" w:ascii="Times New Roman" w:hAnsi="Times New Roman" w:eastAsia="宋体" w:cs="Times New Roman"/>
                <w:color w:val="auto"/>
                <w:sz w:val="24"/>
                <w:highlight w:val="none"/>
              </w:rPr>
              <w:t>别</w:t>
            </w:r>
            <w:r>
              <w:rPr>
                <w:rFonts w:hint="eastAsia" w:ascii="Times New Roman" w:hAnsi="Times New Roman" w:eastAsia="宋体" w:cs="Times New Roman"/>
                <w:color w:val="auto"/>
                <w:sz w:val="24"/>
                <w:highlight w:val="none"/>
                <w:lang w:eastAsia="zh-CN"/>
              </w:rPr>
              <w:t>，具体见表</w:t>
            </w:r>
            <w:r>
              <w:rPr>
                <w:rFonts w:hint="eastAsia" w:ascii="Times New Roman" w:hAnsi="Times New Roman" w:eastAsia="宋体" w:cs="Times New Roman"/>
                <w:color w:val="auto"/>
                <w:sz w:val="24"/>
                <w:highlight w:val="none"/>
                <w:lang w:val="en-US" w:eastAsia="zh-CN"/>
              </w:rPr>
              <w:t>2-1。</w:t>
            </w:r>
          </w:p>
          <w:p w14:paraId="0AEFF1C7">
            <w:pPr>
              <w:keepNext w:val="0"/>
              <w:keepLines w:val="0"/>
              <w:widowControl/>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kern w:val="2"/>
                <w:sz w:val="24"/>
                <w:szCs w:val="24"/>
                <w:lang w:val="en-US" w:eastAsia="zh-CN" w:bidi="ar-SA"/>
              </w:rPr>
              <w:t>表2-1</w:t>
            </w:r>
            <w:r>
              <w:rPr>
                <w:rFonts w:hint="eastAsia" w:ascii="Times New Roman" w:hAnsi="Times New Roman" w:eastAsia="宋体" w:cs="Times New Roman"/>
                <w:b/>
                <w:bCs/>
                <w:color w:val="auto"/>
                <w:kern w:val="2"/>
                <w:sz w:val="24"/>
                <w:szCs w:val="24"/>
                <w:lang w:val="en-US" w:eastAsia="zh-CN" w:bidi="ar-SA"/>
              </w:rPr>
              <w:t xml:space="preserve">  </w:t>
            </w:r>
            <w:r>
              <w:rPr>
                <w:rFonts w:hint="eastAsia" w:ascii="Times New Roman" w:hAnsi="Times New Roman" w:eastAsia="宋体" w:cs="Times New Roman"/>
                <w:b/>
                <w:bCs/>
                <w:color w:val="auto"/>
                <w:sz w:val="24"/>
                <w:highlight w:val="none"/>
                <w:lang w:eastAsia="zh-CN"/>
              </w:rPr>
              <w:t>项目行业类别比对一览表</w:t>
            </w:r>
          </w:p>
          <w:tbl>
            <w:tblPr>
              <w:tblStyle w:val="26"/>
              <w:tblW w:w="8261"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34"/>
              <w:gridCol w:w="2696"/>
              <w:gridCol w:w="2719"/>
              <w:gridCol w:w="1412"/>
            </w:tblGrid>
            <w:tr w14:paraId="3D7777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34" w:type="dxa"/>
                  <w:tcBorders>
                    <w:tl2br w:val="nil"/>
                    <w:tr2bl w:val="nil"/>
                  </w:tcBorders>
                  <w:vAlign w:val="center"/>
                </w:tcPr>
                <w:p w14:paraId="3EC704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eastAsia="zh-CN"/>
                    </w:rPr>
                  </w:pPr>
                  <w:r>
                    <w:rPr>
                      <w:rFonts w:hint="eastAsia" w:ascii="Times New Roman" w:hAnsi="Times New Roman" w:eastAsia="宋体" w:cs="Times New Roman"/>
                      <w:b/>
                      <w:bCs/>
                      <w:color w:val="auto"/>
                      <w:sz w:val="21"/>
                      <w:szCs w:val="21"/>
                      <w:highlight w:val="none"/>
                      <w:vertAlign w:val="baseline"/>
                      <w:lang w:eastAsia="zh-CN"/>
                    </w:rPr>
                    <w:t>国民经济行业类别</w:t>
                  </w:r>
                </w:p>
              </w:tc>
              <w:tc>
                <w:tcPr>
                  <w:tcW w:w="2696" w:type="dxa"/>
                  <w:tcBorders>
                    <w:tl2br w:val="nil"/>
                    <w:tr2bl w:val="nil"/>
                  </w:tcBorders>
                  <w:vAlign w:val="center"/>
                </w:tcPr>
                <w:p w14:paraId="39761A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eastAsia="zh-CN"/>
                    </w:rPr>
                  </w:pPr>
                  <w:r>
                    <w:rPr>
                      <w:rFonts w:hint="eastAsia" w:ascii="Times New Roman" w:hAnsi="Times New Roman" w:eastAsia="宋体" w:cs="Times New Roman"/>
                      <w:b/>
                      <w:bCs/>
                      <w:color w:val="auto"/>
                      <w:sz w:val="21"/>
                      <w:szCs w:val="21"/>
                      <w:highlight w:val="none"/>
                      <w:vertAlign w:val="baseline"/>
                      <w:lang w:eastAsia="zh-CN"/>
                    </w:rPr>
                    <w:t>建设项目行业类别</w:t>
                  </w:r>
                </w:p>
              </w:tc>
              <w:tc>
                <w:tcPr>
                  <w:tcW w:w="2719" w:type="dxa"/>
                  <w:tcBorders>
                    <w:tl2br w:val="nil"/>
                    <w:tr2bl w:val="nil"/>
                  </w:tcBorders>
                  <w:vAlign w:val="center"/>
                </w:tcPr>
                <w:p w14:paraId="16D9D0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eastAsia="zh-CN"/>
                    </w:rPr>
                  </w:pPr>
                  <w:r>
                    <w:rPr>
                      <w:rFonts w:hint="eastAsia" w:ascii="Times New Roman" w:hAnsi="Times New Roman" w:eastAsia="宋体" w:cs="Times New Roman"/>
                      <w:b/>
                      <w:bCs/>
                      <w:color w:val="auto"/>
                      <w:sz w:val="21"/>
                      <w:szCs w:val="21"/>
                      <w:highlight w:val="none"/>
                      <w:vertAlign w:val="baseline"/>
                      <w:lang w:eastAsia="zh-CN"/>
                    </w:rPr>
                    <w:t>主要工艺</w:t>
                  </w:r>
                </w:p>
              </w:tc>
              <w:tc>
                <w:tcPr>
                  <w:tcW w:w="1412" w:type="dxa"/>
                  <w:tcBorders>
                    <w:tl2br w:val="nil"/>
                    <w:tr2bl w:val="nil"/>
                  </w:tcBorders>
                  <w:vAlign w:val="center"/>
                </w:tcPr>
                <w:p w14:paraId="170232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eastAsia="zh-CN"/>
                    </w:rPr>
                  </w:pPr>
                  <w:r>
                    <w:rPr>
                      <w:rFonts w:hint="eastAsia" w:ascii="Times New Roman" w:hAnsi="Times New Roman" w:eastAsia="宋体" w:cs="Times New Roman"/>
                      <w:b/>
                      <w:bCs/>
                      <w:color w:val="auto"/>
                      <w:sz w:val="21"/>
                      <w:szCs w:val="21"/>
                      <w:highlight w:val="none"/>
                      <w:vertAlign w:val="baseline"/>
                      <w:lang w:eastAsia="zh-CN"/>
                    </w:rPr>
                    <w:t>环评类别</w:t>
                  </w:r>
                </w:p>
              </w:tc>
            </w:tr>
            <w:tr w14:paraId="5CB7D6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34" w:type="dxa"/>
                  <w:tcBorders>
                    <w:tl2br w:val="nil"/>
                    <w:tr2bl w:val="nil"/>
                  </w:tcBorders>
                  <w:vAlign w:val="center"/>
                </w:tcPr>
                <w:p w14:paraId="469AAA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[M7340]医学研究和试验发展</w:t>
                  </w:r>
                </w:p>
              </w:tc>
              <w:tc>
                <w:tcPr>
                  <w:tcW w:w="2696" w:type="dxa"/>
                  <w:tcBorders>
                    <w:tl2br w:val="nil"/>
                    <w:tr2bl w:val="nil"/>
                  </w:tcBorders>
                  <w:vAlign w:val="center"/>
                </w:tcPr>
                <w:p w14:paraId="584409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四十五、研究和试验发展98专业实验室、研发（试验）基地-其他（不产生实验废气、废水、危险废物的除外）</w:t>
                  </w:r>
                </w:p>
              </w:tc>
              <w:tc>
                <w:tcPr>
                  <w:tcW w:w="2719" w:type="dxa"/>
                  <w:tcBorders>
                    <w:tl2br w:val="nil"/>
                    <w:tr2bl w:val="nil"/>
                  </w:tcBorders>
                  <w:vAlign w:val="center"/>
                </w:tcPr>
                <w:p w14:paraId="4E7595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细胞复苏-细胞培养-细胞分析-细胞检测-数据分析</w:t>
                  </w:r>
                </w:p>
              </w:tc>
              <w:tc>
                <w:tcPr>
                  <w:tcW w:w="1412" w:type="dxa"/>
                  <w:tcBorders>
                    <w:tl2br w:val="nil"/>
                    <w:tr2bl w:val="nil"/>
                  </w:tcBorders>
                  <w:vAlign w:val="center"/>
                </w:tcPr>
                <w:p w14:paraId="024F38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val="en-US" w:eastAsia="zh-CN"/>
                    </w:rPr>
                    <w:t>编制</w:t>
                  </w:r>
                  <w:r>
                    <w:rPr>
                      <w:rFonts w:hint="eastAsia" w:ascii="Times New Roman" w:hAnsi="Times New Roman" w:eastAsia="宋体" w:cs="Times New Roman"/>
                      <w:color w:val="auto"/>
                      <w:sz w:val="21"/>
                      <w:szCs w:val="21"/>
                      <w:highlight w:val="none"/>
                      <w:vertAlign w:val="baseline"/>
                      <w:lang w:eastAsia="zh-CN"/>
                    </w:rPr>
                    <w:t>报告表</w:t>
                  </w:r>
                </w:p>
              </w:tc>
            </w:tr>
          </w:tbl>
          <w:p w14:paraId="0BC87A61">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b/>
                <w:bCs/>
                <w:color w:val="auto"/>
                <w:sz w:val="24"/>
              </w:rPr>
            </w:pPr>
            <w:r>
              <w:rPr>
                <w:rFonts w:hint="default" w:ascii="Times New Roman" w:hAnsi="Times New Roman" w:eastAsia="宋体"/>
                <w:color w:val="auto"/>
                <w:sz w:val="24"/>
              </w:rPr>
              <w:t>本项目属于《建设项目环境影响评价分类管理名录（2021年）》中</w:t>
            </w:r>
            <w:r>
              <w:rPr>
                <w:rFonts w:hint="eastAsia" w:ascii="Times New Roman" w:hAnsi="Times New Roman" w:eastAsia="宋体"/>
                <w:color w:val="auto"/>
                <w:sz w:val="24"/>
                <w:lang w:eastAsia="zh-CN"/>
              </w:rPr>
              <w:t>“</w:t>
            </w:r>
            <w:r>
              <w:rPr>
                <w:rFonts w:hint="eastAsia" w:ascii="Times New Roman" w:hAnsi="Times New Roman" w:eastAsia="宋体"/>
                <w:color w:val="auto"/>
                <w:sz w:val="24"/>
                <w:lang w:val="en-US" w:eastAsia="zh-CN"/>
              </w:rPr>
              <w:t>四十五、研究和试验发展</w:t>
            </w:r>
            <w:r>
              <w:rPr>
                <w:rFonts w:hint="eastAsia" w:ascii="Times New Roman" w:hAnsi="Times New Roman" w:eastAsia="宋体"/>
                <w:color w:val="auto"/>
                <w:sz w:val="24"/>
                <w:lang w:eastAsia="zh-CN"/>
              </w:rPr>
              <w:t>”中“</w:t>
            </w:r>
            <w:r>
              <w:rPr>
                <w:rFonts w:hint="eastAsia" w:ascii="Times New Roman" w:hAnsi="Times New Roman" w:eastAsia="宋体"/>
                <w:color w:val="auto"/>
                <w:sz w:val="24"/>
                <w:lang w:val="en-US" w:eastAsia="zh-CN"/>
              </w:rPr>
              <w:t>98专业实验室、研发（试验）基地</w:t>
            </w:r>
            <w:r>
              <w:rPr>
                <w:rFonts w:hint="eastAsia" w:ascii="Times New Roman" w:hAnsi="Times New Roman" w:eastAsia="宋体"/>
                <w:b w:val="0"/>
                <w:bCs w:val="0"/>
                <w:color w:val="auto"/>
                <w:sz w:val="24"/>
                <w:highlight w:val="none"/>
                <w:shd w:val="clear" w:color="auto" w:fill="auto"/>
                <w:lang w:val="en-US" w:eastAsia="zh-CN"/>
              </w:rPr>
              <w:t>”中“</w:t>
            </w:r>
            <w:r>
              <w:rPr>
                <w:rFonts w:hint="default" w:ascii="Times New Roman" w:hAnsi="Times New Roman" w:eastAsia="宋体"/>
                <w:color w:val="auto"/>
                <w:sz w:val="24"/>
              </w:rPr>
              <w:t>其他</w:t>
            </w:r>
            <w:r>
              <w:rPr>
                <w:rFonts w:hint="eastAsia" w:ascii="Times New Roman" w:hAnsi="Times New Roman" w:eastAsia="宋体"/>
                <w:color w:val="auto"/>
                <w:sz w:val="24"/>
                <w:lang w:eastAsia="zh-CN"/>
              </w:rPr>
              <w:t>”</w:t>
            </w:r>
            <w:r>
              <w:rPr>
                <w:rFonts w:hint="eastAsia" w:ascii="Times New Roman" w:hAnsi="Times New Roman" w:eastAsia="宋体"/>
                <w:color w:val="auto"/>
                <w:sz w:val="24"/>
                <w:highlight w:val="none"/>
                <w:lang w:eastAsia="zh-CN"/>
              </w:rPr>
              <w:t>，</w:t>
            </w:r>
            <w:r>
              <w:rPr>
                <w:rFonts w:hint="eastAsia"/>
                <w:color w:val="auto"/>
                <w:sz w:val="24"/>
                <w:highlight w:val="none"/>
                <w:lang w:eastAsia="zh-CN"/>
              </w:rPr>
              <w:t>本项目实验室不属于</w:t>
            </w:r>
            <w:r>
              <w:rPr>
                <w:rFonts w:hint="eastAsia"/>
                <w:color w:val="auto"/>
                <w:sz w:val="24"/>
                <w:highlight w:val="none"/>
              </w:rPr>
              <w:t>P3、P4生物安全实验室</w:t>
            </w:r>
            <w:r>
              <w:rPr>
                <w:rFonts w:hint="eastAsia"/>
                <w:color w:val="auto"/>
                <w:sz w:val="24"/>
                <w:highlight w:val="none"/>
                <w:lang w:eastAsia="zh-CN"/>
              </w:rPr>
              <w:t>、</w:t>
            </w:r>
            <w:r>
              <w:rPr>
                <w:rFonts w:hint="eastAsia"/>
                <w:color w:val="auto"/>
                <w:sz w:val="24"/>
                <w:highlight w:val="none"/>
              </w:rPr>
              <w:t>转基因实验室</w:t>
            </w:r>
            <w:r>
              <w:rPr>
                <w:rFonts w:hint="eastAsia"/>
                <w:color w:val="auto"/>
                <w:sz w:val="24"/>
                <w:highlight w:val="none"/>
                <w:lang w:eastAsia="zh-CN"/>
              </w:rPr>
              <w:t>，根据</w:t>
            </w:r>
            <w:r>
              <w:rPr>
                <w:rFonts w:hint="eastAsia"/>
                <w:color w:val="auto"/>
                <w:sz w:val="24"/>
                <w:highlight w:val="none"/>
              </w:rPr>
              <w:t>要求</w:t>
            </w:r>
            <w:r>
              <w:rPr>
                <w:rFonts w:hint="eastAsia"/>
                <w:color w:val="auto"/>
                <w:sz w:val="24"/>
                <w:highlight w:val="none"/>
                <w:lang w:eastAsia="zh-CN"/>
              </w:rPr>
              <w:t>本项目需</w:t>
            </w:r>
            <w:r>
              <w:rPr>
                <w:rFonts w:hint="eastAsia"/>
                <w:color w:val="auto"/>
                <w:sz w:val="24"/>
                <w:highlight w:val="none"/>
              </w:rPr>
              <w:t>编制报告表，</w:t>
            </w:r>
            <w:r>
              <w:rPr>
                <w:rFonts w:hint="default" w:ascii="Times New Roman" w:hAnsi="Times New Roman" w:eastAsia="宋体"/>
                <w:color w:val="auto"/>
                <w:sz w:val="24"/>
                <w:highlight w:val="none"/>
              </w:rPr>
              <w:t>因此建设单位</w:t>
            </w:r>
            <w:r>
              <w:rPr>
                <w:rFonts w:hint="default" w:ascii="Times New Roman" w:hAnsi="Times New Roman" w:eastAsia="宋体"/>
                <w:color w:val="auto"/>
                <w:sz w:val="24"/>
              </w:rPr>
              <w:t>委托</w:t>
            </w:r>
            <w:r>
              <w:rPr>
                <w:rFonts w:hint="eastAsia" w:ascii="Times New Roman" w:hAnsi="Times New Roman" w:eastAsia="宋体"/>
                <w:color w:val="auto"/>
                <w:sz w:val="24"/>
                <w:lang w:eastAsia="zh-CN"/>
              </w:rPr>
              <w:t>无锡新视野环保有限公司</w:t>
            </w:r>
            <w:r>
              <w:rPr>
                <w:rFonts w:hint="default" w:ascii="Times New Roman" w:hAnsi="Times New Roman" w:eastAsia="宋体"/>
                <w:color w:val="auto"/>
                <w:sz w:val="24"/>
              </w:rPr>
              <w:t>对本项目进行环境影响评价</w:t>
            </w:r>
            <w:r>
              <w:rPr>
                <w:rFonts w:hint="eastAsia" w:ascii="Times New Roman" w:hAnsi="Times New Roman" w:eastAsia="宋体"/>
                <w:color w:val="auto"/>
                <w:sz w:val="24"/>
                <w:lang w:eastAsia="zh-CN"/>
              </w:rPr>
              <w:t>，</w:t>
            </w:r>
            <w:r>
              <w:rPr>
                <w:rFonts w:hint="eastAsia" w:ascii="Times New Roman" w:hAnsi="Times New Roman" w:eastAsia="宋体"/>
                <w:color w:val="auto"/>
                <w:sz w:val="24"/>
                <w:lang w:val="en-US" w:eastAsia="zh-CN"/>
              </w:rPr>
              <w:t>评价单位接受委托后，相关人员收集了相关资料并进行了现场踏勘，在此基础上编制了本项目环境影响报告表</w:t>
            </w:r>
            <w:r>
              <w:rPr>
                <w:rFonts w:hint="default" w:ascii="Times New Roman" w:hAnsi="Times New Roman" w:eastAsia="宋体"/>
                <w:color w:val="auto"/>
                <w:sz w:val="24"/>
              </w:rPr>
              <w:t>。</w:t>
            </w:r>
          </w:p>
          <w:p w14:paraId="593613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2"/>
                <w:highlight w:val="none"/>
              </w:rPr>
              <w:t>本项目所涉及的安全、消防、卫生等问题不属</w:t>
            </w:r>
            <w:r>
              <w:rPr>
                <w:rFonts w:hint="default" w:ascii="Times New Roman" w:hAnsi="Times New Roman" w:eastAsia="宋体" w:cs="Times New Roman"/>
                <w:color w:val="auto"/>
                <w:sz w:val="24"/>
                <w:szCs w:val="22"/>
              </w:rPr>
              <w:t>于本评价的范围，请公司按照国家相关法律、法规和有关标准执行。</w:t>
            </w:r>
          </w:p>
          <w:p w14:paraId="0C9C3300">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2、项目概况</w:t>
            </w:r>
          </w:p>
          <w:p w14:paraId="7E838FA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项目名称：</w:t>
            </w:r>
            <w:r>
              <w:rPr>
                <w:rFonts w:hint="eastAsia" w:ascii="Times New Roman" w:hAnsi="Times New Roman" w:eastAsia="宋体" w:cs="Times New Roman"/>
                <w:color w:val="auto"/>
                <w:sz w:val="24"/>
                <w:highlight w:val="none"/>
                <w:lang w:val="en-US" w:eastAsia="zh-CN"/>
              </w:rPr>
              <w:t>无锡奕拓医药实验室新建项目</w:t>
            </w:r>
            <w:r>
              <w:rPr>
                <w:rFonts w:hint="default" w:ascii="Times New Roman" w:hAnsi="Times New Roman" w:eastAsia="宋体" w:cs="Times New Roman"/>
                <w:color w:val="auto"/>
                <w:sz w:val="24"/>
                <w:highlight w:val="none"/>
              </w:rPr>
              <w:t>；</w:t>
            </w:r>
          </w:p>
          <w:p w14:paraId="7F2D9EA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行业类别：</w:t>
            </w:r>
            <w:r>
              <w:rPr>
                <w:rFonts w:hint="eastAsia" w:ascii="Times New Roman" w:hAnsi="Times New Roman" w:eastAsia="宋体" w:cs="Times New Roman"/>
                <w:color w:val="auto"/>
                <w:sz w:val="24"/>
                <w:highlight w:val="none"/>
                <w:lang w:val="en-US" w:eastAsia="zh-CN"/>
              </w:rPr>
              <w:t>[M7340]医学研究和试验发展</w:t>
            </w:r>
            <w:r>
              <w:rPr>
                <w:rFonts w:hint="default" w:ascii="Times New Roman" w:hAnsi="Times New Roman" w:eastAsia="宋体" w:cs="Times New Roman"/>
                <w:color w:val="auto"/>
                <w:sz w:val="24"/>
                <w:highlight w:val="none"/>
                <w:lang w:val="en-US" w:eastAsia="zh-CN"/>
              </w:rPr>
              <w:t>；</w:t>
            </w:r>
          </w:p>
          <w:p w14:paraId="1B5A3011">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项目性质：</w:t>
            </w:r>
            <w:r>
              <w:rPr>
                <w:rFonts w:hint="eastAsia" w:ascii="Times New Roman" w:hAnsi="Times New Roman" w:eastAsia="宋体" w:cs="Times New Roman"/>
                <w:color w:val="auto"/>
                <w:sz w:val="24"/>
                <w:highlight w:val="none"/>
                <w:lang w:val="en-US" w:eastAsia="zh-CN"/>
              </w:rPr>
              <w:t>新建；</w:t>
            </w:r>
          </w:p>
          <w:p w14:paraId="3B2ACA2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建设地点：</w:t>
            </w:r>
            <w:r>
              <w:rPr>
                <w:rFonts w:hint="eastAsia" w:ascii="Times New Roman" w:hAnsi="Times New Roman" w:eastAsia="宋体" w:cs="Times New Roman"/>
                <w:color w:val="auto"/>
                <w:sz w:val="24"/>
                <w:highlight w:val="none"/>
                <w:lang w:val="en-US" w:eastAsia="zh-CN"/>
              </w:rPr>
              <w:t>江苏省无锡市净慧东道196号F栋2楼</w:t>
            </w:r>
            <w:r>
              <w:rPr>
                <w:rFonts w:hint="default" w:ascii="Times New Roman" w:hAnsi="Times New Roman" w:eastAsia="宋体" w:cs="Times New Roman"/>
                <w:color w:val="auto"/>
                <w:sz w:val="24"/>
                <w:highlight w:val="none"/>
              </w:rPr>
              <w:t>；</w:t>
            </w:r>
          </w:p>
          <w:p w14:paraId="1A0C3C4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建筑面积：2090.67平方米；</w:t>
            </w:r>
          </w:p>
          <w:p w14:paraId="664A6BA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投资总额：</w:t>
            </w:r>
            <w:r>
              <w:rPr>
                <w:rFonts w:hint="eastAsia" w:ascii="Times New Roman" w:hAnsi="Times New Roman" w:eastAsia="宋体" w:cs="Times New Roman"/>
                <w:color w:val="auto"/>
                <w:sz w:val="24"/>
                <w:highlight w:val="none"/>
                <w:lang w:val="en-US" w:eastAsia="zh-CN"/>
              </w:rPr>
              <w:t>2000</w:t>
            </w:r>
            <w:r>
              <w:rPr>
                <w:rFonts w:hint="default" w:ascii="Times New Roman" w:hAnsi="Times New Roman" w:eastAsia="宋体" w:cs="Times New Roman"/>
                <w:color w:val="auto"/>
                <w:sz w:val="24"/>
                <w:highlight w:val="none"/>
              </w:rPr>
              <w:t>万元，其中环保投资</w:t>
            </w:r>
            <w:r>
              <w:rPr>
                <w:rFonts w:hint="eastAsia" w:ascii="Times New Roman" w:hAnsi="Times New Roman" w:eastAsia="宋体" w:cs="Times New Roman"/>
                <w:color w:val="auto"/>
                <w:sz w:val="24"/>
                <w:highlight w:val="none"/>
                <w:lang w:val="en-US" w:eastAsia="zh-CN"/>
              </w:rPr>
              <w:t>20</w:t>
            </w:r>
            <w:r>
              <w:rPr>
                <w:rFonts w:hint="default" w:ascii="Times New Roman" w:hAnsi="Times New Roman" w:eastAsia="宋体" w:cs="Times New Roman"/>
                <w:color w:val="auto"/>
                <w:sz w:val="24"/>
                <w:highlight w:val="none"/>
              </w:rPr>
              <w:t>万元，占总投资的</w:t>
            </w:r>
            <w:r>
              <w:rPr>
                <w:rFonts w:hint="eastAsia"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w:t>
            </w:r>
          </w:p>
          <w:p w14:paraId="63DD01EC">
            <w:pPr>
              <w:keepNext w:val="0"/>
              <w:keepLines w:val="0"/>
              <w:numPr>
                <w:ilvl w:val="0"/>
                <w:numId w:val="5"/>
              </w:numPr>
              <w:suppressLineNumbers w:val="0"/>
              <w:spacing w:before="0" w:beforeAutospacing="0" w:after="0" w:afterAutospacing="0" w:line="360" w:lineRule="auto"/>
              <w:ind w:left="0" w:right="0"/>
              <w:jc w:val="left"/>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主要产品及产能情况</w:t>
            </w:r>
          </w:p>
          <w:p w14:paraId="4089DC9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项目主要从事小分子抗肿瘤药的早期小试研发，并通过细胞培养和细胞检测实验为抗肿瘤药物的研发提供支持。</w:t>
            </w:r>
          </w:p>
          <w:p w14:paraId="3FA23A6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kern w:val="2"/>
                <w:sz w:val="24"/>
                <w:szCs w:val="24"/>
                <w:lang w:val="en-US" w:eastAsia="zh-CN" w:bidi="ar-SA"/>
              </w:rPr>
              <w:t>表2-</w:t>
            </w:r>
            <w:r>
              <w:rPr>
                <w:rFonts w:hint="eastAsia" w:ascii="Times New Roman" w:hAnsi="Times New Roman" w:eastAsia="宋体" w:cs="Times New Roman"/>
                <w:b/>
                <w:bCs/>
                <w:color w:val="auto"/>
                <w:kern w:val="2"/>
                <w:sz w:val="24"/>
                <w:szCs w:val="24"/>
                <w:lang w:val="en-US" w:eastAsia="zh-CN" w:bidi="ar-SA"/>
              </w:rPr>
              <w:t xml:space="preserve">2 </w:t>
            </w:r>
            <w:r>
              <w:rPr>
                <w:rFonts w:hint="default" w:ascii="Times New Roman" w:hAnsi="Times New Roman" w:eastAsia="宋体" w:cs="Times New Roman"/>
                <w:b/>
                <w:bCs/>
                <w:color w:val="auto"/>
                <w:sz w:val="24"/>
                <w:szCs w:val="24"/>
                <w:highlight w:val="none"/>
              </w:rPr>
              <w:t>建设项目主要产品及产能情况</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316"/>
              <w:gridCol w:w="3480"/>
              <w:gridCol w:w="2028"/>
              <w:gridCol w:w="981"/>
            </w:tblGrid>
            <w:tr w14:paraId="41236A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413" w:type="pct"/>
                  <w:tcBorders>
                    <w:tl2br w:val="nil"/>
                    <w:tr2bl w:val="nil"/>
                  </w:tcBorders>
                  <w:noWrap w:val="0"/>
                  <w:vAlign w:val="center"/>
                </w:tcPr>
                <w:p w14:paraId="794B1C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序号</w:t>
                  </w:r>
                </w:p>
              </w:tc>
              <w:tc>
                <w:tcPr>
                  <w:tcW w:w="773" w:type="pct"/>
                  <w:tcBorders>
                    <w:tl2br w:val="nil"/>
                    <w:tr2bl w:val="nil"/>
                  </w:tcBorders>
                  <w:noWrap w:val="0"/>
                  <w:vAlign w:val="center"/>
                </w:tcPr>
                <w:p w14:paraId="66CD5B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类别</w:t>
                  </w:r>
                </w:p>
              </w:tc>
              <w:tc>
                <w:tcPr>
                  <w:tcW w:w="2044" w:type="pct"/>
                  <w:tcBorders>
                    <w:tl2br w:val="nil"/>
                    <w:tr2bl w:val="nil"/>
                  </w:tcBorders>
                  <w:noWrap w:val="0"/>
                  <w:vAlign w:val="center"/>
                </w:tcPr>
                <w:p w14:paraId="4F27E0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产品名称</w:t>
                  </w:r>
                </w:p>
              </w:tc>
              <w:tc>
                <w:tcPr>
                  <w:tcW w:w="1191" w:type="pct"/>
                  <w:tcBorders>
                    <w:tl2br w:val="nil"/>
                    <w:tr2bl w:val="nil"/>
                  </w:tcBorders>
                  <w:noWrap w:val="0"/>
                  <w:vAlign w:val="center"/>
                </w:tcPr>
                <w:p w14:paraId="3B9941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b/>
                      <w:bCs/>
                      <w:color w:val="auto"/>
                      <w:sz w:val="21"/>
                      <w:szCs w:val="21"/>
                      <w:highlight w:val="none"/>
                    </w:rPr>
                    <w:t>设计能力</w:t>
                  </w:r>
                </w:p>
              </w:tc>
              <w:tc>
                <w:tcPr>
                  <w:tcW w:w="576" w:type="pct"/>
                  <w:tcBorders>
                    <w:tl2br w:val="nil"/>
                    <w:tr2bl w:val="nil"/>
                  </w:tcBorders>
                  <w:noWrap w:val="0"/>
                  <w:vAlign w:val="center"/>
                </w:tcPr>
                <w:p w14:paraId="16F4DD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年运行时数</w:t>
                  </w:r>
                </w:p>
              </w:tc>
            </w:tr>
            <w:tr w14:paraId="17EC0C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tcBorders>
                    <w:tl2br w:val="nil"/>
                    <w:tr2bl w:val="nil"/>
                  </w:tcBorders>
                  <w:noWrap w:val="0"/>
                  <w:vAlign w:val="center"/>
                </w:tcPr>
                <w:p w14:paraId="599D3A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773" w:type="pct"/>
                  <w:tcBorders>
                    <w:tl2br w:val="nil"/>
                    <w:tr2bl w:val="nil"/>
                  </w:tcBorders>
                  <w:noWrap w:val="0"/>
                  <w:vAlign w:val="center"/>
                </w:tcPr>
                <w:p w14:paraId="629608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研发</w:t>
                  </w:r>
                </w:p>
              </w:tc>
              <w:tc>
                <w:tcPr>
                  <w:tcW w:w="2044" w:type="pct"/>
                  <w:tcBorders>
                    <w:tl2br w:val="nil"/>
                    <w:tr2bl w:val="nil"/>
                  </w:tcBorders>
                  <w:noWrap w:val="0"/>
                  <w:vAlign w:val="center"/>
                </w:tcPr>
                <w:p w14:paraId="68000B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化合物测试</w:t>
                  </w:r>
                </w:p>
              </w:tc>
              <w:tc>
                <w:tcPr>
                  <w:tcW w:w="1191" w:type="pct"/>
                  <w:tcBorders>
                    <w:tl2br w:val="nil"/>
                    <w:tr2bl w:val="nil"/>
                  </w:tcBorders>
                  <w:noWrap w:val="0"/>
                  <w:vAlign w:val="center"/>
                </w:tcPr>
                <w:p w14:paraId="37AA92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500个/年</w:t>
                  </w:r>
                </w:p>
              </w:tc>
              <w:tc>
                <w:tcPr>
                  <w:tcW w:w="576" w:type="pct"/>
                  <w:tcBorders>
                    <w:tl2br w:val="nil"/>
                    <w:tr2bl w:val="nil"/>
                  </w:tcBorders>
                  <w:noWrap w:val="0"/>
                  <w:vAlign w:val="center"/>
                </w:tcPr>
                <w:p w14:paraId="10B28B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2400h</w:t>
                  </w:r>
                </w:p>
              </w:tc>
            </w:tr>
          </w:tbl>
          <w:p w14:paraId="19512841">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32"/>
                <w:highlight w:val="none"/>
              </w:rPr>
            </w:pPr>
            <w:r>
              <w:rPr>
                <w:rFonts w:hint="default" w:ascii="Times New Roman" w:hAnsi="Times New Roman" w:eastAsia="宋体" w:cs="Times New Roman"/>
                <w:b/>
                <w:bCs/>
                <w:color w:val="auto"/>
                <w:sz w:val="24"/>
                <w:szCs w:val="32"/>
                <w:highlight w:val="none"/>
              </w:rPr>
              <w:t>4、项目建设内容组成表</w:t>
            </w:r>
          </w:p>
          <w:p w14:paraId="6DD5553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outlineLvl w:val="9"/>
              <w:rPr>
                <w:rFonts w:hint="default" w:ascii="Times New Roman" w:hAnsi="Times New Roman" w:eastAsia="宋体" w:cs="Times New Roman"/>
                <w:b/>
                <w:color w:val="auto"/>
                <w:sz w:val="24"/>
                <w:highlight w:val="none"/>
                <w:lang w:val="en-US" w:eastAsia="zh-CN"/>
              </w:rPr>
            </w:pPr>
            <w:r>
              <w:rPr>
                <w:rFonts w:hint="default" w:ascii="Times New Roman" w:hAnsi="Times New Roman" w:eastAsia="宋体" w:cs="Times New Roman"/>
                <w:b/>
                <w:color w:val="auto"/>
                <w:kern w:val="2"/>
                <w:sz w:val="24"/>
                <w:szCs w:val="24"/>
                <w:lang w:val="en-US" w:eastAsia="zh-CN" w:bidi="ar-SA"/>
              </w:rPr>
              <w:t>表2-</w:t>
            </w:r>
            <w:r>
              <w:rPr>
                <w:rFonts w:hint="eastAsia" w:ascii="Times New Roman" w:hAnsi="Times New Roman" w:eastAsia="宋体" w:cs="Times New Roman"/>
                <w:b/>
                <w:color w:val="auto"/>
                <w:kern w:val="2"/>
                <w:sz w:val="24"/>
                <w:szCs w:val="24"/>
                <w:lang w:val="en-US" w:eastAsia="zh-CN" w:bidi="ar-SA"/>
              </w:rPr>
              <w:t xml:space="preserve">3 </w:t>
            </w:r>
            <w:r>
              <w:rPr>
                <w:rFonts w:hint="default" w:ascii="Times New Roman" w:hAnsi="Times New Roman" w:eastAsia="宋体" w:cs="Times New Roman"/>
                <w:b/>
                <w:color w:val="auto"/>
                <w:sz w:val="24"/>
                <w:highlight w:val="none"/>
                <w:lang w:val="en-US" w:eastAsia="zh-CN"/>
              </w:rPr>
              <w:t>建设项目</w:t>
            </w:r>
            <w:r>
              <w:rPr>
                <w:rFonts w:hint="eastAsia" w:ascii="Times New Roman" w:hAnsi="Times New Roman" w:eastAsia="宋体" w:cs="Times New Roman"/>
                <w:b/>
                <w:color w:val="auto"/>
                <w:sz w:val="24"/>
                <w:highlight w:val="none"/>
                <w:lang w:val="en-US" w:eastAsia="zh-CN"/>
              </w:rPr>
              <w:t>公用</w:t>
            </w:r>
            <w:r>
              <w:rPr>
                <w:rFonts w:hint="default" w:ascii="Times New Roman" w:hAnsi="Times New Roman" w:eastAsia="宋体" w:cs="Times New Roman"/>
                <w:b/>
                <w:color w:val="auto"/>
                <w:sz w:val="24"/>
                <w:highlight w:val="none"/>
                <w:lang w:val="en-US" w:eastAsia="zh-CN"/>
              </w:rPr>
              <w:t>工程</w:t>
            </w:r>
            <w:r>
              <w:rPr>
                <w:rFonts w:hint="eastAsia" w:ascii="Times New Roman" w:hAnsi="Times New Roman" w:eastAsia="宋体" w:cs="Times New Roman"/>
                <w:b/>
                <w:color w:val="auto"/>
                <w:sz w:val="24"/>
                <w:highlight w:val="none"/>
                <w:lang w:val="en-US" w:eastAsia="zh-CN"/>
              </w:rPr>
              <w:t>及辅助工程</w:t>
            </w:r>
            <w:r>
              <w:rPr>
                <w:rFonts w:hint="default" w:ascii="Times New Roman" w:hAnsi="Times New Roman" w:eastAsia="宋体" w:cs="Times New Roman"/>
                <w:b/>
                <w:color w:val="auto"/>
                <w:sz w:val="24"/>
                <w:highlight w:val="none"/>
                <w:lang w:val="en-US" w:eastAsia="zh-CN"/>
              </w:rPr>
              <w:t>表</w:t>
            </w:r>
          </w:p>
          <w:tbl>
            <w:tblPr>
              <w:tblStyle w:val="25"/>
              <w:tblW w:w="8584" w:type="dxa"/>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0" w:type="dxa"/>
                <w:bottom w:w="0" w:type="dxa"/>
                <w:right w:w="0" w:type="dxa"/>
              </w:tblCellMar>
            </w:tblPr>
            <w:tblGrid>
              <w:gridCol w:w="1293"/>
              <w:gridCol w:w="514"/>
              <w:gridCol w:w="1639"/>
              <w:gridCol w:w="2393"/>
              <w:gridCol w:w="2745"/>
            </w:tblGrid>
            <w:tr w14:paraId="491BB065">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1293" w:type="dxa"/>
                  <w:noWrap w:val="0"/>
                  <w:vAlign w:val="center"/>
                </w:tcPr>
                <w:p w14:paraId="726A6E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工程名称</w:t>
                  </w:r>
                </w:p>
              </w:tc>
              <w:tc>
                <w:tcPr>
                  <w:tcW w:w="2153" w:type="dxa"/>
                  <w:gridSpan w:val="2"/>
                  <w:noWrap w:val="0"/>
                  <w:vAlign w:val="center"/>
                </w:tcPr>
                <w:p w14:paraId="4D77DA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建设名称</w:t>
                  </w:r>
                </w:p>
              </w:tc>
              <w:tc>
                <w:tcPr>
                  <w:tcW w:w="2393" w:type="dxa"/>
                  <w:noWrap w:val="0"/>
                  <w:vAlign w:val="center"/>
                </w:tcPr>
                <w:p w14:paraId="5EA135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设计能力</w:t>
                  </w:r>
                </w:p>
              </w:tc>
              <w:tc>
                <w:tcPr>
                  <w:tcW w:w="2745" w:type="dxa"/>
                  <w:noWrap w:val="0"/>
                  <w:vAlign w:val="center"/>
                </w:tcPr>
                <w:p w14:paraId="6B1C7E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备注</w:t>
                  </w:r>
                </w:p>
              </w:tc>
            </w:tr>
            <w:tr w14:paraId="3D3E442C">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53" w:hRule="atLeast"/>
                <w:jc w:val="center"/>
              </w:trPr>
              <w:tc>
                <w:tcPr>
                  <w:tcW w:w="1293" w:type="dxa"/>
                  <w:vMerge w:val="restart"/>
                  <w:noWrap w:val="0"/>
                  <w:vAlign w:val="center"/>
                </w:tcPr>
                <w:p w14:paraId="39C21A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主体工程</w:t>
                  </w:r>
                </w:p>
              </w:tc>
              <w:tc>
                <w:tcPr>
                  <w:tcW w:w="2153" w:type="dxa"/>
                  <w:gridSpan w:val="2"/>
                  <w:noWrap w:val="0"/>
                  <w:vAlign w:val="center"/>
                </w:tcPr>
                <w:p w14:paraId="2F5666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实验室</w:t>
                  </w:r>
                </w:p>
              </w:tc>
              <w:tc>
                <w:tcPr>
                  <w:tcW w:w="2393" w:type="dxa"/>
                  <w:noWrap w:val="0"/>
                  <w:vAlign w:val="center"/>
                </w:tcPr>
                <w:p w14:paraId="204738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265m</w:t>
                  </w:r>
                  <w:r>
                    <w:rPr>
                      <w:rFonts w:hint="eastAsia" w:ascii="Times New Roman" w:hAnsi="Times New Roman" w:eastAsia="宋体" w:cs="Times New Roman"/>
                      <w:b w:val="0"/>
                      <w:bCs w:val="0"/>
                      <w:color w:val="auto"/>
                      <w:sz w:val="21"/>
                      <w:szCs w:val="21"/>
                      <w:highlight w:val="none"/>
                      <w:vertAlign w:val="superscript"/>
                      <w:lang w:val="en-US" w:eastAsia="zh-CN"/>
                    </w:rPr>
                    <w:t>2</w:t>
                  </w:r>
                </w:p>
              </w:tc>
              <w:tc>
                <w:tcPr>
                  <w:tcW w:w="2745" w:type="dxa"/>
                  <w:vMerge w:val="restart"/>
                  <w:noWrap w:val="0"/>
                  <w:vAlign w:val="center"/>
                </w:tcPr>
                <w:p w14:paraId="486938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租赁无锡生命科学产业发展有限公司已建成厂房</w:t>
                  </w:r>
                  <w:r>
                    <w:rPr>
                      <w:rFonts w:hint="eastAsia" w:cs="Times New Roman"/>
                      <w:b w:val="0"/>
                      <w:bCs w:val="0"/>
                      <w:color w:val="auto"/>
                      <w:sz w:val="21"/>
                      <w:szCs w:val="21"/>
                      <w:highlight w:val="none"/>
                      <w:lang w:val="en-US" w:eastAsia="zh-CN"/>
                    </w:rPr>
                    <w:t>开展建设</w:t>
                  </w:r>
                </w:p>
              </w:tc>
            </w:tr>
            <w:tr w14:paraId="24355BFA">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53" w:hRule="atLeast"/>
                <w:jc w:val="center"/>
              </w:trPr>
              <w:tc>
                <w:tcPr>
                  <w:tcW w:w="1293" w:type="dxa"/>
                  <w:vMerge w:val="continue"/>
                  <w:noWrap w:val="0"/>
                  <w:vAlign w:val="center"/>
                </w:tcPr>
                <w:p w14:paraId="32FE95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p>
              </w:tc>
              <w:tc>
                <w:tcPr>
                  <w:tcW w:w="2153" w:type="dxa"/>
                  <w:gridSpan w:val="2"/>
                  <w:noWrap w:val="0"/>
                  <w:vAlign w:val="center"/>
                </w:tcPr>
                <w:p w14:paraId="04B5D8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细胞房</w:t>
                  </w:r>
                </w:p>
              </w:tc>
              <w:tc>
                <w:tcPr>
                  <w:tcW w:w="2393" w:type="dxa"/>
                  <w:noWrap w:val="0"/>
                  <w:vAlign w:val="center"/>
                </w:tcPr>
                <w:p w14:paraId="655739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92m</w:t>
                  </w:r>
                  <w:r>
                    <w:rPr>
                      <w:rFonts w:hint="eastAsia" w:ascii="Times New Roman" w:hAnsi="Times New Roman" w:eastAsia="宋体" w:cs="Times New Roman"/>
                      <w:b w:val="0"/>
                      <w:bCs w:val="0"/>
                      <w:color w:val="auto"/>
                      <w:sz w:val="21"/>
                      <w:szCs w:val="21"/>
                      <w:highlight w:val="none"/>
                      <w:vertAlign w:val="superscript"/>
                      <w:lang w:val="en-US" w:eastAsia="zh-CN"/>
                    </w:rPr>
                    <w:t>2</w:t>
                  </w:r>
                </w:p>
              </w:tc>
              <w:tc>
                <w:tcPr>
                  <w:tcW w:w="2745" w:type="dxa"/>
                  <w:vMerge w:val="continue"/>
                  <w:noWrap w:val="0"/>
                  <w:vAlign w:val="center"/>
                </w:tcPr>
                <w:p w14:paraId="0EE652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p>
              </w:tc>
            </w:tr>
            <w:tr w14:paraId="7FD0278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63" w:hRule="atLeast"/>
                <w:jc w:val="center"/>
              </w:trPr>
              <w:tc>
                <w:tcPr>
                  <w:tcW w:w="1293" w:type="dxa"/>
                  <w:vMerge w:val="restart"/>
                  <w:noWrap w:val="0"/>
                  <w:vAlign w:val="center"/>
                </w:tcPr>
                <w:p w14:paraId="04D7B7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贮运工程</w:t>
                  </w:r>
                </w:p>
              </w:tc>
              <w:tc>
                <w:tcPr>
                  <w:tcW w:w="2153" w:type="dxa"/>
                  <w:gridSpan w:val="2"/>
                  <w:noWrap w:val="0"/>
                  <w:vAlign w:val="center"/>
                </w:tcPr>
                <w:p w14:paraId="2B82EB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冰箱间</w:t>
                  </w:r>
                </w:p>
              </w:tc>
              <w:tc>
                <w:tcPr>
                  <w:tcW w:w="2393" w:type="dxa"/>
                  <w:noWrap w:val="0"/>
                  <w:vAlign w:val="center"/>
                </w:tcPr>
                <w:p w14:paraId="155E33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65m</w:t>
                  </w:r>
                  <w:r>
                    <w:rPr>
                      <w:rFonts w:hint="eastAsia" w:ascii="Times New Roman" w:hAnsi="Times New Roman" w:eastAsia="宋体" w:cs="Times New Roman"/>
                      <w:b w:val="0"/>
                      <w:bCs w:val="0"/>
                      <w:color w:val="auto"/>
                      <w:sz w:val="21"/>
                      <w:szCs w:val="21"/>
                      <w:highlight w:val="none"/>
                      <w:vertAlign w:val="superscript"/>
                      <w:lang w:val="en-US" w:eastAsia="zh-CN"/>
                    </w:rPr>
                    <w:t>2</w:t>
                  </w:r>
                </w:p>
              </w:tc>
              <w:tc>
                <w:tcPr>
                  <w:tcW w:w="2745" w:type="dxa"/>
                  <w:noWrap w:val="0"/>
                  <w:vAlign w:val="center"/>
                </w:tcPr>
                <w:p w14:paraId="131B9B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存放原材料</w:t>
                  </w:r>
                </w:p>
              </w:tc>
            </w:tr>
            <w:tr w14:paraId="4F0EC6FB">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63" w:hRule="atLeast"/>
                <w:jc w:val="center"/>
              </w:trPr>
              <w:tc>
                <w:tcPr>
                  <w:tcW w:w="1293" w:type="dxa"/>
                  <w:vMerge w:val="continue"/>
                  <w:noWrap w:val="0"/>
                  <w:vAlign w:val="center"/>
                </w:tcPr>
                <w:p w14:paraId="4BBE3F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p>
              </w:tc>
              <w:tc>
                <w:tcPr>
                  <w:tcW w:w="2153" w:type="dxa"/>
                  <w:gridSpan w:val="2"/>
                  <w:noWrap w:val="0"/>
                  <w:vAlign w:val="center"/>
                </w:tcPr>
                <w:p w14:paraId="219F17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试剂耗材仓库</w:t>
                  </w:r>
                </w:p>
              </w:tc>
              <w:tc>
                <w:tcPr>
                  <w:tcW w:w="2393" w:type="dxa"/>
                  <w:noWrap w:val="0"/>
                  <w:vAlign w:val="center"/>
                </w:tcPr>
                <w:p w14:paraId="2975C6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105m</w:t>
                  </w:r>
                  <w:r>
                    <w:rPr>
                      <w:rFonts w:hint="eastAsia" w:ascii="Times New Roman" w:hAnsi="Times New Roman" w:eastAsia="宋体" w:cs="Times New Roman"/>
                      <w:b w:val="0"/>
                      <w:bCs w:val="0"/>
                      <w:color w:val="auto"/>
                      <w:sz w:val="21"/>
                      <w:szCs w:val="21"/>
                      <w:highlight w:val="none"/>
                      <w:vertAlign w:val="superscript"/>
                      <w:lang w:val="en-US" w:eastAsia="zh-CN"/>
                    </w:rPr>
                    <w:t>2</w:t>
                  </w:r>
                </w:p>
              </w:tc>
              <w:tc>
                <w:tcPr>
                  <w:tcW w:w="2745" w:type="dxa"/>
                  <w:noWrap w:val="0"/>
                  <w:vAlign w:val="center"/>
                </w:tcPr>
                <w:p w14:paraId="452777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存放原辅材料</w:t>
                  </w:r>
                </w:p>
              </w:tc>
            </w:tr>
            <w:tr w14:paraId="5698FF2B">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53" w:hRule="atLeast"/>
                <w:jc w:val="center"/>
              </w:trPr>
              <w:tc>
                <w:tcPr>
                  <w:tcW w:w="1293" w:type="dxa"/>
                  <w:vMerge w:val="restart"/>
                  <w:noWrap w:val="0"/>
                  <w:vAlign w:val="center"/>
                </w:tcPr>
                <w:p w14:paraId="7C4AA7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公用工程</w:t>
                  </w:r>
                </w:p>
              </w:tc>
              <w:tc>
                <w:tcPr>
                  <w:tcW w:w="2153" w:type="dxa"/>
                  <w:gridSpan w:val="2"/>
                  <w:noWrap w:val="0"/>
                  <w:vAlign w:val="center"/>
                </w:tcPr>
                <w:p w14:paraId="604DB8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给水</w:t>
                  </w:r>
                </w:p>
              </w:tc>
              <w:tc>
                <w:tcPr>
                  <w:tcW w:w="2393" w:type="dxa"/>
                  <w:noWrap w:val="0"/>
                  <w:vAlign w:val="center"/>
                </w:tcPr>
                <w:p w14:paraId="05167B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391.55t/a</w:t>
                  </w:r>
                </w:p>
                <w:p w14:paraId="743EE6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自来水</w:t>
                  </w:r>
                </w:p>
              </w:tc>
              <w:tc>
                <w:tcPr>
                  <w:tcW w:w="2745" w:type="dxa"/>
                  <w:noWrap w:val="0"/>
                  <w:vAlign w:val="center"/>
                </w:tcPr>
                <w:p w14:paraId="7D854C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自来水公司统一管网供给</w:t>
                  </w:r>
                </w:p>
              </w:tc>
            </w:tr>
            <w:tr w14:paraId="10094868">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482" w:hRule="atLeast"/>
                <w:jc w:val="center"/>
              </w:trPr>
              <w:tc>
                <w:tcPr>
                  <w:tcW w:w="1293" w:type="dxa"/>
                  <w:vMerge w:val="continue"/>
                  <w:noWrap w:val="0"/>
                  <w:vAlign w:val="center"/>
                </w:tcPr>
                <w:p w14:paraId="7DF08F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p>
              </w:tc>
              <w:tc>
                <w:tcPr>
                  <w:tcW w:w="2153" w:type="dxa"/>
                  <w:gridSpan w:val="2"/>
                  <w:vMerge w:val="restart"/>
                  <w:noWrap w:val="0"/>
                  <w:vAlign w:val="center"/>
                </w:tcPr>
                <w:p w14:paraId="147BD4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排水</w:t>
                  </w:r>
                </w:p>
              </w:tc>
              <w:tc>
                <w:tcPr>
                  <w:tcW w:w="2393" w:type="dxa"/>
                  <w:noWrap w:val="0"/>
                  <w:vAlign w:val="center"/>
                </w:tcPr>
                <w:p w14:paraId="5CD907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112.5t/a</w:t>
                  </w:r>
                </w:p>
                <w:p w14:paraId="28D116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生活污水</w:t>
                  </w:r>
                </w:p>
              </w:tc>
              <w:tc>
                <w:tcPr>
                  <w:tcW w:w="2745" w:type="dxa"/>
                  <w:noWrap w:val="0"/>
                  <w:vAlign w:val="center"/>
                </w:tcPr>
                <w:p w14:paraId="38004A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依托无锡生命科学产业发展有限公司已建成化粪池处理后接管至太湖新城污水处理厂进行深度处理</w:t>
                  </w:r>
                </w:p>
              </w:tc>
            </w:tr>
            <w:tr w14:paraId="6A52291A">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482" w:hRule="atLeast"/>
                <w:jc w:val="center"/>
              </w:trPr>
              <w:tc>
                <w:tcPr>
                  <w:tcW w:w="1293" w:type="dxa"/>
                  <w:vMerge w:val="continue"/>
                  <w:noWrap w:val="0"/>
                  <w:vAlign w:val="center"/>
                </w:tcPr>
                <w:p w14:paraId="6B2D34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p>
              </w:tc>
              <w:tc>
                <w:tcPr>
                  <w:tcW w:w="2153" w:type="dxa"/>
                  <w:gridSpan w:val="2"/>
                  <w:vMerge w:val="continue"/>
                  <w:noWrap w:val="0"/>
                  <w:vAlign w:val="center"/>
                </w:tcPr>
                <w:p w14:paraId="6CBDFA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p>
              </w:tc>
              <w:tc>
                <w:tcPr>
                  <w:tcW w:w="2393" w:type="dxa"/>
                  <w:noWrap w:val="0"/>
                  <w:vAlign w:val="center"/>
                </w:tcPr>
                <w:p w14:paraId="04356A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200t/a</w:t>
                  </w:r>
                </w:p>
                <w:p w14:paraId="2BCD5A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淋浴废水</w:t>
                  </w:r>
                </w:p>
              </w:tc>
              <w:tc>
                <w:tcPr>
                  <w:tcW w:w="2745" w:type="dxa"/>
                  <w:noWrap w:val="0"/>
                  <w:vAlign w:val="center"/>
                </w:tcPr>
                <w:p w14:paraId="2447AF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依托无锡生命科学产业发展有限公司已建成化粪池处理后接管至太湖新城污水处理厂进行深度处理</w:t>
                  </w:r>
                </w:p>
              </w:tc>
            </w:tr>
            <w:tr w14:paraId="1AB40006">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482" w:hRule="atLeast"/>
                <w:jc w:val="center"/>
              </w:trPr>
              <w:tc>
                <w:tcPr>
                  <w:tcW w:w="1293" w:type="dxa"/>
                  <w:vMerge w:val="continue"/>
                  <w:noWrap w:val="0"/>
                  <w:vAlign w:val="center"/>
                </w:tcPr>
                <w:p w14:paraId="7A65CE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p>
              </w:tc>
              <w:tc>
                <w:tcPr>
                  <w:tcW w:w="2153" w:type="dxa"/>
                  <w:gridSpan w:val="2"/>
                  <w:vMerge w:val="continue"/>
                  <w:noWrap w:val="0"/>
                  <w:vAlign w:val="center"/>
                </w:tcPr>
                <w:p w14:paraId="503429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p>
              </w:tc>
              <w:tc>
                <w:tcPr>
                  <w:tcW w:w="2393" w:type="dxa"/>
                  <w:noWrap w:val="0"/>
                  <w:vAlign w:val="center"/>
                </w:tcPr>
                <w:p w14:paraId="14E63B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4.95t/a</w:t>
                  </w:r>
                </w:p>
                <w:p w14:paraId="322D69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纯水制备浓水</w:t>
                  </w:r>
                </w:p>
              </w:tc>
              <w:tc>
                <w:tcPr>
                  <w:tcW w:w="2745" w:type="dxa"/>
                  <w:noWrap w:val="0"/>
                  <w:vAlign w:val="center"/>
                </w:tcPr>
                <w:p w14:paraId="24D60F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接管至太湖新城污水处理厂进行深度处理，尾水排入京杭运河</w:t>
                  </w:r>
                </w:p>
              </w:tc>
            </w:tr>
            <w:tr w14:paraId="14E89A66">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482" w:hRule="atLeast"/>
                <w:jc w:val="center"/>
              </w:trPr>
              <w:tc>
                <w:tcPr>
                  <w:tcW w:w="1293" w:type="dxa"/>
                  <w:vMerge w:val="continue"/>
                  <w:noWrap w:val="0"/>
                  <w:vAlign w:val="center"/>
                </w:tcPr>
                <w:p w14:paraId="2B7FE4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p>
              </w:tc>
              <w:tc>
                <w:tcPr>
                  <w:tcW w:w="2153" w:type="dxa"/>
                  <w:gridSpan w:val="2"/>
                  <w:vMerge w:val="continue"/>
                  <w:noWrap w:val="0"/>
                  <w:vAlign w:val="center"/>
                </w:tcPr>
                <w:p w14:paraId="17488E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p>
              </w:tc>
              <w:tc>
                <w:tcPr>
                  <w:tcW w:w="2393" w:type="dxa"/>
                  <w:noWrap w:val="0"/>
                  <w:vAlign w:val="center"/>
                </w:tcPr>
                <w:p w14:paraId="7AB777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1.44t/a</w:t>
                  </w:r>
                </w:p>
                <w:p w14:paraId="3D56AA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水浴锅排水</w:t>
                  </w:r>
                </w:p>
              </w:tc>
              <w:tc>
                <w:tcPr>
                  <w:tcW w:w="2745" w:type="dxa"/>
                  <w:noWrap w:val="0"/>
                  <w:vAlign w:val="center"/>
                </w:tcPr>
                <w:p w14:paraId="451FD6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接管至太湖新城污水处理厂进行深度处理，尾水排入京杭运河</w:t>
                  </w:r>
                </w:p>
              </w:tc>
            </w:tr>
            <w:tr w14:paraId="4CB86AC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53" w:hRule="atLeast"/>
                <w:jc w:val="center"/>
              </w:trPr>
              <w:tc>
                <w:tcPr>
                  <w:tcW w:w="1293" w:type="dxa"/>
                  <w:vMerge w:val="continue"/>
                  <w:noWrap w:val="0"/>
                  <w:vAlign w:val="center"/>
                </w:tcPr>
                <w:p w14:paraId="07B7EA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p>
              </w:tc>
              <w:tc>
                <w:tcPr>
                  <w:tcW w:w="2153" w:type="dxa"/>
                  <w:gridSpan w:val="2"/>
                  <w:noWrap w:val="0"/>
                  <w:vAlign w:val="center"/>
                </w:tcPr>
                <w:p w14:paraId="28E9FC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供电</w:t>
                  </w:r>
                </w:p>
              </w:tc>
              <w:tc>
                <w:tcPr>
                  <w:tcW w:w="2393" w:type="dxa"/>
                  <w:noWrap w:val="0"/>
                  <w:vAlign w:val="center"/>
                </w:tcPr>
                <w:p w14:paraId="347CA6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FF0000"/>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80</w:t>
                  </w:r>
                  <w:r>
                    <w:rPr>
                      <w:rFonts w:hint="default" w:ascii="Times New Roman" w:hAnsi="Times New Roman" w:eastAsia="宋体" w:cs="Times New Roman"/>
                      <w:b w:val="0"/>
                      <w:bCs w:val="0"/>
                      <w:color w:val="auto"/>
                      <w:sz w:val="21"/>
                      <w:szCs w:val="21"/>
                      <w:highlight w:val="none"/>
                    </w:rPr>
                    <w:t>万度/年</w:t>
                  </w:r>
                </w:p>
              </w:tc>
              <w:tc>
                <w:tcPr>
                  <w:tcW w:w="2745" w:type="dxa"/>
                  <w:noWrap w:val="0"/>
                  <w:vAlign w:val="center"/>
                </w:tcPr>
                <w:p w14:paraId="68126F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市政供电管网</w:t>
                  </w:r>
                </w:p>
              </w:tc>
            </w:tr>
            <w:tr w14:paraId="49C2A019">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4" w:hRule="atLeast"/>
                <w:jc w:val="center"/>
              </w:trPr>
              <w:tc>
                <w:tcPr>
                  <w:tcW w:w="1293" w:type="dxa"/>
                  <w:vMerge w:val="restart"/>
                  <w:noWrap w:val="0"/>
                  <w:vAlign w:val="center"/>
                </w:tcPr>
                <w:p w14:paraId="78618A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环保工程</w:t>
                  </w:r>
                </w:p>
              </w:tc>
              <w:tc>
                <w:tcPr>
                  <w:tcW w:w="514" w:type="dxa"/>
                  <w:vMerge w:val="restart"/>
                  <w:noWrap w:val="0"/>
                  <w:vAlign w:val="center"/>
                </w:tcPr>
                <w:p w14:paraId="2D1331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废气处理</w:t>
                  </w:r>
                </w:p>
              </w:tc>
              <w:tc>
                <w:tcPr>
                  <w:tcW w:w="1639" w:type="dxa"/>
                  <w:noWrap w:val="0"/>
                  <w:vAlign w:val="center"/>
                </w:tcPr>
                <w:p w14:paraId="14AE5F32">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原料挥发</w:t>
                  </w:r>
                  <w:r>
                    <w:rPr>
                      <w:rFonts w:hint="eastAsia" w:ascii="Times New Roman" w:hAnsi="Times New Roman" w:eastAsia="宋体" w:cs="Times New Roman"/>
                      <w:color w:val="auto"/>
                      <w:sz w:val="21"/>
                      <w:szCs w:val="21"/>
                      <w:highlight w:val="none"/>
                      <w:lang w:eastAsia="zh-CN"/>
                    </w:rPr>
                    <w:t>废气</w:t>
                  </w:r>
                </w:p>
              </w:tc>
              <w:tc>
                <w:tcPr>
                  <w:tcW w:w="2393" w:type="dxa"/>
                  <w:noWrap w:val="0"/>
                  <w:vAlign w:val="center"/>
                </w:tcPr>
                <w:p w14:paraId="4FD3817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 xml:space="preserve">经通风橱收集后通过二级活性炭吸附装置进行处理，风机风量   </w:t>
                  </w:r>
                </w:p>
              </w:tc>
              <w:tc>
                <w:tcPr>
                  <w:tcW w:w="2745" w:type="dxa"/>
                  <w:noWrap w:val="0"/>
                  <w:vAlign w:val="center"/>
                </w:tcPr>
                <w:p w14:paraId="3AC631B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通过一根15m高排气筒</w:t>
                  </w:r>
                  <w:r>
                    <w:rPr>
                      <w:rFonts w:hint="eastAsia"/>
                      <w:color w:val="auto"/>
                      <w:sz w:val="21"/>
                      <w:szCs w:val="21"/>
                      <w:highlight w:val="none"/>
                      <w:lang w:val="en-US" w:eastAsia="zh-CN"/>
                    </w:rPr>
                    <w:t>FQ01</w:t>
                  </w:r>
                  <w:r>
                    <w:rPr>
                      <w:rFonts w:hint="eastAsia" w:ascii="Times New Roman" w:hAnsi="Times New Roman" w:eastAsia="宋体"/>
                      <w:color w:val="auto"/>
                      <w:sz w:val="21"/>
                      <w:szCs w:val="21"/>
                      <w:highlight w:val="none"/>
                      <w:lang w:val="en-US" w:eastAsia="zh-CN"/>
                    </w:rPr>
                    <w:t>排放</w:t>
                  </w:r>
                </w:p>
              </w:tc>
            </w:tr>
            <w:tr w14:paraId="2CFF6053">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4" w:hRule="atLeast"/>
                <w:jc w:val="center"/>
              </w:trPr>
              <w:tc>
                <w:tcPr>
                  <w:tcW w:w="1293" w:type="dxa"/>
                  <w:vMerge w:val="continue"/>
                  <w:noWrap w:val="0"/>
                  <w:vAlign w:val="center"/>
                </w:tcPr>
                <w:p w14:paraId="30214C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p>
              </w:tc>
              <w:tc>
                <w:tcPr>
                  <w:tcW w:w="514" w:type="dxa"/>
                  <w:vMerge w:val="continue"/>
                  <w:noWrap w:val="0"/>
                  <w:vAlign w:val="center"/>
                </w:tcPr>
                <w:p w14:paraId="325623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1639" w:type="dxa"/>
                  <w:noWrap w:val="0"/>
                  <w:vAlign w:val="center"/>
                </w:tcPr>
                <w:p w14:paraId="4746AE2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生物安全柜废气（</w:t>
                  </w:r>
                  <w:r>
                    <w:rPr>
                      <w:rFonts w:hint="eastAsia"/>
                      <w:color w:val="auto"/>
                      <w:highlight w:val="none"/>
                      <w:lang w:eastAsia="zh-CN"/>
                    </w:rPr>
                    <w:t>含有病原微生物的废气</w:t>
                  </w:r>
                  <w:r>
                    <w:rPr>
                      <w:rFonts w:hint="eastAsia" w:cs="Times New Roman"/>
                      <w:color w:val="auto"/>
                      <w:sz w:val="21"/>
                      <w:szCs w:val="21"/>
                      <w:highlight w:val="none"/>
                      <w:lang w:val="en-US" w:eastAsia="zh-CN"/>
                    </w:rPr>
                    <w:t>）</w:t>
                  </w:r>
                </w:p>
              </w:tc>
              <w:tc>
                <w:tcPr>
                  <w:tcW w:w="2393" w:type="dxa"/>
                  <w:noWrap w:val="0"/>
                  <w:vAlign w:val="center"/>
                </w:tcPr>
                <w:p w14:paraId="4842127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经过设备自带的HEPA过滤器进行处理</w:t>
                  </w:r>
                </w:p>
              </w:tc>
              <w:tc>
                <w:tcPr>
                  <w:tcW w:w="2745" w:type="dxa"/>
                  <w:noWrap w:val="0"/>
                  <w:vAlign w:val="center"/>
                </w:tcPr>
                <w:p w14:paraId="72AE1690">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部分（70%）送回安全柜内，部分（30%）排至实验室内。</w:t>
                  </w:r>
                </w:p>
              </w:tc>
            </w:tr>
            <w:tr w14:paraId="4EAA68B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4" w:hRule="atLeast"/>
                <w:jc w:val="center"/>
              </w:trPr>
              <w:tc>
                <w:tcPr>
                  <w:tcW w:w="1293" w:type="dxa"/>
                  <w:vMerge w:val="continue"/>
                  <w:noWrap w:val="0"/>
                  <w:vAlign w:val="center"/>
                </w:tcPr>
                <w:p w14:paraId="5DC0A7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p>
              </w:tc>
              <w:tc>
                <w:tcPr>
                  <w:tcW w:w="514" w:type="dxa"/>
                  <w:noWrap w:val="0"/>
                  <w:vAlign w:val="center"/>
                </w:tcPr>
                <w:p w14:paraId="5B7BFD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废水处理</w:t>
                  </w:r>
                </w:p>
              </w:tc>
              <w:tc>
                <w:tcPr>
                  <w:tcW w:w="1639" w:type="dxa"/>
                  <w:noWrap w:val="0"/>
                  <w:vAlign w:val="center"/>
                </w:tcPr>
                <w:p w14:paraId="60AA93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生活污水</w:t>
                  </w:r>
                  <w:r>
                    <w:rPr>
                      <w:rFonts w:hint="eastAsia" w:cs="Times New Roman"/>
                      <w:b w:val="0"/>
                      <w:bCs w:val="0"/>
                      <w:color w:val="auto"/>
                      <w:sz w:val="21"/>
                      <w:szCs w:val="21"/>
                      <w:highlight w:val="none"/>
                      <w:lang w:val="en-US" w:eastAsia="zh-CN"/>
                    </w:rPr>
                    <w:t>、淋浴废水</w:t>
                  </w:r>
                </w:p>
              </w:tc>
              <w:tc>
                <w:tcPr>
                  <w:tcW w:w="2393" w:type="dxa"/>
                  <w:noWrap w:val="0"/>
                  <w:vAlign w:val="center"/>
                </w:tcPr>
                <w:p w14:paraId="5F2217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化粪池</w:t>
                  </w:r>
                </w:p>
              </w:tc>
              <w:tc>
                <w:tcPr>
                  <w:tcW w:w="2745" w:type="dxa"/>
                  <w:noWrap w:val="0"/>
                  <w:vAlign w:val="center"/>
                </w:tcPr>
                <w:p w14:paraId="6BF977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olor w:val="auto"/>
                      <w:sz w:val="21"/>
                      <w:szCs w:val="21"/>
                      <w:highlight w:val="none"/>
                      <w:lang w:val="en-US" w:eastAsia="zh-CN"/>
                    </w:rPr>
                    <w:t>化粪池</w:t>
                  </w:r>
                  <w:r>
                    <w:rPr>
                      <w:rFonts w:hint="eastAsia"/>
                      <w:color w:val="auto"/>
                      <w:sz w:val="21"/>
                      <w:szCs w:val="21"/>
                      <w:highlight w:val="none"/>
                      <w:lang w:val="en-US" w:eastAsia="zh-CN"/>
                    </w:rPr>
                    <w:t>依</w:t>
                  </w:r>
                  <w:r>
                    <w:rPr>
                      <w:rFonts w:hint="eastAsia" w:cs="Times New Roman"/>
                      <w:b w:val="0"/>
                      <w:bCs w:val="0"/>
                      <w:color w:val="auto"/>
                      <w:sz w:val="21"/>
                      <w:szCs w:val="21"/>
                      <w:highlight w:val="none"/>
                      <w:lang w:val="en-US" w:eastAsia="zh-CN"/>
                    </w:rPr>
                    <w:t>托无锡生命科学产业发展有限公司已建成</w:t>
                  </w:r>
                  <w:r>
                    <w:rPr>
                      <w:rFonts w:hint="default" w:ascii="Times New Roman" w:hAnsi="Times New Roman" w:eastAsia="宋体"/>
                      <w:color w:val="auto"/>
                      <w:sz w:val="21"/>
                      <w:szCs w:val="21"/>
                      <w:highlight w:val="none"/>
                    </w:rPr>
                    <w:t>设施</w:t>
                  </w:r>
                </w:p>
              </w:tc>
            </w:tr>
            <w:tr w14:paraId="237A4E5B">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53" w:hRule="atLeast"/>
                <w:jc w:val="center"/>
              </w:trPr>
              <w:tc>
                <w:tcPr>
                  <w:tcW w:w="1293" w:type="dxa"/>
                  <w:vMerge w:val="continue"/>
                  <w:noWrap w:val="0"/>
                  <w:vAlign w:val="center"/>
                </w:tcPr>
                <w:p w14:paraId="4642F5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p>
              </w:tc>
              <w:tc>
                <w:tcPr>
                  <w:tcW w:w="514" w:type="dxa"/>
                  <w:noWrap w:val="0"/>
                  <w:vAlign w:val="center"/>
                </w:tcPr>
                <w:p w14:paraId="075694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噪声处理</w:t>
                  </w:r>
                </w:p>
              </w:tc>
              <w:tc>
                <w:tcPr>
                  <w:tcW w:w="1639" w:type="dxa"/>
                  <w:noWrap w:val="0"/>
                  <w:vAlign w:val="center"/>
                </w:tcPr>
                <w:p w14:paraId="26D75A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设备运行</w:t>
                  </w:r>
                  <w:r>
                    <w:rPr>
                      <w:rFonts w:hint="eastAsia" w:ascii="Times New Roman" w:hAnsi="Times New Roman" w:eastAsia="宋体" w:cs="Times New Roman"/>
                      <w:b w:val="0"/>
                      <w:bCs w:val="0"/>
                      <w:color w:val="auto"/>
                      <w:sz w:val="21"/>
                      <w:szCs w:val="21"/>
                      <w:highlight w:val="none"/>
                    </w:rPr>
                    <w:t>噪声</w:t>
                  </w:r>
                </w:p>
              </w:tc>
              <w:tc>
                <w:tcPr>
                  <w:tcW w:w="2393" w:type="dxa"/>
                  <w:noWrap w:val="0"/>
                  <w:vAlign w:val="center"/>
                </w:tcPr>
                <w:p w14:paraId="36F7EC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rPr>
                    <w:t>厂房隔音，距离衰减</w:t>
                  </w:r>
                </w:p>
              </w:tc>
              <w:tc>
                <w:tcPr>
                  <w:tcW w:w="2745" w:type="dxa"/>
                  <w:noWrap w:val="0"/>
                  <w:vAlign w:val="center"/>
                </w:tcPr>
                <w:p w14:paraId="178FA9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厂界噪声达标</w:t>
                  </w:r>
                </w:p>
              </w:tc>
            </w:tr>
            <w:tr w14:paraId="52D942C5">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63" w:hRule="atLeast"/>
                <w:jc w:val="center"/>
              </w:trPr>
              <w:tc>
                <w:tcPr>
                  <w:tcW w:w="1293" w:type="dxa"/>
                  <w:vMerge w:val="continue"/>
                  <w:noWrap w:val="0"/>
                  <w:vAlign w:val="center"/>
                </w:tcPr>
                <w:p w14:paraId="3DB4BE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p>
              </w:tc>
              <w:tc>
                <w:tcPr>
                  <w:tcW w:w="514" w:type="dxa"/>
                  <w:vMerge w:val="restart"/>
                  <w:noWrap w:val="0"/>
                  <w:vAlign w:val="center"/>
                </w:tcPr>
                <w:p w14:paraId="25B625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固废处理</w:t>
                  </w:r>
                </w:p>
              </w:tc>
              <w:tc>
                <w:tcPr>
                  <w:tcW w:w="1639" w:type="dxa"/>
                  <w:noWrap w:val="0"/>
                  <w:vAlign w:val="center"/>
                </w:tcPr>
                <w:p w14:paraId="1D798E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rPr>
                    <w:t>危废</w:t>
                  </w:r>
                  <w:r>
                    <w:rPr>
                      <w:rFonts w:hint="eastAsia" w:ascii="Times New Roman" w:hAnsi="Times New Roman" w:eastAsia="宋体" w:cs="Times New Roman"/>
                      <w:b w:val="0"/>
                      <w:bCs w:val="0"/>
                      <w:color w:val="auto"/>
                      <w:sz w:val="21"/>
                      <w:szCs w:val="21"/>
                      <w:highlight w:val="none"/>
                      <w:lang w:val="en-US" w:eastAsia="zh-CN"/>
                    </w:rPr>
                    <w:t>间</w:t>
                  </w:r>
                </w:p>
              </w:tc>
              <w:tc>
                <w:tcPr>
                  <w:tcW w:w="2393" w:type="dxa"/>
                  <w:noWrap w:val="0"/>
                  <w:vAlign w:val="center"/>
                </w:tcPr>
                <w:p w14:paraId="646DF5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65</w:t>
                  </w:r>
                  <w:r>
                    <w:rPr>
                      <w:rFonts w:hint="default" w:ascii="Times New Roman" w:hAnsi="Times New Roman" w:eastAsia="宋体" w:cs="Times New Roman"/>
                      <w:b w:val="0"/>
                      <w:bCs w:val="0"/>
                      <w:color w:val="auto"/>
                      <w:sz w:val="21"/>
                      <w:szCs w:val="21"/>
                      <w:highlight w:val="none"/>
                    </w:rPr>
                    <w:t>m</w:t>
                  </w:r>
                  <w:r>
                    <w:rPr>
                      <w:rFonts w:hint="default" w:ascii="Times New Roman" w:hAnsi="Times New Roman" w:eastAsia="宋体" w:cs="Times New Roman"/>
                      <w:b w:val="0"/>
                      <w:bCs w:val="0"/>
                      <w:color w:val="auto"/>
                      <w:sz w:val="21"/>
                      <w:szCs w:val="21"/>
                      <w:highlight w:val="none"/>
                      <w:vertAlign w:val="superscript"/>
                    </w:rPr>
                    <w:t>2</w:t>
                  </w:r>
                </w:p>
              </w:tc>
              <w:tc>
                <w:tcPr>
                  <w:tcW w:w="2745" w:type="dxa"/>
                  <w:noWrap w:val="0"/>
                  <w:vAlign w:val="center"/>
                </w:tcPr>
                <w:p w14:paraId="1AC769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rPr>
                    <w:t>危险废物安全存放</w:t>
                  </w:r>
                </w:p>
              </w:tc>
            </w:tr>
            <w:tr w14:paraId="2FDE460A">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53" w:hRule="atLeast"/>
                <w:jc w:val="center"/>
              </w:trPr>
              <w:tc>
                <w:tcPr>
                  <w:tcW w:w="1293" w:type="dxa"/>
                  <w:vMerge w:val="continue"/>
                  <w:noWrap w:val="0"/>
                  <w:vAlign w:val="center"/>
                </w:tcPr>
                <w:p w14:paraId="2AAE56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p>
              </w:tc>
              <w:tc>
                <w:tcPr>
                  <w:tcW w:w="514" w:type="dxa"/>
                  <w:vMerge w:val="continue"/>
                  <w:noWrap w:val="0"/>
                  <w:vAlign w:val="center"/>
                </w:tcPr>
                <w:p w14:paraId="390481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p>
              </w:tc>
              <w:tc>
                <w:tcPr>
                  <w:tcW w:w="1639" w:type="dxa"/>
                  <w:noWrap w:val="0"/>
                  <w:vAlign w:val="center"/>
                </w:tcPr>
                <w:p w14:paraId="5F788B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生活垃圾</w:t>
                  </w:r>
                </w:p>
              </w:tc>
              <w:tc>
                <w:tcPr>
                  <w:tcW w:w="2393" w:type="dxa"/>
                  <w:noWrap w:val="0"/>
                  <w:vAlign w:val="center"/>
                </w:tcPr>
                <w:p w14:paraId="7618E0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垃圾箱</w:t>
                  </w:r>
                </w:p>
              </w:tc>
              <w:tc>
                <w:tcPr>
                  <w:tcW w:w="2745" w:type="dxa"/>
                  <w:noWrap w:val="0"/>
                  <w:vAlign w:val="center"/>
                </w:tcPr>
                <w:p w14:paraId="374780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由环卫部门统一清运</w:t>
                  </w:r>
                </w:p>
              </w:tc>
            </w:tr>
          </w:tbl>
          <w:p w14:paraId="09325C31">
            <w:pPr>
              <w:keepNext w:val="0"/>
              <w:keepLines w:val="0"/>
              <w:numPr>
                <w:ilvl w:val="0"/>
                <w:numId w:val="0"/>
              </w:numPr>
              <w:suppressLineNumbers w:val="0"/>
              <w:spacing w:before="0" w:beforeAutospacing="0" w:after="0" w:afterAutospacing="0" w:line="360" w:lineRule="auto"/>
              <w:ind w:left="0" w:right="0"/>
              <w:jc w:val="left"/>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kern w:val="2"/>
                <w:sz w:val="24"/>
                <w:szCs w:val="24"/>
                <w:lang w:val="en-US" w:eastAsia="zh-CN" w:bidi="ar-SA"/>
              </w:rPr>
              <w:t>5、</w:t>
            </w:r>
            <w:r>
              <w:rPr>
                <w:rFonts w:hint="default" w:ascii="Times New Roman" w:hAnsi="Times New Roman" w:eastAsia="宋体" w:cs="Times New Roman"/>
                <w:b/>
                <w:bCs/>
                <w:color w:val="auto"/>
                <w:sz w:val="24"/>
                <w:szCs w:val="32"/>
                <w:highlight w:val="none"/>
              </w:rPr>
              <w:t>主要原辅材料</w:t>
            </w:r>
          </w:p>
          <w:p w14:paraId="1C648B18">
            <w:pPr>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kern w:val="2"/>
                <w:sz w:val="24"/>
                <w:szCs w:val="24"/>
                <w:highlight w:val="none"/>
                <w:lang w:val="en-US" w:eastAsia="zh-CN" w:bidi="ar-SA"/>
              </w:rPr>
              <w:t>表2-</w:t>
            </w:r>
            <w:r>
              <w:rPr>
                <w:rFonts w:hint="eastAsia" w:ascii="Times New Roman" w:hAnsi="Times New Roman" w:eastAsia="宋体" w:cs="Times New Roman"/>
                <w:b/>
                <w:bCs/>
                <w:color w:val="auto"/>
                <w:kern w:val="2"/>
                <w:sz w:val="24"/>
                <w:szCs w:val="24"/>
                <w:highlight w:val="none"/>
                <w:lang w:val="en-US" w:eastAsia="zh-CN" w:bidi="ar-SA"/>
              </w:rPr>
              <w:t xml:space="preserve">4  </w:t>
            </w:r>
            <w:r>
              <w:rPr>
                <w:rFonts w:hint="default" w:ascii="Times New Roman" w:hAnsi="Times New Roman" w:eastAsia="宋体" w:cs="Times New Roman"/>
                <w:b/>
                <w:bCs/>
                <w:color w:val="auto"/>
                <w:sz w:val="24"/>
                <w:szCs w:val="24"/>
                <w:highlight w:val="none"/>
              </w:rPr>
              <w:t>项目</w:t>
            </w:r>
            <w:r>
              <w:rPr>
                <w:rFonts w:hint="eastAsia" w:ascii="Times New Roman" w:hAnsi="Times New Roman" w:eastAsia="宋体" w:cs="Times New Roman"/>
                <w:b/>
                <w:bCs/>
                <w:color w:val="auto"/>
                <w:sz w:val="24"/>
                <w:szCs w:val="24"/>
                <w:highlight w:val="none"/>
                <w:lang w:val="en-US" w:eastAsia="zh-CN"/>
              </w:rPr>
              <w:t>主要</w:t>
            </w:r>
            <w:r>
              <w:rPr>
                <w:rFonts w:hint="default" w:ascii="Times New Roman" w:hAnsi="Times New Roman" w:eastAsia="宋体" w:cs="Times New Roman"/>
                <w:b/>
                <w:bCs/>
                <w:color w:val="auto"/>
                <w:sz w:val="24"/>
                <w:szCs w:val="24"/>
                <w:highlight w:val="none"/>
              </w:rPr>
              <w:t>原辅材料</w:t>
            </w:r>
            <w:r>
              <w:rPr>
                <w:rFonts w:hint="default" w:ascii="Times New Roman" w:hAnsi="Times New Roman" w:eastAsia="宋体" w:cs="Times New Roman"/>
                <w:b/>
                <w:color w:val="auto"/>
                <w:sz w:val="24"/>
                <w:szCs w:val="24"/>
                <w:highlight w:val="none"/>
              </w:rPr>
              <w:t>及燃料</w:t>
            </w:r>
            <w:r>
              <w:rPr>
                <w:rFonts w:hint="default" w:ascii="Times New Roman" w:hAnsi="Times New Roman" w:eastAsia="宋体" w:cs="Times New Roman"/>
                <w:b/>
                <w:bCs/>
                <w:color w:val="auto"/>
                <w:sz w:val="24"/>
                <w:szCs w:val="24"/>
                <w:highlight w:val="none"/>
              </w:rPr>
              <w:t xml:space="preserve">消耗表  </w:t>
            </w:r>
            <w:r>
              <w:rPr>
                <w:rFonts w:hint="default" w:ascii="Times New Roman" w:hAnsi="Times New Roman" w:eastAsia="宋体" w:cs="Times New Roman"/>
                <w:b/>
                <w:bCs/>
                <w:color w:val="auto"/>
                <w:sz w:val="24"/>
                <w:highlight w:val="none"/>
              </w:rPr>
              <w:t xml:space="preserve"> </w:t>
            </w:r>
          </w:p>
          <w:tbl>
            <w:tblPr>
              <w:tblStyle w:val="25"/>
              <w:tblW w:w="866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610"/>
              <w:gridCol w:w="1107"/>
              <w:gridCol w:w="2044"/>
              <w:gridCol w:w="1029"/>
              <w:gridCol w:w="819"/>
              <w:gridCol w:w="747"/>
              <w:gridCol w:w="731"/>
            </w:tblGrid>
            <w:tr w14:paraId="58ACA1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0FAAA52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929" w:type="pct"/>
                  <w:noWrap w:val="0"/>
                  <w:vAlign w:val="center"/>
                </w:tcPr>
                <w:p w14:paraId="5C044B5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638" w:type="pct"/>
                  <w:tcBorders>
                    <w:left w:val="single" w:color="auto" w:sz="4" w:space="0"/>
                  </w:tcBorders>
                  <w:noWrap w:val="0"/>
                  <w:vAlign w:val="center"/>
                </w:tcPr>
                <w:p w14:paraId="76555FD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单位</w:t>
                  </w:r>
                </w:p>
              </w:tc>
              <w:tc>
                <w:tcPr>
                  <w:tcW w:w="1179" w:type="pct"/>
                  <w:tcBorders>
                    <w:left w:val="single" w:color="auto" w:sz="4" w:space="0"/>
                  </w:tcBorders>
                  <w:noWrap w:val="0"/>
                  <w:vAlign w:val="center"/>
                </w:tcPr>
                <w:p w14:paraId="0251123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重要组分</w:t>
                  </w:r>
                </w:p>
              </w:tc>
              <w:tc>
                <w:tcPr>
                  <w:tcW w:w="593" w:type="pct"/>
                  <w:tcBorders>
                    <w:left w:val="single" w:color="auto" w:sz="4" w:space="0"/>
                  </w:tcBorders>
                  <w:noWrap w:val="0"/>
                  <w:vAlign w:val="center"/>
                </w:tcPr>
                <w:p w14:paraId="5A72F9C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 xml:space="preserve">包装规格 </w:t>
                  </w:r>
                </w:p>
              </w:tc>
              <w:tc>
                <w:tcPr>
                  <w:tcW w:w="472" w:type="pct"/>
                  <w:tcBorders>
                    <w:left w:val="single" w:color="auto" w:sz="4" w:space="0"/>
                  </w:tcBorders>
                  <w:noWrap w:val="0"/>
                  <w:vAlign w:val="center"/>
                </w:tcPr>
                <w:p w14:paraId="017A98D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val="en-US" w:eastAsia="zh-CN"/>
                    </w:rPr>
                    <w:t>使用</w:t>
                  </w:r>
                  <w:r>
                    <w:rPr>
                      <w:rFonts w:hint="default" w:ascii="Times New Roman" w:hAnsi="Times New Roman" w:eastAsia="宋体" w:cs="Times New Roman"/>
                      <w:b/>
                      <w:bCs/>
                      <w:color w:val="auto"/>
                      <w:sz w:val="21"/>
                      <w:szCs w:val="21"/>
                      <w:highlight w:val="none"/>
                      <w:lang w:eastAsia="zh-CN"/>
                    </w:rPr>
                    <w:t>量</w:t>
                  </w:r>
                </w:p>
              </w:tc>
              <w:tc>
                <w:tcPr>
                  <w:tcW w:w="431" w:type="pct"/>
                  <w:noWrap w:val="0"/>
                  <w:vAlign w:val="center"/>
                </w:tcPr>
                <w:p w14:paraId="7FA3BDB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eastAsia="zh-CN"/>
                    </w:rPr>
                    <w:t>最大储存量</w:t>
                  </w:r>
                </w:p>
              </w:tc>
              <w:tc>
                <w:tcPr>
                  <w:tcW w:w="421" w:type="pct"/>
                  <w:noWrap w:val="0"/>
                  <w:vAlign w:val="center"/>
                </w:tcPr>
                <w:p w14:paraId="5406EDF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储存位置</w:t>
                  </w:r>
                </w:p>
              </w:tc>
            </w:tr>
            <w:tr w14:paraId="02D5BD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35D3764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929" w:type="pct"/>
                  <w:noWrap w:val="0"/>
                  <w:vAlign w:val="center"/>
                </w:tcPr>
                <w:p w14:paraId="086AD1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highlight w:val="none"/>
                      <w:lang w:val="en-US" w:eastAsia="zh-CN"/>
                    </w:rPr>
                  </w:pPr>
                  <w:r>
                    <w:rPr>
                      <w:rStyle w:val="54"/>
                      <w:rFonts w:ascii="Times New Roman" w:hAnsi="Times New Roman" w:eastAsia="宋体"/>
                      <w:color w:val="auto"/>
                      <w:sz w:val="21"/>
                      <w:highlight w:val="none"/>
                      <w:lang w:val="en-US" w:eastAsia="zh-CN" w:bidi="ar"/>
                    </w:rPr>
                    <w:t>384孔</w:t>
                  </w:r>
                  <w:r>
                    <w:rPr>
                      <w:rStyle w:val="55"/>
                      <w:rFonts w:ascii="Times New Roman" w:hAnsi="Times New Roman" w:eastAsia="宋体"/>
                      <w:color w:val="auto"/>
                      <w:sz w:val="21"/>
                      <w:highlight w:val="none"/>
                      <w:lang w:val="en-US" w:eastAsia="zh-CN" w:bidi="ar"/>
                    </w:rPr>
                    <w:t>small volume</w:t>
                  </w:r>
                  <w:r>
                    <w:rPr>
                      <w:rStyle w:val="54"/>
                      <w:rFonts w:ascii="Times New Roman" w:hAnsi="Times New Roman" w:eastAsia="宋体"/>
                      <w:color w:val="auto"/>
                      <w:sz w:val="21"/>
                      <w:highlight w:val="none"/>
                      <w:lang w:val="en-US" w:eastAsia="zh-CN" w:bidi="ar"/>
                    </w:rPr>
                    <w:t>深孔板</w:t>
                  </w:r>
                </w:p>
              </w:tc>
              <w:tc>
                <w:tcPr>
                  <w:tcW w:w="638" w:type="pct"/>
                  <w:tcBorders>
                    <w:left w:val="single" w:color="auto" w:sz="4" w:space="0"/>
                  </w:tcBorders>
                  <w:noWrap w:val="0"/>
                  <w:vAlign w:val="center"/>
                </w:tcPr>
                <w:p w14:paraId="49627C79">
                  <w:pPr>
                    <w:keepNext w:val="0"/>
                    <w:keepLines w:val="0"/>
                    <w:suppressLineNumbers w:val="0"/>
                    <w:spacing w:before="0" w:beforeAutospacing="0" w:after="0" w:afterAutospacing="0" w:line="240" w:lineRule="auto"/>
                    <w:ind w:left="0" w:right="0"/>
                    <w:jc w:val="center"/>
                    <w:rPr>
                      <w:rFonts w:hint="default" w:ascii="Times New Roman" w:hAnsi="Times New Roman" w:eastAsia="宋体"/>
                      <w:color w:val="auto"/>
                      <w:highlight w:val="none"/>
                      <w:lang w:val="en-US" w:eastAsia="zh-CN"/>
                    </w:rPr>
                  </w:pPr>
                  <w:r>
                    <w:rPr>
                      <w:rFonts w:hint="eastAsia" w:ascii="Times New Roman" w:hAnsi="Times New Roman" w:eastAsia="宋体" w:cs="Times New Roman"/>
                      <w:color w:val="auto"/>
                      <w:sz w:val="21"/>
                      <w:szCs w:val="21"/>
                      <w:highlight w:val="none"/>
                      <w:lang w:val="en-US" w:eastAsia="zh-CN"/>
                    </w:rPr>
                    <w:t>块/a</w:t>
                  </w:r>
                </w:p>
              </w:tc>
              <w:tc>
                <w:tcPr>
                  <w:tcW w:w="1179" w:type="pct"/>
                  <w:tcBorders>
                    <w:left w:val="single" w:color="auto" w:sz="4" w:space="0"/>
                    <w:right w:val="single" w:color="auto" w:sz="4" w:space="0"/>
                  </w:tcBorders>
                  <w:noWrap w:val="0"/>
                  <w:vAlign w:val="center"/>
                </w:tcPr>
                <w:p w14:paraId="5A6957E5">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聚苯乙烯（PS）或聚丙烯（PP）</w:t>
                  </w:r>
                </w:p>
              </w:tc>
              <w:tc>
                <w:tcPr>
                  <w:tcW w:w="593" w:type="pct"/>
                  <w:tcBorders>
                    <w:left w:val="single" w:color="auto" w:sz="4" w:space="0"/>
                    <w:right w:val="single" w:color="auto" w:sz="4" w:space="0"/>
                  </w:tcBorders>
                  <w:noWrap w:val="0"/>
                  <w:vAlign w:val="center"/>
                </w:tcPr>
                <w:p w14:paraId="6ED54B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r>
                    <w:rPr>
                      <w:rFonts w:hint="eastAsia" w:ascii="Times New Roman" w:hAnsi="Times New Roman" w:eastAsia="宋体" w:cs="Times New Roman"/>
                      <w:i w:val="0"/>
                      <w:iCs w:val="0"/>
                      <w:color w:val="auto"/>
                      <w:kern w:val="0"/>
                      <w:sz w:val="21"/>
                      <w:szCs w:val="21"/>
                      <w:highlight w:val="none"/>
                      <w:u w:val="none"/>
                      <w:lang w:val="en-US" w:eastAsia="zh-CN" w:bidi="ar"/>
                    </w:rPr>
                    <w:t>块</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等线"/>
                      <w:i w:val="0"/>
                      <w:iCs w:val="0"/>
                      <w:color w:val="auto"/>
                      <w:kern w:val="0"/>
                      <w:sz w:val="21"/>
                      <w:szCs w:val="21"/>
                      <w:highlight w:val="none"/>
                      <w:u w:val="none"/>
                      <w:lang w:val="en-US" w:eastAsia="zh-CN" w:bidi="ar"/>
                    </w:rPr>
                    <w:t>箱</w:t>
                  </w:r>
                </w:p>
              </w:tc>
              <w:tc>
                <w:tcPr>
                  <w:tcW w:w="472" w:type="pct"/>
                  <w:tcBorders>
                    <w:left w:val="single" w:color="auto" w:sz="4" w:space="0"/>
                    <w:right w:val="single" w:color="auto" w:sz="4" w:space="0"/>
                  </w:tcBorders>
                  <w:noWrap w:val="0"/>
                  <w:vAlign w:val="center"/>
                </w:tcPr>
                <w:p w14:paraId="385224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1600</w:t>
                  </w:r>
                </w:p>
              </w:tc>
              <w:tc>
                <w:tcPr>
                  <w:tcW w:w="431" w:type="pct"/>
                  <w:noWrap w:val="0"/>
                  <w:vAlign w:val="center"/>
                </w:tcPr>
                <w:p w14:paraId="3827F4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r>
                    <w:rPr>
                      <w:rFonts w:hint="eastAsia" w:ascii="Times New Roman" w:hAnsi="Times New Roman" w:eastAsia="宋体" w:cs="Times New Roman"/>
                      <w:i w:val="0"/>
                      <w:iCs w:val="0"/>
                      <w:color w:val="auto"/>
                      <w:kern w:val="0"/>
                      <w:sz w:val="21"/>
                      <w:szCs w:val="21"/>
                      <w:highlight w:val="none"/>
                      <w:u w:val="none"/>
                      <w:lang w:val="en-US" w:eastAsia="zh-CN" w:bidi="ar"/>
                    </w:rPr>
                    <w:t>块</w:t>
                  </w:r>
                </w:p>
              </w:tc>
              <w:tc>
                <w:tcPr>
                  <w:tcW w:w="421" w:type="pct"/>
                  <w:noWrap w:val="0"/>
                  <w:vAlign w:val="center"/>
                </w:tcPr>
                <w:p w14:paraId="116EDCF8">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冰箱</w:t>
                  </w:r>
                </w:p>
              </w:tc>
            </w:tr>
            <w:tr w14:paraId="454F78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44A796C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929" w:type="pct"/>
                  <w:noWrap w:val="0"/>
                  <w:vAlign w:val="center"/>
                </w:tcPr>
                <w:p w14:paraId="1362A7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highlight w:val="none"/>
                      <w:lang w:val="en-US" w:eastAsia="zh-CN"/>
                    </w:rPr>
                  </w:pPr>
                  <w:r>
                    <w:rPr>
                      <w:rStyle w:val="54"/>
                      <w:rFonts w:ascii="Times New Roman" w:hAnsi="Times New Roman" w:eastAsia="宋体"/>
                      <w:color w:val="auto"/>
                      <w:sz w:val="21"/>
                      <w:highlight w:val="none"/>
                      <w:lang w:val="en-US" w:eastAsia="zh-CN" w:bidi="ar"/>
                    </w:rPr>
                    <w:t>75%消毒酒精</w:t>
                  </w:r>
                </w:p>
              </w:tc>
              <w:tc>
                <w:tcPr>
                  <w:tcW w:w="638" w:type="pct"/>
                  <w:tcBorders>
                    <w:left w:val="single" w:color="auto" w:sz="4" w:space="0"/>
                  </w:tcBorders>
                  <w:noWrap w:val="0"/>
                  <w:vAlign w:val="center"/>
                </w:tcPr>
                <w:p w14:paraId="7AC68DF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L/a</w:t>
                  </w:r>
                </w:p>
              </w:tc>
              <w:tc>
                <w:tcPr>
                  <w:tcW w:w="1179" w:type="pct"/>
                  <w:tcBorders>
                    <w:left w:val="single" w:color="auto" w:sz="4" w:space="0"/>
                    <w:right w:val="single" w:color="auto" w:sz="4" w:space="0"/>
                  </w:tcBorders>
                  <w:noWrap w:val="0"/>
                  <w:vAlign w:val="center"/>
                </w:tcPr>
                <w:p w14:paraId="4F0A928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乙醇（75%体积浓度） + 去离子水（25%）</w:t>
                  </w:r>
                </w:p>
              </w:tc>
              <w:tc>
                <w:tcPr>
                  <w:tcW w:w="593" w:type="pct"/>
                  <w:tcBorders>
                    <w:left w:val="single" w:color="auto" w:sz="4" w:space="0"/>
                    <w:right w:val="single" w:color="auto" w:sz="4" w:space="0"/>
                  </w:tcBorders>
                  <w:noWrap w:val="0"/>
                  <w:vAlign w:val="center"/>
                </w:tcPr>
                <w:p w14:paraId="2C1100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0.5L</w:t>
                  </w:r>
                  <w:r>
                    <w:rPr>
                      <w:rFonts w:hint="eastAsia" w:ascii="Times New Roman" w:hAnsi="Times New Roman" w:eastAsia="宋体" w:cs="Times New Roman"/>
                      <w:i w:val="0"/>
                      <w:iCs w:val="0"/>
                      <w:color w:val="auto"/>
                      <w:kern w:val="0"/>
                      <w:sz w:val="21"/>
                      <w:szCs w:val="21"/>
                      <w:highlight w:val="none"/>
                      <w:u w:val="none"/>
                      <w:lang w:val="en-US" w:eastAsia="zh-CN" w:bidi="ar"/>
                    </w:rPr>
                    <w:t>/瓶</w:t>
                  </w:r>
                </w:p>
              </w:tc>
              <w:tc>
                <w:tcPr>
                  <w:tcW w:w="472" w:type="pct"/>
                  <w:tcBorders>
                    <w:left w:val="single" w:color="auto" w:sz="4" w:space="0"/>
                    <w:right w:val="single" w:color="auto" w:sz="4" w:space="0"/>
                  </w:tcBorders>
                  <w:noWrap w:val="0"/>
                  <w:vAlign w:val="center"/>
                </w:tcPr>
                <w:p w14:paraId="1932B3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431" w:type="pct"/>
                  <w:noWrap w:val="0"/>
                  <w:vAlign w:val="center"/>
                </w:tcPr>
                <w:p w14:paraId="6994A88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r>
                    <w:rPr>
                      <w:rFonts w:hint="eastAsia" w:ascii="Times New Roman" w:hAnsi="Times New Roman" w:eastAsia="宋体" w:cs="Times New Roman"/>
                      <w:i w:val="0"/>
                      <w:iCs w:val="0"/>
                      <w:color w:val="auto"/>
                      <w:kern w:val="0"/>
                      <w:sz w:val="21"/>
                      <w:szCs w:val="21"/>
                      <w:highlight w:val="none"/>
                      <w:u w:val="none"/>
                      <w:lang w:val="en-US" w:eastAsia="zh-CN" w:bidi="ar"/>
                    </w:rPr>
                    <w:t>L</w:t>
                  </w:r>
                </w:p>
              </w:tc>
              <w:tc>
                <w:tcPr>
                  <w:tcW w:w="421" w:type="pct"/>
                  <w:noWrap w:val="0"/>
                  <w:vAlign w:val="center"/>
                </w:tcPr>
                <w:p w14:paraId="29BCA8DD">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防爆柜</w:t>
                  </w:r>
                </w:p>
              </w:tc>
            </w:tr>
            <w:tr w14:paraId="520C0B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7522334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929" w:type="pct"/>
                  <w:noWrap w:val="0"/>
                  <w:vAlign w:val="center"/>
                </w:tcPr>
                <w:p w14:paraId="6ED0B7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highlight w:val="none"/>
                      <w:lang w:val="en-US" w:eastAsia="zh-CN"/>
                    </w:rPr>
                  </w:pPr>
                  <w:r>
                    <w:rPr>
                      <w:rStyle w:val="54"/>
                      <w:rFonts w:ascii="Times New Roman" w:hAnsi="Times New Roman" w:eastAsia="宋体"/>
                      <w:color w:val="auto"/>
                      <w:sz w:val="21"/>
                      <w:highlight w:val="none"/>
                      <w:lang w:val="en-US" w:eastAsia="zh-CN" w:bidi="ar"/>
                    </w:rPr>
                    <w:t>84消毒液</w:t>
                  </w:r>
                </w:p>
              </w:tc>
              <w:tc>
                <w:tcPr>
                  <w:tcW w:w="638" w:type="pct"/>
                  <w:tcBorders>
                    <w:left w:val="single" w:color="auto" w:sz="4" w:space="0"/>
                  </w:tcBorders>
                  <w:noWrap w:val="0"/>
                  <w:vAlign w:val="center"/>
                </w:tcPr>
                <w:p w14:paraId="43E19AC5">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L/a</w:t>
                  </w:r>
                </w:p>
              </w:tc>
              <w:tc>
                <w:tcPr>
                  <w:tcW w:w="1179" w:type="pct"/>
                  <w:tcBorders>
                    <w:left w:val="single" w:color="auto" w:sz="4" w:space="0"/>
                    <w:right w:val="single" w:color="auto" w:sz="4" w:space="0"/>
                  </w:tcBorders>
                  <w:noWrap w:val="0"/>
                  <w:vAlign w:val="center"/>
                </w:tcPr>
                <w:p w14:paraId="2ADEA59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次氯酸钠（NaClO，有效氯含量约5%） + 水</w:t>
                  </w:r>
                </w:p>
              </w:tc>
              <w:tc>
                <w:tcPr>
                  <w:tcW w:w="593" w:type="pct"/>
                  <w:tcBorders>
                    <w:left w:val="single" w:color="auto" w:sz="4" w:space="0"/>
                    <w:right w:val="single" w:color="auto" w:sz="4" w:space="0"/>
                  </w:tcBorders>
                  <w:noWrap w:val="0"/>
                  <w:vAlign w:val="center"/>
                </w:tcPr>
                <w:p w14:paraId="532618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5L</w:t>
                  </w:r>
                  <w:r>
                    <w:rPr>
                      <w:rFonts w:hint="eastAsia" w:ascii="Times New Roman" w:hAnsi="Times New Roman" w:eastAsia="宋体" w:cs="Times New Roman"/>
                      <w:i w:val="0"/>
                      <w:iCs w:val="0"/>
                      <w:color w:val="auto"/>
                      <w:kern w:val="0"/>
                      <w:sz w:val="21"/>
                      <w:szCs w:val="21"/>
                      <w:highlight w:val="none"/>
                      <w:u w:val="none"/>
                      <w:lang w:val="en-US" w:eastAsia="zh-CN" w:bidi="ar"/>
                    </w:rPr>
                    <w:t>/瓶</w:t>
                  </w:r>
                </w:p>
              </w:tc>
              <w:tc>
                <w:tcPr>
                  <w:tcW w:w="472" w:type="pct"/>
                  <w:tcBorders>
                    <w:left w:val="single" w:color="auto" w:sz="4" w:space="0"/>
                    <w:right w:val="single" w:color="auto" w:sz="4" w:space="0"/>
                  </w:tcBorders>
                  <w:noWrap w:val="0"/>
                  <w:vAlign w:val="center"/>
                </w:tcPr>
                <w:p w14:paraId="0268BA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431" w:type="pct"/>
                  <w:noWrap w:val="0"/>
                  <w:vAlign w:val="center"/>
                </w:tcPr>
                <w:p w14:paraId="312778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w:t>
                  </w:r>
                  <w:r>
                    <w:rPr>
                      <w:rFonts w:hint="eastAsia" w:ascii="Times New Roman" w:hAnsi="Times New Roman" w:eastAsia="宋体" w:cs="Times New Roman"/>
                      <w:i w:val="0"/>
                      <w:iCs w:val="0"/>
                      <w:color w:val="auto"/>
                      <w:kern w:val="0"/>
                      <w:sz w:val="21"/>
                      <w:szCs w:val="21"/>
                      <w:highlight w:val="none"/>
                      <w:u w:val="none"/>
                      <w:lang w:val="en-US" w:eastAsia="zh-CN" w:bidi="ar"/>
                    </w:rPr>
                    <w:t>L</w:t>
                  </w:r>
                </w:p>
              </w:tc>
              <w:tc>
                <w:tcPr>
                  <w:tcW w:w="421" w:type="pct"/>
                  <w:noWrap w:val="0"/>
                  <w:vAlign w:val="center"/>
                </w:tcPr>
                <w:p w14:paraId="5B0E278C">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实验室</w:t>
                  </w:r>
                </w:p>
              </w:tc>
            </w:tr>
            <w:tr w14:paraId="4B191E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4DDF202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929" w:type="pct"/>
                  <w:noWrap w:val="0"/>
                  <w:vAlign w:val="center"/>
                </w:tcPr>
                <w:p w14:paraId="2611EF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shd w:val="clear" w:color="auto" w:fill="FFFFFF"/>
                      <w:lang w:eastAsia="zh-CN"/>
                    </w:rPr>
                  </w:pPr>
                  <w:r>
                    <w:rPr>
                      <w:rStyle w:val="54"/>
                      <w:rFonts w:ascii="Times New Roman" w:hAnsi="Times New Roman" w:eastAsia="宋体"/>
                      <w:color w:val="auto"/>
                      <w:sz w:val="21"/>
                      <w:highlight w:val="none"/>
                      <w:lang w:val="en-US" w:eastAsia="zh-CN" w:bidi="ar"/>
                    </w:rPr>
                    <w:t>CellTiter-Glo-Luminescent 细胞活力检测试剂盒</w:t>
                  </w:r>
                </w:p>
              </w:tc>
              <w:tc>
                <w:tcPr>
                  <w:tcW w:w="638" w:type="pct"/>
                  <w:tcBorders>
                    <w:left w:val="single" w:color="auto" w:sz="4" w:space="0"/>
                  </w:tcBorders>
                  <w:noWrap w:val="0"/>
                  <w:vAlign w:val="center"/>
                </w:tcPr>
                <w:p w14:paraId="56F1B328">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kit/a</w:t>
                  </w:r>
                </w:p>
              </w:tc>
              <w:tc>
                <w:tcPr>
                  <w:tcW w:w="1179" w:type="pct"/>
                  <w:tcBorders>
                    <w:left w:val="single" w:color="auto" w:sz="4" w:space="0"/>
                    <w:right w:val="single" w:color="auto" w:sz="4" w:space="0"/>
                  </w:tcBorders>
                  <w:noWrap w:val="0"/>
                  <w:vAlign w:val="center"/>
                </w:tcPr>
                <w:p w14:paraId="646C8083">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萤光素酶（luciferase） + 萤光素（luciferin）</w:t>
                  </w:r>
                </w:p>
              </w:tc>
              <w:tc>
                <w:tcPr>
                  <w:tcW w:w="593" w:type="pct"/>
                  <w:tcBorders>
                    <w:left w:val="single" w:color="auto" w:sz="4" w:space="0"/>
                    <w:right w:val="single" w:color="auto" w:sz="4" w:space="0"/>
                  </w:tcBorders>
                  <w:noWrap w:val="0"/>
                  <w:vAlign w:val="center"/>
                </w:tcPr>
                <w:p w14:paraId="62AE57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1kit</w:t>
                  </w:r>
                  <w:r>
                    <w:rPr>
                      <w:rFonts w:hint="eastAsia" w:ascii="Times New Roman" w:hAnsi="Times New Roman" w:eastAsia="宋体" w:cs="Times New Roman"/>
                      <w:i w:val="0"/>
                      <w:iCs w:val="0"/>
                      <w:color w:val="auto"/>
                      <w:kern w:val="0"/>
                      <w:sz w:val="21"/>
                      <w:szCs w:val="21"/>
                      <w:highlight w:val="none"/>
                      <w:u w:val="none"/>
                      <w:lang w:val="en-US" w:eastAsia="zh-CN" w:bidi="ar"/>
                    </w:rPr>
                    <w:t>/盒</w:t>
                  </w:r>
                </w:p>
              </w:tc>
              <w:tc>
                <w:tcPr>
                  <w:tcW w:w="472" w:type="pct"/>
                  <w:tcBorders>
                    <w:left w:val="single" w:color="auto" w:sz="4" w:space="0"/>
                    <w:right w:val="single" w:color="auto" w:sz="4" w:space="0"/>
                  </w:tcBorders>
                  <w:noWrap w:val="0"/>
                  <w:vAlign w:val="center"/>
                </w:tcPr>
                <w:p w14:paraId="0DCFB7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431" w:type="pct"/>
                  <w:noWrap w:val="0"/>
                  <w:vAlign w:val="center"/>
                </w:tcPr>
                <w:p w14:paraId="088903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w:t>
                  </w:r>
                  <w:r>
                    <w:rPr>
                      <w:rFonts w:hint="eastAsia" w:ascii="Times New Roman" w:hAnsi="Times New Roman" w:eastAsia="宋体" w:cs="Times New Roman"/>
                      <w:i w:val="0"/>
                      <w:iCs w:val="0"/>
                      <w:color w:val="auto"/>
                      <w:kern w:val="0"/>
                      <w:sz w:val="21"/>
                      <w:szCs w:val="21"/>
                      <w:highlight w:val="none"/>
                      <w:u w:val="none"/>
                      <w:lang w:val="en-US" w:eastAsia="zh-CN" w:bidi="ar"/>
                    </w:rPr>
                    <w:t>kit</w:t>
                  </w:r>
                </w:p>
              </w:tc>
              <w:tc>
                <w:tcPr>
                  <w:tcW w:w="421" w:type="pct"/>
                  <w:noWrap w:val="0"/>
                  <w:vAlign w:val="center"/>
                </w:tcPr>
                <w:p w14:paraId="1E96ADF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冰箱</w:t>
                  </w:r>
                </w:p>
              </w:tc>
            </w:tr>
            <w:tr w14:paraId="6985EC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0048301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929" w:type="pct"/>
                  <w:noWrap w:val="0"/>
                  <w:vAlign w:val="center"/>
                </w:tcPr>
                <w:p w14:paraId="4A58DC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shd w:val="clear" w:color="auto" w:fill="FFFFFF"/>
                      <w:lang w:eastAsia="zh-CN"/>
                    </w:rPr>
                  </w:pPr>
                  <w:r>
                    <w:rPr>
                      <w:rStyle w:val="54"/>
                      <w:rFonts w:ascii="Times New Roman" w:hAnsi="Times New Roman" w:eastAsia="宋体"/>
                      <w:color w:val="auto"/>
                      <w:sz w:val="21"/>
                      <w:highlight w:val="none"/>
                      <w:lang w:val="en-US" w:eastAsia="zh-CN" w:bidi="ar"/>
                    </w:rPr>
                    <w:t>DMEM,RPMI1640等培养液</w:t>
                  </w:r>
                </w:p>
              </w:tc>
              <w:tc>
                <w:tcPr>
                  <w:tcW w:w="638" w:type="pct"/>
                  <w:tcBorders>
                    <w:left w:val="single" w:color="auto" w:sz="4" w:space="0"/>
                  </w:tcBorders>
                  <w:noWrap w:val="0"/>
                  <w:vAlign w:val="center"/>
                </w:tcPr>
                <w:p w14:paraId="398C64FE">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2"/>
                      <w:highlight w:val="none"/>
                      <w:u w:val="none"/>
                      <w:lang w:val="en-US" w:eastAsia="zh-CN" w:bidi="ar"/>
                    </w:rPr>
                    <w:t>L</w:t>
                  </w:r>
                  <w:r>
                    <w:rPr>
                      <w:rFonts w:hint="default" w:ascii="Times New Roman" w:hAnsi="Times New Roman" w:eastAsia="宋体" w:cs="Times New Roman"/>
                      <w:i w:val="0"/>
                      <w:iCs w:val="0"/>
                      <w:color w:val="auto"/>
                      <w:kern w:val="0"/>
                      <w:sz w:val="21"/>
                      <w:szCs w:val="21"/>
                      <w:highlight w:val="none"/>
                      <w:u w:val="none"/>
                      <w:lang w:val="en-US" w:eastAsia="zh-CN" w:bidi="ar"/>
                    </w:rPr>
                    <w:t>/a</w:t>
                  </w:r>
                </w:p>
              </w:tc>
              <w:tc>
                <w:tcPr>
                  <w:tcW w:w="1179" w:type="pct"/>
                  <w:tcBorders>
                    <w:left w:val="single" w:color="auto" w:sz="4" w:space="0"/>
                    <w:right w:val="single" w:color="auto" w:sz="4" w:space="0"/>
                  </w:tcBorders>
                  <w:noWrap w:val="0"/>
                  <w:vAlign w:val="center"/>
                </w:tcPr>
                <w:p w14:paraId="4270EE38">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氨基酸（如谷氨酰胺） + 维生素 + 葡萄糖 + 碳酸氢钠（pH缓冲剂）</w:t>
                  </w:r>
                </w:p>
              </w:tc>
              <w:tc>
                <w:tcPr>
                  <w:tcW w:w="593" w:type="pct"/>
                  <w:tcBorders>
                    <w:left w:val="single" w:color="auto" w:sz="4" w:space="0"/>
                    <w:right w:val="single" w:color="auto" w:sz="4" w:space="0"/>
                  </w:tcBorders>
                  <w:noWrap w:val="0"/>
                  <w:vAlign w:val="center"/>
                </w:tcPr>
                <w:p w14:paraId="495728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2"/>
                      <w:highlight w:val="none"/>
                      <w:u w:val="none"/>
                      <w:lang w:val="en-US" w:eastAsia="zh-CN" w:bidi="ar"/>
                    </w:rPr>
                    <w:t>0.5L</w:t>
                  </w:r>
                  <w:r>
                    <w:rPr>
                      <w:rFonts w:hint="eastAsia" w:ascii="Times New Roman" w:hAnsi="Times New Roman" w:eastAsia="宋体" w:cs="Times New Roman"/>
                      <w:i w:val="0"/>
                      <w:iCs w:val="0"/>
                      <w:color w:val="auto"/>
                      <w:kern w:val="0"/>
                      <w:sz w:val="21"/>
                      <w:szCs w:val="22"/>
                      <w:highlight w:val="none"/>
                      <w:u w:val="none"/>
                      <w:lang w:val="en-US" w:eastAsia="zh-CN" w:bidi="ar"/>
                    </w:rPr>
                    <w:t>/瓶</w:t>
                  </w:r>
                </w:p>
              </w:tc>
              <w:tc>
                <w:tcPr>
                  <w:tcW w:w="472" w:type="pct"/>
                  <w:tcBorders>
                    <w:left w:val="single" w:color="auto" w:sz="4" w:space="0"/>
                    <w:right w:val="single" w:color="auto" w:sz="4" w:space="0"/>
                  </w:tcBorders>
                  <w:noWrap w:val="0"/>
                  <w:vAlign w:val="center"/>
                </w:tcPr>
                <w:p w14:paraId="5478E9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2"/>
                      <w:highlight w:val="none"/>
                      <w:u w:val="none"/>
                      <w:lang w:val="en-US" w:eastAsia="zh-CN" w:bidi="ar"/>
                    </w:rPr>
                    <w:t>160</w:t>
                  </w:r>
                </w:p>
              </w:tc>
              <w:tc>
                <w:tcPr>
                  <w:tcW w:w="431" w:type="pct"/>
                  <w:noWrap w:val="0"/>
                  <w:vAlign w:val="center"/>
                </w:tcPr>
                <w:p w14:paraId="7B2584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w:t>
                  </w:r>
                  <w:r>
                    <w:rPr>
                      <w:rFonts w:hint="eastAsia" w:ascii="Times New Roman" w:hAnsi="Times New Roman" w:eastAsia="宋体" w:cs="Times New Roman"/>
                      <w:i w:val="0"/>
                      <w:iCs w:val="0"/>
                      <w:color w:val="auto"/>
                      <w:kern w:val="0"/>
                      <w:sz w:val="21"/>
                      <w:szCs w:val="21"/>
                      <w:highlight w:val="none"/>
                      <w:u w:val="none"/>
                      <w:lang w:val="en-US" w:eastAsia="zh-CN" w:bidi="ar"/>
                    </w:rPr>
                    <w:t>L</w:t>
                  </w:r>
                </w:p>
              </w:tc>
              <w:tc>
                <w:tcPr>
                  <w:tcW w:w="421" w:type="pct"/>
                  <w:noWrap w:val="0"/>
                  <w:vAlign w:val="center"/>
                </w:tcPr>
                <w:p w14:paraId="4B404665">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冰箱</w:t>
                  </w:r>
                </w:p>
              </w:tc>
            </w:tr>
            <w:tr w14:paraId="6564D8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0A74BDF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929" w:type="pct"/>
                  <w:noWrap w:val="0"/>
                  <w:vAlign w:val="center"/>
                </w:tcPr>
                <w:p w14:paraId="2CA959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shd w:val="clear" w:color="auto" w:fill="FFFFFF"/>
                      <w:lang w:eastAsia="zh-CN"/>
                    </w:rPr>
                  </w:pPr>
                  <w:r>
                    <w:rPr>
                      <w:rStyle w:val="54"/>
                      <w:rFonts w:ascii="Times New Roman" w:hAnsi="Times New Roman" w:eastAsia="宋体"/>
                      <w:color w:val="auto"/>
                      <w:sz w:val="21"/>
                      <w:highlight w:val="none"/>
                      <w:lang w:val="en-US" w:eastAsia="zh-CN" w:bidi="ar"/>
                    </w:rPr>
                    <w:t>EGF等一抗</w:t>
                  </w:r>
                </w:p>
              </w:tc>
              <w:tc>
                <w:tcPr>
                  <w:tcW w:w="638" w:type="pct"/>
                  <w:tcBorders>
                    <w:left w:val="single" w:color="auto" w:sz="4" w:space="0"/>
                  </w:tcBorders>
                  <w:noWrap w:val="0"/>
                  <w:vAlign w:val="center"/>
                </w:tcPr>
                <w:p w14:paraId="6439158A">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mg/a</w:t>
                  </w:r>
                </w:p>
              </w:tc>
              <w:tc>
                <w:tcPr>
                  <w:tcW w:w="1179" w:type="pct"/>
                  <w:tcBorders>
                    <w:left w:val="single" w:color="auto" w:sz="4" w:space="0"/>
                    <w:right w:val="single" w:color="auto" w:sz="4" w:space="0"/>
                  </w:tcBorders>
                  <w:noWrap w:val="0"/>
                  <w:vAlign w:val="center"/>
                </w:tcPr>
                <w:p w14:paraId="6036ED3F">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olor w:val="auto"/>
                      <w:highlight w:val="none"/>
                      <w:lang w:eastAsia="zh-CN"/>
                    </w:rPr>
                  </w:pPr>
                  <w:r>
                    <w:rPr>
                      <w:rFonts w:hint="default" w:ascii="Times New Roman" w:hAnsi="Times New Roman" w:eastAsia="宋体"/>
                      <w:color w:val="auto"/>
                      <w:highlight w:val="none"/>
                      <w:lang w:eastAsia="zh-CN"/>
                    </w:rPr>
                    <w:t>抗表皮生长因子（EGF）的免疫球蛋白（IgG） + 甘油（稳定剂）</w:t>
                  </w:r>
                </w:p>
              </w:tc>
              <w:tc>
                <w:tcPr>
                  <w:tcW w:w="593" w:type="pct"/>
                  <w:tcBorders>
                    <w:left w:val="single" w:color="auto" w:sz="4" w:space="0"/>
                    <w:right w:val="single" w:color="auto" w:sz="4" w:space="0"/>
                  </w:tcBorders>
                  <w:noWrap w:val="0"/>
                  <w:vAlign w:val="center"/>
                </w:tcPr>
                <w:p w14:paraId="6D8311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100ug</w:t>
                  </w:r>
                </w:p>
              </w:tc>
              <w:tc>
                <w:tcPr>
                  <w:tcW w:w="472" w:type="pct"/>
                  <w:tcBorders>
                    <w:left w:val="single" w:color="auto" w:sz="4" w:space="0"/>
                    <w:right w:val="single" w:color="auto" w:sz="4" w:space="0"/>
                  </w:tcBorders>
                  <w:noWrap w:val="0"/>
                  <w:vAlign w:val="center"/>
                </w:tcPr>
                <w:p w14:paraId="76F1A4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431" w:type="pct"/>
                  <w:noWrap w:val="0"/>
                  <w:vAlign w:val="center"/>
                </w:tcPr>
                <w:p w14:paraId="52DE16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1mg</w:t>
                  </w:r>
                </w:p>
              </w:tc>
              <w:tc>
                <w:tcPr>
                  <w:tcW w:w="421" w:type="pct"/>
                  <w:noWrap w:val="0"/>
                  <w:vAlign w:val="center"/>
                </w:tcPr>
                <w:p w14:paraId="6E7EF454">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冰箱</w:t>
                  </w:r>
                </w:p>
              </w:tc>
            </w:tr>
            <w:tr w14:paraId="0AB8E2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457AF45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929" w:type="pct"/>
                  <w:noWrap w:val="0"/>
                  <w:vAlign w:val="center"/>
                </w:tcPr>
                <w:p w14:paraId="5A9D4D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shd w:val="clear" w:color="auto" w:fill="FFFFFF"/>
                      <w:lang w:eastAsia="zh-CN"/>
                    </w:rPr>
                  </w:pPr>
                  <w:r>
                    <w:rPr>
                      <w:rStyle w:val="54"/>
                      <w:rFonts w:ascii="Times New Roman" w:hAnsi="Times New Roman" w:eastAsia="宋体"/>
                      <w:color w:val="auto"/>
                      <w:sz w:val="21"/>
                      <w:highlight w:val="none"/>
                      <w:lang w:val="en-US" w:eastAsia="zh-CN" w:bidi="ar"/>
                    </w:rPr>
                    <w:t>ELISA显色试剂盒</w:t>
                  </w:r>
                </w:p>
              </w:tc>
              <w:tc>
                <w:tcPr>
                  <w:tcW w:w="638" w:type="pct"/>
                  <w:tcBorders>
                    <w:left w:val="single" w:color="auto" w:sz="4" w:space="0"/>
                  </w:tcBorders>
                  <w:noWrap w:val="0"/>
                  <w:vAlign w:val="center"/>
                </w:tcPr>
                <w:p w14:paraId="250ACDDC">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kit/a</w:t>
                  </w:r>
                </w:p>
              </w:tc>
              <w:tc>
                <w:tcPr>
                  <w:tcW w:w="1179" w:type="pct"/>
                  <w:tcBorders>
                    <w:left w:val="single" w:color="auto" w:sz="4" w:space="0"/>
                    <w:right w:val="single" w:color="auto" w:sz="4" w:space="0"/>
                  </w:tcBorders>
                  <w:noWrap w:val="0"/>
                  <w:vAlign w:val="center"/>
                </w:tcPr>
                <w:p w14:paraId="5FA82DEA">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TMB（3,3',5,5'-四甲基联苯胺）底物 + 过氧化氢（H₂O₂）</w:t>
                  </w:r>
                </w:p>
              </w:tc>
              <w:tc>
                <w:tcPr>
                  <w:tcW w:w="593" w:type="pct"/>
                  <w:tcBorders>
                    <w:left w:val="single" w:color="auto" w:sz="4" w:space="0"/>
                    <w:right w:val="single" w:color="auto" w:sz="4" w:space="0"/>
                  </w:tcBorders>
                  <w:noWrap w:val="0"/>
                  <w:vAlign w:val="center"/>
                </w:tcPr>
                <w:p w14:paraId="27C3FF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1kit</w:t>
                  </w:r>
                  <w:r>
                    <w:rPr>
                      <w:rFonts w:hint="eastAsia" w:ascii="Times New Roman" w:hAnsi="Times New Roman" w:eastAsia="宋体" w:cs="Times New Roman"/>
                      <w:i w:val="0"/>
                      <w:iCs w:val="0"/>
                      <w:color w:val="auto"/>
                      <w:kern w:val="0"/>
                      <w:sz w:val="21"/>
                      <w:szCs w:val="21"/>
                      <w:highlight w:val="none"/>
                      <w:u w:val="none"/>
                      <w:lang w:val="en-US" w:eastAsia="zh-CN" w:bidi="ar"/>
                    </w:rPr>
                    <w:t>/盒</w:t>
                  </w:r>
                </w:p>
              </w:tc>
              <w:tc>
                <w:tcPr>
                  <w:tcW w:w="472" w:type="pct"/>
                  <w:tcBorders>
                    <w:left w:val="single" w:color="auto" w:sz="4" w:space="0"/>
                    <w:right w:val="single" w:color="auto" w:sz="4" w:space="0"/>
                  </w:tcBorders>
                  <w:noWrap w:val="0"/>
                  <w:vAlign w:val="center"/>
                </w:tcPr>
                <w:p w14:paraId="64D804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431" w:type="pct"/>
                  <w:noWrap w:val="0"/>
                  <w:vAlign w:val="center"/>
                </w:tcPr>
                <w:p w14:paraId="1D08DD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2kit/a</w:t>
                  </w:r>
                </w:p>
              </w:tc>
              <w:tc>
                <w:tcPr>
                  <w:tcW w:w="421" w:type="pct"/>
                  <w:noWrap w:val="0"/>
                  <w:vAlign w:val="center"/>
                </w:tcPr>
                <w:p w14:paraId="75DC63FC">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冰箱</w:t>
                  </w:r>
                </w:p>
              </w:tc>
            </w:tr>
            <w:tr w14:paraId="0E90C2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3155E13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w:t>
                  </w:r>
                </w:p>
              </w:tc>
              <w:tc>
                <w:tcPr>
                  <w:tcW w:w="929" w:type="pct"/>
                  <w:noWrap w:val="0"/>
                  <w:vAlign w:val="center"/>
                </w:tcPr>
                <w:p w14:paraId="32BF73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shd w:val="clear" w:color="auto" w:fill="FFFFFF"/>
                      <w:lang w:eastAsia="zh-CN"/>
                    </w:rPr>
                  </w:pPr>
                  <w:r>
                    <w:rPr>
                      <w:rStyle w:val="54"/>
                      <w:rFonts w:ascii="Times New Roman" w:hAnsi="Times New Roman" w:eastAsia="宋体"/>
                      <w:color w:val="auto"/>
                      <w:sz w:val="21"/>
                      <w:highlight w:val="none"/>
                      <w:lang w:val="en-US" w:eastAsia="zh-CN" w:bidi="ar"/>
                    </w:rPr>
                    <w:t>Greiner 96孔板</w:t>
                  </w:r>
                </w:p>
              </w:tc>
              <w:tc>
                <w:tcPr>
                  <w:tcW w:w="638" w:type="pct"/>
                  <w:tcBorders>
                    <w:left w:val="single" w:color="auto" w:sz="4" w:space="0"/>
                  </w:tcBorders>
                  <w:noWrap w:val="0"/>
                  <w:vAlign w:val="center"/>
                </w:tcPr>
                <w:p w14:paraId="0206C98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仿宋"/>
                      <w:i w:val="0"/>
                      <w:iCs w:val="0"/>
                      <w:color w:val="auto"/>
                      <w:kern w:val="0"/>
                      <w:sz w:val="21"/>
                      <w:szCs w:val="21"/>
                      <w:highlight w:val="none"/>
                      <w:u w:val="none"/>
                      <w:lang w:val="en-US" w:eastAsia="zh-CN" w:bidi="ar"/>
                    </w:rPr>
                    <w:t>块</w:t>
                  </w:r>
                  <w:r>
                    <w:rPr>
                      <w:rFonts w:hint="default" w:ascii="Times New Roman" w:hAnsi="Times New Roman" w:eastAsia="宋体" w:cs="Times New Roman"/>
                      <w:i w:val="0"/>
                      <w:iCs w:val="0"/>
                      <w:color w:val="auto"/>
                      <w:kern w:val="0"/>
                      <w:sz w:val="21"/>
                      <w:szCs w:val="21"/>
                      <w:highlight w:val="none"/>
                      <w:u w:val="none"/>
                      <w:lang w:val="en-US" w:eastAsia="zh-CN" w:bidi="ar"/>
                    </w:rPr>
                    <w:t>/a</w:t>
                  </w:r>
                </w:p>
              </w:tc>
              <w:tc>
                <w:tcPr>
                  <w:tcW w:w="1179" w:type="pct"/>
                  <w:tcBorders>
                    <w:left w:val="single" w:color="auto" w:sz="4" w:space="0"/>
                    <w:right w:val="single" w:color="auto" w:sz="4" w:space="0"/>
                  </w:tcBorders>
                  <w:noWrap w:val="0"/>
                  <w:vAlign w:val="center"/>
                </w:tcPr>
                <w:p w14:paraId="72B7814C">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聚苯乙烯（PS）或聚丙烯（PP）</w:t>
                  </w:r>
                </w:p>
              </w:tc>
              <w:tc>
                <w:tcPr>
                  <w:tcW w:w="593" w:type="pct"/>
                  <w:tcBorders>
                    <w:left w:val="single" w:color="auto" w:sz="4" w:space="0"/>
                    <w:right w:val="single" w:color="auto" w:sz="4" w:space="0"/>
                  </w:tcBorders>
                  <w:noWrap w:val="0"/>
                  <w:vAlign w:val="center"/>
                </w:tcPr>
                <w:p w14:paraId="501B19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r>
                    <w:rPr>
                      <w:rFonts w:hint="eastAsia" w:ascii="Times New Roman" w:hAnsi="Times New Roman" w:eastAsia="宋体" w:cs="等线"/>
                      <w:i w:val="0"/>
                      <w:iCs w:val="0"/>
                      <w:color w:val="auto"/>
                      <w:kern w:val="0"/>
                      <w:sz w:val="21"/>
                      <w:szCs w:val="21"/>
                      <w:highlight w:val="none"/>
                      <w:u w:val="none"/>
                      <w:lang w:val="en-US" w:eastAsia="zh-CN" w:bidi="ar"/>
                    </w:rPr>
                    <w:t>个</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等线"/>
                      <w:i w:val="0"/>
                      <w:iCs w:val="0"/>
                      <w:color w:val="auto"/>
                      <w:kern w:val="0"/>
                      <w:sz w:val="21"/>
                      <w:szCs w:val="21"/>
                      <w:highlight w:val="none"/>
                      <w:u w:val="none"/>
                      <w:lang w:val="en-US" w:eastAsia="zh-CN" w:bidi="ar"/>
                    </w:rPr>
                    <w:t>箱</w:t>
                  </w:r>
                </w:p>
              </w:tc>
              <w:tc>
                <w:tcPr>
                  <w:tcW w:w="472" w:type="pct"/>
                  <w:tcBorders>
                    <w:left w:val="single" w:color="auto" w:sz="4" w:space="0"/>
                    <w:right w:val="single" w:color="auto" w:sz="4" w:space="0"/>
                  </w:tcBorders>
                  <w:noWrap w:val="0"/>
                  <w:vAlign w:val="center"/>
                </w:tcPr>
                <w:p w14:paraId="1A023E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800</w:t>
                  </w:r>
                </w:p>
              </w:tc>
              <w:tc>
                <w:tcPr>
                  <w:tcW w:w="431" w:type="pct"/>
                  <w:noWrap w:val="0"/>
                  <w:vAlign w:val="center"/>
                </w:tcPr>
                <w:p w14:paraId="20F8C9F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r>
                    <w:rPr>
                      <w:rFonts w:hint="default" w:ascii="Times New Roman" w:hAnsi="Times New Roman" w:eastAsia="宋体" w:cs="仿宋"/>
                      <w:i w:val="0"/>
                      <w:iCs w:val="0"/>
                      <w:color w:val="auto"/>
                      <w:kern w:val="0"/>
                      <w:sz w:val="21"/>
                      <w:szCs w:val="21"/>
                      <w:highlight w:val="none"/>
                      <w:u w:val="none"/>
                      <w:lang w:val="en-US" w:eastAsia="zh-CN" w:bidi="ar"/>
                    </w:rPr>
                    <w:t>块</w:t>
                  </w:r>
                  <w:r>
                    <w:rPr>
                      <w:rFonts w:hint="default" w:ascii="Times New Roman" w:hAnsi="Times New Roman" w:eastAsia="宋体" w:cs="Times New Roman"/>
                      <w:i w:val="0"/>
                      <w:iCs w:val="0"/>
                      <w:color w:val="auto"/>
                      <w:kern w:val="0"/>
                      <w:sz w:val="21"/>
                      <w:szCs w:val="21"/>
                      <w:highlight w:val="none"/>
                      <w:u w:val="none"/>
                      <w:lang w:val="en-US" w:eastAsia="zh-CN" w:bidi="ar"/>
                    </w:rPr>
                    <w:t>/a</w:t>
                  </w:r>
                </w:p>
              </w:tc>
              <w:tc>
                <w:tcPr>
                  <w:tcW w:w="421" w:type="pct"/>
                  <w:noWrap w:val="0"/>
                  <w:vAlign w:val="center"/>
                </w:tcPr>
                <w:p w14:paraId="04BAB8D5">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试剂柜</w:t>
                  </w:r>
                </w:p>
              </w:tc>
            </w:tr>
            <w:tr w14:paraId="26A708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4EDC60B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w:t>
                  </w:r>
                </w:p>
              </w:tc>
              <w:tc>
                <w:tcPr>
                  <w:tcW w:w="929" w:type="pct"/>
                  <w:noWrap w:val="0"/>
                  <w:vAlign w:val="center"/>
                </w:tcPr>
                <w:p w14:paraId="3A0BED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shd w:val="clear" w:color="auto" w:fill="FFFFFF"/>
                      <w:lang w:eastAsia="zh-CN"/>
                    </w:rPr>
                  </w:pPr>
                  <w:r>
                    <w:rPr>
                      <w:rStyle w:val="55"/>
                      <w:rFonts w:ascii="Times New Roman" w:hAnsi="Times New Roman" w:eastAsia="宋体"/>
                      <w:color w:val="auto"/>
                      <w:sz w:val="21"/>
                      <w:highlight w:val="none"/>
                      <w:lang w:val="en-US" w:eastAsia="zh-CN" w:bidi="ar"/>
                    </w:rPr>
                    <w:t>LB</w:t>
                  </w:r>
                  <w:r>
                    <w:rPr>
                      <w:rStyle w:val="54"/>
                      <w:rFonts w:ascii="Times New Roman" w:hAnsi="Times New Roman" w:eastAsia="宋体"/>
                      <w:color w:val="auto"/>
                      <w:sz w:val="21"/>
                      <w:highlight w:val="none"/>
                      <w:lang w:val="en-US" w:eastAsia="zh-CN" w:bidi="ar"/>
                    </w:rPr>
                    <w:t>培养基</w:t>
                  </w:r>
                </w:p>
              </w:tc>
              <w:tc>
                <w:tcPr>
                  <w:tcW w:w="638" w:type="pct"/>
                  <w:tcBorders>
                    <w:left w:val="single" w:color="auto" w:sz="4" w:space="0"/>
                  </w:tcBorders>
                  <w:noWrap w:val="0"/>
                  <w:vAlign w:val="center"/>
                </w:tcPr>
                <w:p w14:paraId="3850C3C8">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2"/>
                      <w:highlight w:val="none"/>
                      <w:u w:val="none"/>
                      <w:lang w:val="en-US" w:eastAsia="zh-CN" w:bidi="ar"/>
                    </w:rPr>
                    <w:t>kg</w:t>
                  </w:r>
                  <w:r>
                    <w:rPr>
                      <w:rFonts w:hint="default" w:ascii="Times New Roman" w:hAnsi="Times New Roman" w:eastAsia="宋体" w:cs="Times New Roman"/>
                      <w:i w:val="0"/>
                      <w:iCs w:val="0"/>
                      <w:color w:val="auto"/>
                      <w:kern w:val="0"/>
                      <w:sz w:val="21"/>
                      <w:szCs w:val="21"/>
                      <w:highlight w:val="none"/>
                      <w:u w:val="none"/>
                      <w:lang w:val="en-US" w:eastAsia="zh-CN" w:bidi="ar"/>
                    </w:rPr>
                    <w:t>/a</w:t>
                  </w:r>
                </w:p>
              </w:tc>
              <w:tc>
                <w:tcPr>
                  <w:tcW w:w="1179" w:type="pct"/>
                  <w:tcBorders>
                    <w:left w:val="single" w:color="auto" w:sz="4" w:space="0"/>
                    <w:right w:val="single" w:color="auto" w:sz="4" w:space="0"/>
                  </w:tcBorders>
                  <w:noWrap w:val="0"/>
                  <w:vAlign w:val="center"/>
                </w:tcPr>
                <w:p w14:paraId="2598FB84">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胰蛋白胨（10 g/L） + 酵母提取物（5 g/L） + 氯化钠（10 g/L）</w:t>
                  </w:r>
                </w:p>
              </w:tc>
              <w:tc>
                <w:tcPr>
                  <w:tcW w:w="593" w:type="pct"/>
                  <w:tcBorders>
                    <w:left w:val="single" w:color="auto" w:sz="4" w:space="0"/>
                    <w:right w:val="single" w:color="auto" w:sz="4" w:space="0"/>
                  </w:tcBorders>
                  <w:noWrap w:val="0"/>
                  <w:vAlign w:val="center"/>
                </w:tcPr>
                <w:p w14:paraId="7A50AF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2"/>
                      <w:highlight w:val="none"/>
                      <w:u w:val="none"/>
                      <w:lang w:val="en-US" w:eastAsia="zh-CN" w:bidi="ar"/>
                    </w:rPr>
                    <w:t>0.1kg</w:t>
                  </w:r>
                </w:p>
              </w:tc>
              <w:tc>
                <w:tcPr>
                  <w:tcW w:w="472" w:type="pct"/>
                  <w:tcBorders>
                    <w:left w:val="single" w:color="auto" w:sz="4" w:space="0"/>
                    <w:right w:val="single" w:color="auto" w:sz="4" w:space="0"/>
                  </w:tcBorders>
                  <w:noWrap w:val="0"/>
                  <w:vAlign w:val="center"/>
                </w:tcPr>
                <w:p w14:paraId="0E3895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2"/>
                      <w:highlight w:val="none"/>
                      <w:u w:val="none"/>
                      <w:lang w:val="en-US" w:eastAsia="zh-CN" w:bidi="ar"/>
                    </w:rPr>
                    <w:t>2</w:t>
                  </w:r>
                </w:p>
              </w:tc>
              <w:tc>
                <w:tcPr>
                  <w:tcW w:w="431" w:type="pct"/>
                  <w:noWrap w:val="0"/>
                  <w:vAlign w:val="center"/>
                </w:tcPr>
                <w:p w14:paraId="3002ED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421" w:type="pct"/>
                  <w:noWrap w:val="0"/>
                  <w:vAlign w:val="center"/>
                </w:tcPr>
                <w:p w14:paraId="24B0D8CD">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冰箱</w:t>
                  </w:r>
                </w:p>
              </w:tc>
            </w:tr>
            <w:tr w14:paraId="3C4959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40C297F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929" w:type="pct"/>
                  <w:noWrap w:val="0"/>
                  <w:vAlign w:val="center"/>
                </w:tcPr>
                <w:p w14:paraId="1857CFB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21"/>
                      <w:szCs w:val="21"/>
                      <w:highlight w:val="none"/>
                      <w:shd w:val="clear" w:color="auto" w:fill="FFFFFF"/>
                      <w:lang w:eastAsia="zh-CN"/>
                    </w:rPr>
                  </w:pPr>
                  <w:r>
                    <w:rPr>
                      <w:rStyle w:val="54"/>
                      <w:rFonts w:ascii="Times New Roman" w:hAnsi="Times New Roman" w:eastAsia="宋体"/>
                      <w:color w:val="auto"/>
                      <w:sz w:val="21"/>
                      <w:highlight w:val="none"/>
                      <w:lang w:val="en-US" w:eastAsia="zh-CN" w:bidi="ar"/>
                    </w:rPr>
                    <w:t>Nano Glo DualLuciferase Reporter Assay System试剂盒</w:t>
                  </w:r>
                </w:p>
              </w:tc>
              <w:tc>
                <w:tcPr>
                  <w:tcW w:w="638" w:type="pct"/>
                  <w:tcBorders>
                    <w:left w:val="single" w:color="auto" w:sz="4" w:space="0"/>
                  </w:tcBorders>
                  <w:noWrap w:val="0"/>
                  <w:vAlign w:val="center"/>
                </w:tcPr>
                <w:p w14:paraId="236DA4AB">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k</w:t>
                  </w:r>
                  <w:r>
                    <w:rPr>
                      <w:rFonts w:hint="default" w:ascii="Times New Roman" w:hAnsi="Times New Roman" w:eastAsia="宋体" w:cs="Times New Roman"/>
                      <w:i w:val="0"/>
                      <w:iCs w:val="0"/>
                      <w:color w:val="auto"/>
                      <w:kern w:val="0"/>
                      <w:sz w:val="21"/>
                      <w:szCs w:val="21"/>
                      <w:highlight w:val="none"/>
                      <w:u w:val="none"/>
                      <w:lang w:val="en-US" w:eastAsia="zh-CN" w:bidi="ar"/>
                    </w:rPr>
                    <w:t>it/a</w:t>
                  </w:r>
                </w:p>
              </w:tc>
              <w:tc>
                <w:tcPr>
                  <w:tcW w:w="1179" w:type="pct"/>
                  <w:tcBorders>
                    <w:left w:val="single" w:color="auto" w:sz="4" w:space="0"/>
                    <w:right w:val="single" w:color="auto" w:sz="4" w:space="0"/>
                  </w:tcBorders>
                  <w:noWrap w:val="0"/>
                  <w:vAlign w:val="center"/>
                </w:tcPr>
                <w:p w14:paraId="23001864">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萤火虫萤光素酶底物（Firefly luciferin） + 海肾萤光素酶底物（Renilla luciferin）</w:t>
                  </w:r>
                </w:p>
              </w:tc>
              <w:tc>
                <w:tcPr>
                  <w:tcW w:w="593" w:type="pct"/>
                  <w:tcBorders>
                    <w:left w:val="single" w:color="auto" w:sz="4" w:space="0"/>
                    <w:right w:val="single" w:color="auto" w:sz="4" w:space="0"/>
                  </w:tcBorders>
                  <w:noWrap w:val="0"/>
                  <w:vAlign w:val="center"/>
                </w:tcPr>
                <w:p w14:paraId="45C65D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1kit</w:t>
                  </w:r>
                </w:p>
              </w:tc>
              <w:tc>
                <w:tcPr>
                  <w:tcW w:w="472" w:type="pct"/>
                  <w:tcBorders>
                    <w:left w:val="single" w:color="auto" w:sz="4" w:space="0"/>
                    <w:right w:val="single" w:color="auto" w:sz="4" w:space="0"/>
                  </w:tcBorders>
                  <w:noWrap w:val="0"/>
                  <w:vAlign w:val="center"/>
                </w:tcPr>
                <w:p w14:paraId="6826F8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431" w:type="pct"/>
                  <w:noWrap w:val="0"/>
                  <w:vAlign w:val="center"/>
                </w:tcPr>
                <w:p w14:paraId="319072E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2kit/a</w:t>
                  </w:r>
                </w:p>
              </w:tc>
              <w:tc>
                <w:tcPr>
                  <w:tcW w:w="421" w:type="pct"/>
                  <w:noWrap w:val="0"/>
                  <w:vAlign w:val="center"/>
                </w:tcPr>
                <w:p w14:paraId="2F9C9E9D">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冰箱</w:t>
                  </w:r>
                </w:p>
              </w:tc>
            </w:tr>
            <w:tr w14:paraId="43DDC7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63F9AB5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w:t>
                  </w:r>
                </w:p>
              </w:tc>
              <w:tc>
                <w:tcPr>
                  <w:tcW w:w="929" w:type="pct"/>
                  <w:noWrap w:val="0"/>
                  <w:vAlign w:val="center"/>
                </w:tcPr>
                <w:p w14:paraId="4D15A85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21"/>
                      <w:szCs w:val="21"/>
                      <w:highlight w:val="none"/>
                      <w:shd w:val="clear" w:color="auto" w:fill="FFFFFF"/>
                      <w:lang w:eastAsia="zh-CN"/>
                    </w:rPr>
                  </w:pPr>
                  <w:r>
                    <w:rPr>
                      <w:rStyle w:val="54"/>
                      <w:rFonts w:ascii="Times New Roman" w:hAnsi="Times New Roman" w:eastAsia="宋体"/>
                      <w:color w:val="auto"/>
                      <w:sz w:val="21"/>
                      <w:highlight w:val="none"/>
                      <w:lang w:val="en-US" w:eastAsia="zh-CN" w:bidi="ar"/>
                    </w:rPr>
                    <w:t>One-Glo荧光素酶报告基因检测系统</w:t>
                  </w:r>
                </w:p>
              </w:tc>
              <w:tc>
                <w:tcPr>
                  <w:tcW w:w="638" w:type="pct"/>
                  <w:tcBorders>
                    <w:left w:val="single" w:color="auto" w:sz="4" w:space="0"/>
                  </w:tcBorders>
                  <w:noWrap w:val="0"/>
                  <w:vAlign w:val="center"/>
                </w:tcPr>
                <w:p w14:paraId="763DF71E">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kit/a</w:t>
                  </w:r>
                </w:p>
              </w:tc>
              <w:tc>
                <w:tcPr>
                  <w:tcW w:w="1179" w:type="pct"/>
                  <w:tcBorders>
                    <w:left w:val="single" w:color="auto" w:sz="4" w:space="0"/>
                    <w:right w:val="single" w:color="auto" w:sz="4" w:space="0"/>
                  </w:tcBorders>
                  <w:noWrap w:val="0"/>
                  <w:vAlign w:val="center"/>
                </w:tcPr>
                <w:p w14:paraId="413637CC">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萤光素酶底物（luciferin） + 辅酶A（CoA）</w:t>
                  </w:r>
                </w:p>
              </w:tc>
              <w:tc>
                <w:tcPr>
                  <w:tcW w:w="593" w:type="pct"/>
                  <w:tcBorders>
                    <w:left w:val="single" w:color="auto" w:sz="4" w:space="0"/>
                    <w:right w:val="single" w:color="auto" w:sz="4" w:space="0"/>
                  </w:tcBorders>
                  <w:noWrap w:val="0"/>
                  <w:vAlign w:val="center"/>
                </w:tcPr>
                <w:p w14:paraId="18C06E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1kit</w:t>
                  </w:r>
                </w:p>
              </w:tc>
              <w:tc>
                <w:tcPr>
                  <w:tcW w:w="472" w:type="pct"/>
                  <w:tcBorders>
                    <w:left w:val="single" w:color="auto" w:sz="4" w:space="0"/>
                    <w:right w:val="single" w:color="auto" w:sz="4" w:space="0"/>
                  </w:tcBorders>
                  <w:noWrap w:val="0"/>
                  <w:vAlign w:val="center"/>
                </w:tcPr>
                <w:p w14:paraId="0976EF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431" w:type="pct"/>
                  <w:noWrap w:val="0"/>
                  <w:vAlign w:val="center"/>
                </w:tcPr>
                <w:p w14:paraId="72EBF57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2kit/a</w:t>
                  </w:r>
                </w:p>
              </w:tc>
              <w:tc>
                <w:tcPr>
                  <w:tcW w:w="421" w:type="pct"/>
                  <w:noWrap w:val="0"/>
                  <w:vAlign w:val="center"/>
                </w:tcPr>
                <w:p w14:paraId="7EDC0B76">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冰箱</w:t>
                  </w:r>
                </w:p>
              </w:tc>
            </w:tr>
            <w:tr w14:paraId="7A5FC3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71772E4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929" w:type="pct"/>
                  <w:noWrap w:val="0"/>
                  <w:vAlign w:val="center"/>
                </w:tcPr>
                <w:p w14:paraId="6A780A1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21"/>
                      <w:szCs w:val="21"/>
                      <w:highlight w:val="none"/>
                      <w:shd w:val="clear" w:color="auto" w:fill="FFFFFF"/>
                      <w:lang w:eastAsia="zh-CN"/>
                    </w:rPr>
                  </w:pPr>
                  <w:r>
                    <w:rPr>
                      <w:rStyle w:val="54"/>
                      <w:rFonts w:ascii="Times New Roman" w:hAnsi="Times New Roman" w:eastAsia="宋体"/>
                      <w:color w:val="auto"/>
                      <w:sz w:val="21"/>
                      <w:highlight w:val="none"/>
                      <w:lang w:val="en-US" w:eastAsia="zh-CN" w:bidi="ar"/>
                    </w:rPr>
                    <w:t>Premium capillary (200)加样毛细管</w:t>
                  </w:r>
                </w:p>
              </w:tc>
              <w:tc>
                <w:tcPr>
                  <w:tcW w:w="638" w:type="pct"/>
                  <w:tcBorders>
                    <w:left w:val="single" w:color="auto" w:sz="4" w:space="0"/>
                  </w:tcBorders>
                  <w:noWrap w:val="0"/>
                  <w:vAlign w:val="center"/>
                </w:tcPr>
                <w:p w14:paraId="5691C66C">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仿宋"/>
                      <w:i w:val="0"/>
                      <w:iCs w:val="0"/>
                      <w:color w:val="auto"/>
                      <w:kern w:val="0"/>
                      <w:sz w:val="21"/>
                      <w:szCs w:val="21"/>
                      <w:highlight w:val="none"/>
                      <w:u w:val="none"/>
                      <w:lang w:val="en-US" w:eastAsia="zh-CN" w:bidi="ar"/>
                    </w:rPr>
                    <w:t>根</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仿宋"/>
                      <w:i w:val="0"/>
                      <w:iCs w:val="0"/>
                      <w:color w:val="auto"/>
                      <w:kern w:val="0"/>
                      <w:sz w:val="21"/>
                      <w:szCs w:val="21"/>
                      <w:highlight w:val="none"/>
                      <w:u w:val="none"/>
                      <w:lang w:val="en-US" w:eastAsia="zh-CN" w:bidi="ar"/>
                    </w:rPr>
                    <w:t>年</w:t>
                  </w:r>
                </w:p>
              </w:tc>
              <w:tc>
                <w:tcPr>
                  <w:tcW w:w="1179" w:type="pct"/>
                  <w:tcBorders>
                    <w:left w:val="single" w:color="auto" w:sz="4" w:space="0"/>
                    <w:right w:val="single" w:color="auto" w:sz="4" w:space="0"/>
                  </w:tcBorders>
                  <w:noWrap w:val="0"/>
                  <w:vAlign w:val="center"/>
                </w:tcPr>
                <w:p w14:paraId="47660098">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高纯度玻璃或聚丙烯（PP）</w:t>
                  </w:r>
                </w:p>
              </w:tc>
              <w:tc>
                <w:tcPr>
                  <w:tcW w:w="593" w:type="pct"/>
                  <w:tcBorders>
                    <w:left w:val="single" w:color="auto" w:sz="4" w:space="0"/>
                    <w:right w:val="single" w:color="auto" w:sz="4" w:space="0"/>
                  </w:tcBorders>
                  <w:noWrap w:val="0"/>
                  <w:vAlign w:val="center"/>
                </w:tcPr>
                <w:p w14:paraId="6C9718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r>
                    <w:rPr>
                      <w:rFonts w:hint="default" w:ascii="Times New Roman" w:hAnsi="Times New Roman" w:eastAsia="宋体" w:cs="仿宋"/>
                      <w:i w:val="0"/>
                      <w:iCs w:val="0"/>
                      <w:color w:val="auto"/>
                      <w:kern w:val="0"/>
                      <w:sz w:val="21"/>
                      <w:szCs w:val="21"/>
                      <w:highlight w:val="none"/>
                      <w:u w:val="none"/>
                      <w:lang w:val="en-US" w:eastAsia="zh-CN" w:bidi="ar"/>
                    </w:rPr>
                    <w:t>根</w:t>
                  </w:r>
                </w:p>
              </w:tc>
              <w:tc>
                <w:tcPr>
                  <w:tcW w:w="472" w:type="pct"/>
                  <w:tcBorders>
                    <w:left w:val="single" w:color="auto" w:sz="4" w:space="0"/>
                    <w:right w:val="single" w:color="auto" w:sz="4" w:space="0"/>
                  </w:tcBorders>
                  <w:noWrap w:val="0"/>
                  <w:vAlign w:val="center"/>
                </w:tcPr>
                <w:p w14:paraId="754D24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4800</w:t>
                  </w:r>
                </w:p>
              </w:tc>
              <w:tc>
                <w:tcPr>
                  <w:tcW w:w="431" w:type="pct"/>
                  <w:noWrap w:val="0"/>
                  <w:vAlign w:val="center"/>
                </w:tcPr>
                <w:p w14:paraId="5976ED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400</w:t>
                  </w:r>
                  <w:r>
                    <w:rPr>
                      <w:rFonts w:hint="default" w:ascii="Times New Roman" w:hAnsi="Times New Roman" w:eastAsia="宋体" w:cs="仿宋"/>
                      <w:i w:val="0"/>
                      <w:iCs w:val="0"/>
                      <w:color w:val="auto"/>
                      <w:kern w:val="0"/>
                      <w:sz w:val="21"/>
                      <w:szCs w:val="21"/>
                      <w:highlight w:val="none"/>
                      <w:u w:val="none"/>
                      <w:lang w:val="en-US" w:eastAsia="zh-CN" w:bidi="ar"/>
                    </w:rPr>
                    <w:t>根</w:t>
                  </w:r>
                </w:p>
              </w:tc>
              <w:tc>
                <w:tcPr>
                  <w:tcW w:w="421" w:type="pct"/>
                  <w:noWrap w:val="0"/>
                  <w:vAlign w:val="center"/>
                </w:tcPr>
                <w:p w14:paraId="59A1C7E6">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冰箱</w:t>
                  </w:r>
                </w:p>
              </w:tc>
            </w:tr>
            <w:tr w14:paraId="745D49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3053FD5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w:t>
                  </w:r>
                </w:p>
              </w:tc>
              <w:tc>
                <w:tcPr>
                  <w:tcW w:w="929" w:type="pct"/>
                  <w:noWrap w:val="0"/>
                  <w:vAlign w:val="center"/>
                </w:tcPr>
                <w:p w14:paraId="2535F98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21"/>
                      <w:szCs w:val="21"/>
                      <w:highlight w:val="none"/>
                      <w:shd w:val="clear" w:color="auto" w:fill="FFFFFF"/>
                      <w:lang w:eastAsia="zh-CN"/>
                    </w:rPr>
                  </w:pPr>
                  <w:r>
                    <w:rPr>
                      <w:rStyle w:val="54"/>
                      <w:rFonts w:ascii="Times New Roman" w:hAnsi="Times New Roman" w:eastAsia="宋体"/>
                      <w:color w:val="auto"/>
                      <w:sz w:val="21"/>
                      <w:highlight w:val="none"/>
                      <w:lang w:val="en-US" w:eastAsia="zh-CN" w:bidi="ar"/>
                    </w:rPr>
                    <w:t>qPCR试剂盒</w:t>
                  </w:r>
                </w:p>
              </w:tc>
              <w:tc>
                <w:tcPr>
                  <w:tcW w:w="638" w:type="pct"/>
                  <w:tcBorders>
                    <w:left w:val="single" w:color="auto" w:sz="4" w:space="0"/>
                  </w:tcBorders>
                  <w:noWrap w:val="0"/>
                  <w:vAlign w:val="center"/>
                </w:tcPr>
                <w:p w14:paraId="01E2836D">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kit/a</w:t>
                  </w:r>
                </w:p>
              </w:tc>
              <w:tc>
                <w:tcPr>
                  <w:tcW w:w="1179" w:type="pct"/>
                  <w:tcBorders>
                    <w:left w:val="single" w:color="auto" w:sz="4" w:space="0"/>
                    <w:right w:val="single" w:color="auto" w:sz="4" w:space="0"/>
                  </w:tcBorders>
                  <w:noWrap w:val="0"/>
                  <w:vAlign w:val="center"/>
                </w:tcPr>
                <w:p w14:paraId="32A3AC08">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热稳定DNA聚合酶（如Taq酶） + dNTPs（脱氧核苷三磷酸） + 荧光探针（如SYBR Green）</w:t>
                  </w:r>
                </w:p>
              </w:tc>
              <w:tc>
                <w:tcPr>
                  <w:tcW w:w="593" w:type="pct"/>
                  <w:tcBorders>
                    <w:left w:val="single" w:color="auto" w:sz="4" w:space="0"/>
                    <w:right w:val="single" w:color="auto" w:sz="4" w:space="0"/>
                  </w:tcBorders>
                  <w:noWrap w:val="0"/>
                  <w:vAlign w:val="center"/>
                </w:tcPr>
                <w:p w14:paraId="091384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1kit</w:t>
                  </w:r>
                </w:p>
              </w:tc>
              <w:tc>
                <w:tcPr>
                  <w:tcW w:w="472" w:type="pct"/>
                  <w:tcBorders>
                    <w:left w:val="single" w:color="auto" w:sz="4" w:space="0"/>
                    <w:right w:val="single" w:color="auto" w:sz="4" w:space="0"/>
                  </w:tcBorders>
                  <w:noWrap w:val="0"/>
                  <w:vAlign w:val="center"/>
                </w:tcPr>
                <w:p w14:paraId="0BFE47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431" w:type="pct"/>
                  <w:noWrap w:val="0"/>
                  <w:vAlign w:val="center"/>
                </w:tcPr>
                <w:p w14:paraId="19664B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2kit/a</w:t>
                  </w:r>
                </w:p>
              </w:tc>
              <w:tc>
                <w:tcPr>
                  <w:tcW w:w="421" w:type="pct"/>
                  <w:noWrap w:val="0"/>
                  <w:vAlign w:val="center"/>
                </w:tcPr>
                <w:p w14:paraId="35113CAB">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冰箱</w:t>
                  </w:r>
                </w:p>
              </w:tc>
            </w:tr>
            <w:tr w14:paraId="73A0F0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7DD3382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w:t>
                  </w:r>
                </w:p>
              </w:tc>
              <w:tc>
                <w:tcPr>
                  <w:tcW w:w="929" w:type="pct"/>
                  <w:noWrap w:val="0"/>
                  <w:vAlign w:val="center"/>
                </w:tcPr>
                <w:p w14:paraId="63C85E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shd w:val="clear" w:color="auto" w:fill="FFFFFF"/>
                      <w:lang w:eastAsia="zh-CN"/>
                    </w:rPr>
                  </w:pPr>
                  <w:r>
                    <w:rPr>
                      <w:rStyle w:val="54"/>
                      <w:rFonts w:ascii="Times New Roman" w:hAnsi="Times New Roman" w:eastAsia="宋体"/>
                      <w:color w:val="auto"/>
                      <w:sz w:val="21"/>
                      <w:highlight w:val="none"/>
                      <w:lang w:val="en-US" w:eastAsia="zh-CN" w:bidi="ar"/>
                    </w:rPr>
                    <w:t>RED-NHS蛋白标记试剂盒</w:t>
                  </w:r>
                </w:p>
              </w:tc>
              <w:tc>
                <w:tcPr>
                  <w:tcW w:w="638" w:type="pct"/>
                  <w:tcBorders>
                    <w:left w:val="single" w:color="auto" w:sz="4" w:space="0"/>
                  </w:tcBorders>
                  <w:noWrap w:val="0"/>
                  <w:vAlign w:val="center"/>
                </w:tcPr>
                <w:p w14:paraId="2912101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kit/a</w:t>
                  </w:r>
                </w:p>
              </w:tc>
              <w:tc>
                <w:tcPr>
                  <w:tcW w:w="1179" w:type="pct"/>
                  <w:tcBorders>
                    <w:left w:val="single" w:color="auto" w:sz="4" w:space="0"/>
                    <w:right w:val="single" w:color="auto" w:sz="4" w:space="0"/>
                  </w:tcBorders>
                  <w:noWrap w:val="0"/>
                  <w:vAlign w:val="center"/>
                </w:tcPr>
                <w:p w14:paraId="38B1355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活性NHS酯基团（共价结合蛋白氨基） + 荧光/显色染料分子（如Cy3/Cy5类似物）</w:t>
                  </w:r>
                </w:p>
              </w:tc>
              <w:tc>
                <w:tcPr>
                  <w:tcW w:w="593" w:type="pct"/>
                  <w:tcBorders>
                    <w:left w:val="single" w:color="auto" w:sz="4" w:space="0"/>
                    <w:right w:val="single" w:color="auto" w:sz="4" w:space="0"/>
                  </w:tcBorders>
                  <w:noWrap w:val="0"/>
                  <w:vAlign w:val="center"/>
                </w:tcPr>
                <w:p w14:paraId="3E76E9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1kit</w:t>
                  </w:r>
                </w:p>
              </w:tc>
              <w:tc>
                <w:tcPr>
                  <w:tcW w:w="472" w:type="pct"/>
                  <w:tcBorders>
                    <w:left w:val="single" w:color="auto" w:sz="4" w:space="0"/>
                    <w:right w:val="single" w:color="auto" w:sz="4" w:space="0"/>
                  </w:tcBorders>
                  <w:noWrap w:val="0"/>
                  <w:vAlign w:val="center"/>
                </w:tcPr>
                <w:p w14:paraId="61E8A1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431" w:type="pct"/>
                  <w:noWrap w:val="0"/>
                  <w:vAlign w:val="center"/>
                </w:tcPr>
                <w:p w14:paraId="4F6119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2kit/a</w:t>
                  </w:r>
                </w:p>
              </w:tc>
              <w:tc>
                <w:tcPr>
                  <w:tcW w:w="421" w:type="pct"/>
                  <w:noWrap w:val="0"/>
                  <w:vAlign w:val="center"/>
                </w:tcPr>
                <w:p w14:paraId="5AB8464B">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冰箱</w:t>
                  </w:r>
                </w:p>
              </w:tc>
            </w:tr>
            <w:tr w14:paraId="4488EB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3A868FD7">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15</w:t>
                  </w:r>
                </w:p>
              </w:tc>
              <w:tc>
                <w:tcPr>
                  <w:tcW w:w="929" w:type="pct"/>
                  <w:noWrap w:val="0"/>
                  <w:vAlign w:val="center"/>
                </w:tcPr>
                <w:p w14:paraId="03B29E0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21"/>
                      <w:szCs w:val="21"/>
                      <w:highlight w:val="none"/>
                      <w:shd w:val="clear" w:color="auto" w:fill="FFFFFF"/>
                      <w:lang w:val="en-US" w:eastAsia="zh-CN" w:bidi="ar-SA"/>
                    </w:rPr>
                  </w:pPr>
                  <w:r>
                    <w:rPr>
                      <w:rStyle w:val="54"/>
                      <w:rFonts w:ascii="Times New Roman" w:hAnsi="Times New Roman" w:eastAsia="宋体"/>
                      <w:color w:val="auto"/>
                      <w:sz w:val="21"/>
                      <w:highlight w:val="none"/>
                      <w:lang w:val="en-US" w:eastAsia="zh-CN" w:bidi="ar"/>
                    </w:rPr>
                    <w:t>RED-NHS染料</w:t>
                  </w:r>
                </w:p>
              </w:tc>
              <w:tc>
                <w:tcPr>
                  <w:tcW w:w="638" w:type="pct"/>
                  <w:tcBorders>
                    <w:left w:val="single" w:color="auto" w:sz="4" w:space="0"/>
                  </w:tcBorders>
                  <w:noWrap w:val="0"/>
                  <w:vAlign w:val="center"/>
                </w:tcPr>
                <w:p w14:paraId="73A148D7">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kit/a</w:t>
                  </w:r>
                </w:p>
              </w:tc>
              <w:tc>
                <w:tcPr>
                  <w:tcW w:w="1179" w:type="pct"/>
                  <w:tcBorders>
                    <w:left w:val="single" w:color="auto" w:sz="4" w:space="0"/>
                    <w:right w:val="single" w:color="auto" w:sz="4" w:space="0"/>
                  </w:tcBorders>
                  <w:noWrap w:val="0"/>
                  <w:vAlign w:val="center"/>
                </w:tcPr>
                <w:p w14:paraId="10AC5FDD">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活性NHS酯基团（与蛋白氨基共价结合） + 红色荧光染料（如Cy5类似物）</w:t>
                  </w:r>
                </w:p>
              </w:tc>
              <w:tc>
                <w:tcPr>
                  <w:tcW w:w="593" w:type="pct"/>
                  <w:tcBorders>
                    <w:left w:val="single" w:color="auto" w:sz="4" w:space="0"/>
                    <w:right w:val="single" w:color="auto" w:sz="4" w:space="0"/>
                  </w:tcBorders>
                  <w:noWrap w:val="0"/>
                  <w:vAlign w:val="center"/>
                </w:tcPr>
                <w:p w14:paraId="3312F70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1kit</w:t>
                  </w:r>
                </w:p>
              </w:tc>
              <w:tc>
                <w:tcPr>
                  <w:tcW w:w="472" w:type="pct"/>
                  <w:tcBorders>
                    <w:left w:val="single" w:color="auto" w:sz="4" w:space="0"/>
                    <w:right w:val="single" w:color="auto" w:sz="4" w:space="0"/>
                  </w:tcBorders>
                  <w:noWrap w:val="0"/>
                  <w:vAlign w:val="center"/>
                </w:tcPr>
                <w:p w14:paraId="5F3CB9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431" w:type="pct"/>
                  <w:noWrap w:val="0"/>
                  <w:vAlign w:val="center"/>
                </w:tcPr>
                <w:p w14:paraId="266326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2kit/a</w:t>
                  </w:r>
                </w:p>
              </w:tc>
              <w:tc>
                <w:tcPr>
                  <w:tcW w:w="421" w:type="pct"/>
                  <w:noWrap w:val="0"/>
                  <w:vAlign w:val="center"/>
                </w:tcPr>
                <w:p w14:paraId="50CD864E">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冰箱</w:t>
                  </w:r>
                </w:p>
              </w:tc>
            </w:tr>
            <w:tr w14:paraId="6CF953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1485AF21">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16</w:t>
                  </w:r>
                </w:p>
              </w:tc>
              <w:tc>
                <w:tcPr>
                  <w:tcW w:w="929" w:type="pct"/>
                  <w:noWrap w:val="0"/>
                  <w:vAlign w:val="center"/>
                </w:tcPr>
                <w:p w14:paraId="01881D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shd w:val="clear" w:color="auto" w:fill="FFFFFF"/>
                      <w:lang w:val="en-US" w:eastAsia="zh-CN"/>
                    </w:rPr>
                  </w:pPr>
                  <w:r>
                    <w:rPr>
                      <w:rStyle w:val="54"/>
                      <w:rFonts w:ascii="Times New Roman" w:hAnsi="Times New Roman" w:eastAsia="宋体"/>
                      <w:color w:val="auto"/>
                      <w:sz w:val="21"/>
                      <w:highlight w:val="none"/>
                      <w:lang w:val="en-US" w:eastAsia="zh-CN" w:bidi="ar"/>
                    </w:rPr>
                    <w:t>RED-NTA染料</w:t>
                  </w:r>
                </w:p>
              </w:tc>
              <w:tc>
                <w:tcPr>
                  <w:tcW w:w="638" w:type="pct"/>
                  <w:tcBorders>
                    <w:left w:val="single" w:color="auto" w:sz="4" w:space="0"/>
                  </w:tcBorders>
                  <w:noWrap w:val="0"/>
                  <w:vAlign w:val="center"/>
                </w:tcPr>
                <w:p w14:paraId="1D458DD9">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kit/a</w:t>
                  </w:r>
                </w:p>
              </w:tc>
              <w:tc>
                <w:tcPr>
                  <w:tcW w:w="1179" w:type="pct"/>
                  <w:tcBorders>
                    <w:left w:val="single" w:color="auto" w:sz="4" w:space="0"/>
                    <w:right w:val="single" w:color="auto" w:sz="4" w:space="0"/>
                  </w:tcBorders>
                  <w:noWrap w:val="0"/>
                  <w:vAlign w:val="center"/>
                </w:tcPr>
                <w:p w14:paraId="0CE7AFE1">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0"/>
                      <w:sz w:val="21"/>
                      <w:szCs w:val="21"/>
                      <w:highlight w:val="none"/>
                      <w:shd w:val="clear" w:color="auto" w:fill="FFFFFF"/>
                      <w:lang w:val="en-US" w:eastAsia="zh-CN" w:bidi="ar-SA"/>
                    </w:rPr>
                  </w:pPr>
                  <w:r>
                    <w:rPr>
                      <w:rFonts w:hint="eastAsia" w:ascii="Times New Roman" w:hAnsi="Times New Roman" w:eastAsia="宋体" w:cs="Times New Roman"/>
                      <w:color w:val="auto"/>
                      <w:kern w:val="0"/>
                      <w:sz w:val="21"/>
                      <w:szCs w:val="21"/>
                      <w:highlight w:val="none"/>
                      <w:shd w:val="clear" w:color="auto" w:fill="FFFFFF"/>
                      <w:lang w:val="en-US" w:eastAsia="zh-CN" w:bidi="ar-SA"/>
                    </w:rPr>
                    <w:t>镍螯合基团（NTA，用于结合His标签蛋白） + 红色荧光染料（如罗丹明衍生物）</w:t>
                  </w:r>
                </w:p>
              </w:tc>
              <w:tc>
                <w:tcPr>
                  <w:tcW w:w="593" w:type="pct"/>
                  <w:tcBorders>
                    <w:left w:val="single" w:color="auto" w:sz="4" w:space="0"/>
                    <w:right w:val="single" w:color="auto" w:sz="4" w:space="0"/>
                  </w:tcBorders>
                  <w:noWrap w:val="0"/>
                  <w:vAlign w:val="center"/>
                </w:tcPr>
                <w:p w14:paraId="38D7989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1kit</w:t>
                  </w:r>
                </w:p>
              </w:tc>
              <w:tc>
                <w:tcPr>
                  <w:tcW w:w="472" w:type="pct"/>
                  <w:tcBorders>
                    <w:left w:val="single" w:color="auto" w:sz="4" w:space="0"/>
                    <w:right w:val="single" w:color="auto" w:sz="4" w:space="0"/>
                  </w:tcBorders>
                  <w:noWrap w:val="0"/>
                  <w:vAlign w:val="center"/>
                </w:tcPr>
                <w:p w14:paraId="09FB55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431" w:type="pct"/>
                  <w:noWrap w:val="0"/>
                  <w:vAlign w:val="center"/>
                </w:tcPr>
                <w:p w14:paraId="6BDA0C6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2kit/a</w:t>
                  </w:r>
                </w:p>
              </w:tc>
              <w:tc>
                <w:tcPr>
                  <w:tcW w:w="421" w:type="pct"/>
                  <w:noWrap w:val="0"/>
                  <w:vAlign w:val="center"/>
                </w:tcPr>
                <w:p w14:paraId="339B52CC">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冰箱</w:t>
                  </w:r>
                </w:p>
              </w:tc>
            </w:tr>
            <w:tr w14:paraId="12F3C4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33F8A5C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w:t>
                  </w:r>
                </w:p>
              </w:tc>
              <w:tc>
                <w:tcPr>
                  <w:tcW w:w="929" w:type="pct"/>
                  <w:noWrap w:val="0"/>
                  <w:vAlign w:val="center"/>
                </w:tcPr>
                <w:p w14:paraId="46E92D0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21"/>
                      <w:szCs w:val="21"/>
                      <w:highlight w:val="none"/>
                      <w:shd w:val="clear" w:color="auto" w:fill="FFFFFF"/>
                      <w:lang w:val="en-US" w:eastAsia="zh-CN"/>
                    </w:rPr>
                  </w:pPr>
                  <w:r>
                    <w:rPr>
                      <w:rStyle w:val="54"/>
                      <w:rFonts w:ascii="Times New Roman" w:hAnsi="Times New Roman" w:eastAsia="宋体"/>
                      <w:color w:val="auto"/>
                      <w:sz w:val="21"/>
                      <w:highlight w:val="none"/>
                      <w:lang w:val="en-US" w:eastAsia="zh-CN" w:bidi="ar"/>
                    </w:rPr>
                    <w:t>RNeasy Mini Kit试剂盒</w:t>
                  </w:r>
                </w:p>
              </w:tc>
              <w:tc>
                <w:tcPr>
                  <w:tcW w:w="638" w:type="pct"/>
                  <w:tcBorders>
                    <w:left w:val="single" w:color="auto" w:sz="4" w:space="0"/>
                  </w:tcBorders>
                  <w:noWrap w:val="0"/>
                  <w:vAlign w:val="center"/>
                </w:tcPr>
                <w:p w14:paraId="4B05D8A8">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kit/a</w:t>
                  </w:r>
                </w:p>
              </w:tc>
              <w:tc>
                <w:tcPr>
                  <w:tcW w:w="1179" w:type="pct"/>
                  <w:tcBorders>
                    <w:left w:val="single" w:color="auto" w:sz="4" w:space="0"/>
                    <w:right w:val="single" w:color="auto" w:sz="4" w:space="0"/>
                  </w:tcBorders>
                  <w:noWrap w:val="0"/>
                  <w:vAlign w:val="center"/>
                </w:tcPr>
                <w:p w14:paraId="1AB0F0BF">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0"/>
                      <w:sz w:val="21"/>
                      <w:szCs w:val="21"/>
                      <w:highlight w:val="none"/>
                      <w:shd w:val="clear" w:color="auto" w:fill="FFFFFF"/>
                      <w:lang w:val="en-US" w:eastAsia="zh-CN" w:bidi="ar-SA"/>
                    </w:rPr>
                  </w:pPr>
                  <w:r>
                    <w:rPr>
                      <w:rFonts w:hint="eastAsia" w:ascii="Times New Roman" w:hAnsi="Times New Roman" w:eastAsia="宋体" w:cs="Times New Roman"/>
                      <w:color w:val="auto"/>
                      <w:kern w:val="0"/>
                      <w:sz w:val="21"/>
                      <w:szCs w:val="21"/>
                      <w:highlight w:val="none"/>
                      <w:shd w:val="clear" w:color="auto" w:fill="FFFFFF"/>
                      <w:lang w:val="en-US" w:eastAsia="zh-CN" w:bidi="ar-SA"/>
                    </w:rPr>
                    <w:t>硅胶膜（吸附RNA） + 裂解缓冲液（含胍盐和β-巯基乙醇，灭活RNase）</w:t>
                  </w:r>
                </w:p>
              </w:tc>
              <w:tc>
                <w:tcPr>
                  <w:tcW w:w="593" w:type="pct"/>
                  <w:tcBorders>
                    <w:left w:val="single" w:color="auto" w:sz="4" w:space="0"/>
                    <w:right w:val="single" w:color="auto" w:sz="4" w:space="0"/>
                  </w:tcBorders>
                  <w:noWrap w:val="0"/>
                  <w:vAlign w:val="center"/>
                </w:tcPr>
                <w:p w14:paraId="0291EFD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1kit</w:t>
                  </w:r>
                </w:p>
              </w:tc>
              <w:tc>
                <w:tcPr>
                  <w:tcW w:w="472" w:type="pct"/>
                  <w:tcBorders>
                    <w:left w:val="single" w:color="auto" w:sz="4" w:space="0"/>
                    <w:right w:val="single" w:color="auto" w:sz="4" w:space="0"/>
                  </w:tcBorders>
                  <w:noWrap w:val="0"/>
                  <w:vAlign w:val="center"/>
                </w:tcPr>
                <w:p w14:paraId="76D8F72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431" w:type="pct"/>
                  <w:noWrap w:val="0"/>
                  <w:vAlign w:val="center"/>
                </w:tcPr>
                <w:p w14:paraId="68E7E9A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2kit/a</w:t>
                  </w:r>
                </w:p>
              </w:tc>
              <w:tc>
                <w:tcPr>
                  <w:tcW w:w="421" w:type="pct"/>
                  <w:noWrap w:val="0"/>
                  <w:vAlign w:val="center"/>
                </w:tcPr>
                <w:p w14:paraId="5183CDAA">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冰箱</w:t>
                  </w:r>
                </w:p>
              </w:tc>
            </w:tr>
            <w:tr w14:paraId="6D4F76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2" w:type="pct"/>
                  <w:noWrap w:val="0"/>
                  <w:vAlign w:val="center"/>
                </w:tcPr>
                <w:p w14:paraId="6BC4A08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w:t>
                  </w:r>
                </w:p>
              </w:tc>
              <w:tc>
                <w:tcPr>
                  <w:tcW w:w="929" w:type="pct"/>
                  <w:noWrap w:val="0"/>
                  <w:vAlign w:val="center"/>
                </w:tcPr>
                <w:p w14:paraId="189C68A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21"/>
                      <w:szCs w:val="21"/>
                      <w:highlight w:val="none"/>
                      <w:shd w:val="clear" w:color="auto" w:fill="FFFFFF"/>
                      <w:lang w:val="en-US" w:eastAsia="zh-CN"/>
                    </w:rPr>
                  </w:pPr>
                  <w:r>
                    <w:rPr>
                      <w:rStyle w:val="54"/>
                      <w:rFonts w:ascii="Times New Roman" w:hAnsi="Times New Roman" w:eastAsia="宋体"/>
                      <w:color w:val="auto"/>
                      <w:sz w:val="21"/>
                      <w:highlight w:val="none"/>
                      <w:lang w:val="en-US" w:eastAsia="zh-CN" w:bidi="ar"/>
                    </w:rPr>
                    <w:t>SDS-PAGE凝胶</w:t>
                  </w:r>
                </w:p>
              </w:tc>
              <w:tc>
                <w:tcPr>
                  <w:tcW w:w="638" w:type="pct"/>
                  <w:tcBorders>
                    <w:left w:val="single" w:color="auto" w:sz="4" w:space="0"/>
                  </w:tcBorders>
                  <w:noWrap w:val="0"/>
                  <w:vAlign w:val="center"/>
                </w:tcPr>
                <w:p w14:paraId="00FA7A7B">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kit/a</w:t>
                  </w:r>
                </w:p>
              </w:tc>
              <w:tc>
                <w:tcPr>
                  <w:tcW w:w="1179" w:type="pct"/>
                  <w:tcBorders>
                    <w:left w:val="single" w:color="auto" w:sz="4" w:space="0"/>
                    <w:right w:val="single" w:color="auto" w:sz="4" w:space="0"/>
                  </w:tcBorders>
                  <w:noWrap w:val="0"/>
                  <w:vAlign w:val="center"/>
                </w:tcPr>
                <w:p w14:paraId="7C6DE983">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Times New Roman"/>
                      <w:color w:val="auto"/>
                      <w:kern w:val="0"/>
                      <w:sz w:val="21"/>
                      <w:szCs w:val="21"/>
                      <w:highlight w:val="none"/>
                      <w:shd w:val="clear" w:color="auto" w:fill="FFFFFF"/>
                      <w:lang w:val="en-US" w:eastAsia="zh-CN"/>
                    </w:rPr>
                    <w:t>丙烯酰胺（Acrylamide）+甲叉双丙烯酰胺</w:t>
                  </w:r>
                </w:p>
              </w:tc>
              <w:tc>
                <w:tcPr>
                  <w:tcW w:w="593" w:type="pct"/>
                  <w:tcBorders>
                    <w:left w:val="single" w:color="auto" w:sz="4" w:space="0"/>
                    <w:right w:val="single" w:color="auto" w:sz="4" w:space="0"/>
                  </w:tcBorders>
                  <w:noWrap w:val="0"/>
                  <w:vAlign w:val="center"/>
                </w:tcPr>
                <w:p w14:paraId="36DE2BD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1kit</w:t>
                  </w:r>
                </w:p>
              </w:tc>
              <w:tc>
                <w:tcPr>
                  <w:tcW w:w="472" w:type="pct"/>
                  <w:tcBorders>
                    <w:left w:val="single" w:color="auto" w:sz="4" w:space="0"/>
                    <w:right w:val="single" w:color="auto" w:sz="4" w:space="0"/>
                  </w:tcBorders>
                  <w:noWrap w:val="0"/>
                  <w:vAlign w:val="center"/>
                </w:tcPr>
                <w:p w14:paraId="412CB96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431" w:type="pct"/>
                  <w:noWrap w:val="0"/>
                  <w:vAlign w:val="center"/>
                </w:tcPr>
                <w:p w14:paraId="5B0E9FB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2kit/a</w:t>
                  </w:r>
                </w:p>
              </w:tc>
              <w:tc>
                <w:tcPr>
                  <w:tcW w:w="421" w:type="pct"/>
                  <w:noWrap w:val="0"/>
                  <w:vAlign w:val="center"/>
                </w:tcPr>
                <w:p w14:paraId="75944C35">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冰箱</w:t>
                  </w:r>
                </w:p>
              </w:tc>
            </w:tr>
            <w:tr w14:paraId="6AD925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224671A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w:t>
                  </w:r>
                </w:p>
              </w:tc>
              <w:tc>
                <w:tcPr>
                  <w:tcW w:w="929" w:type="pct"/>
                  <w:noWrap w:val="0"/>
                  <w:vAlign w:val="center"/>
                </w:tcPr>
                <w:p w14:paraId="60B5B4B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21"/>
                      <w:szCs w:val="21"/>
                      <w:highlight w:val="none"/>
                      <w:shd w:val="clear" w:color="auto" w:fill="FFFFFF"/>
                      <w:lang w:val="en-US" w:eastAsia="zh-CN"/>
                    </w:rPr>
                  </w:pPr>
                  <w:r>
                    <w:rPr>
                      <w:rStyle w:val="54"/>
                      <w:rFonts w:ascii="Times New Roman" w:hAnsi="Times New Roman" w:eastAsia="宋体"/>
                      <w:color w:val="auto"/>
                      <w:sz w:val="21"/>
                      <w:highlight w:val="none"/>
                      <w:lang w:val="en-US" w:eastAsia="zh-CN" w:bidi="ar"/>
                    </w:rPr>
                    <w:t>SODIUM PYRUVATE SOL培养基</w:t>
                  </w:r>
                </w:p>
              </w:tc>
              <w:tc>
                <w:tcPr>
                  <w:tcW w:w="638" w:type="pct"/>
                  <w:tcBorders>
                    <w:left w:val="single" w:color="auto" w:sz="4" w:space="0"/>
                  </w:tcBorders>
                  <w:noWrap w:val="0"/>
                  <w:vAlign w:val="center"/>
                </w:tcPr>
                <w:p w14:paraId="1F5A2B23">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L/a</w:t>
                  </w:r>
                </w:p>
              </w:tc>
              <w:tc>
                <w:tcPr>
                  <w:tcW w:w="1179" w:type="pct"/>
                  <w:tcBorders>
                    <w:left w:val="single" w:color="auto" w:sz="4" w:space="0"/>
                    <w:right w:val="single" w:color="auto" w:sz="4" w:space="0"/>
                  </w:tcBorders>
                  <w:noWrap w:val="0"/>
                  <w:vAlign w:val="center"/>
                </w:tcPr>
                <w:p w14:paraId="4880C433">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Times New Roman"/>
                      <w:color w:val="auto"/>
                      <w:kern w:val="0"/>
                      <w:sz w:val="21"/>
                      <w:szCs w:val="21"/>
                      <w:highlight w:val="none"/>
                      <w:shd w:val="clear" w:color="auto" w:fill="FFFFFF"/>
                      <w:lang w:val="en-US" w:eastAsia="zh-CN"/>
                    </w:rPr>
                    <w:t>丙酮酸钠（能量代谢底物） + 水（溶剂）</w:t>
                  </w:r>
                </w:p>
              </w:tc>
              <w:tc>
                <w:tcPr>
                  <w:tcW w:w="593" w:type="pct"/>
                  <w:tcBorders>
                    <w:left w:val="single" w:color="auto" w:sz="4" w:space="0"/>
                    <w:right w:val="single" w:color="auto" w:sz="4" w:space="0"/>
                  </w:tcBorders>
                  <w:noWrap w:val="0"/>
                  <w:vAlign w:val="center"/>
                </w:tcPr>
                <w:p w14:paraId="36C872C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0.1L</w:t>
                  </w:r>
                </w:p>
              </w:tc>
              <w:tc>
                <w:tcPr>
                  <w:tcW w:w="472" w:type="pct"/>
                  <w:tcBorders>
                    <w:left w:val="single" w:color="auto" w:sz="4" w:space="0"/>
                    <w:right w:val="single" w:color="auto" w:sz="4" w:space="0"/>
                  </w:tcBorders>
                  <w:noWrap w:val="0"/>
                  <w:vAlign w:val="center"/>
                </w:tcPr>
                <w:p w14:paraId="51D67CC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31" w:type="pct"/>
                  <w:noWrap w:val="0"/>
                  <w:vAlign w:val="center"/>
                </w:tcPr>
                <w:p w14:paraId="7B1B31D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0.5L</w:t>
                  </w:r>
                </w:p>
              </w:tc>
              <w:tc>
                <w:tcPr>
                  <w:tcW w:w="421" w:type="pct"/>
                  <w:noWrap w:val="0"/>
                  <w:vAlign w:val="center"/>
                </w:tcPr>
                <w:p w14:paraId="35F1B974">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冰箱</w:t>
                  </w:r>
                </w:p>
              </w:tc>
            </w:tr>
            <w:tr w14:paraId="276884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45AA930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c>
                <w:tcPr>
                  <w:tcW w:w="929" w:type="pct"/>
                  <w:noWrap w:val="0"/>
                  <w:vAlign w:val="center"/>
                </w:tcPr>
                <w:p w14:paraId="2D4252E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21"/>
                      <w:szCs w:val="21"/>
                      <w:highlight w:val="none"/>
                      <w:shd w:val="clear" w:color="auto" w:fill="FFFFFF"/>
                      <w:lang w:val="en-US" w:eastAsia="zh-CN"/>
                    </w:rPr>
                  </w:pPr>
                  <w:r>
                    <w:rPr>
                      <w:rStyle w:val="54"/>
                      <w:rFonts w:ascii="Times New Roman" w:hAnsi="Times New Roman" w:eastAsia="宋体"/>
                      <w:color w:val="auto"/>
                      <w:sz w:val="21"/>
                      <w:highlight w:val="none"/>
                      <w:lang w:val="en-US" w:eastAsia="zh-CN" w:bidi="ar"/>
                    </w:rPr>
                    <w:t>western blot试剂盒</w:t>
                  </w:r>
                </w:p>
              </w:tc>
              <w:tc>
                <w:tcPr>
                  <w:tcW w:w="638" w:type="pct"/>
                  <w:tcBorders>
                    <w:left w:val="single" w:color="auto" w:sz="4" w:space="0"/>
                  </w:tcBorders>
                  <w:noWrap w:val="0"/>
                  <w:vAlign w:val="center"/>
                </w:tcPr>
                <w:p w14:paraId="0F57A798">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kit/a</w:t>
                  </w:r>
                </w:p>
              </w:tc>
              <w:tc>
                <w:tcPr>
                  <w:tcW w:w="1179" w:type="pct"/>
                  <w:tcBorders>
                    <w:left w:val="single" w:color="auto" w:sz="4" w:space="0"/>
                    <w:right w:val="single" w:color="auto" w:sz="4" w:space="0"/>
                  </w:tcBorders>
                  <w:noWrap w:val="0"/>
                  <w:vAlign w:val="center"/>
                </w:tcPr>
                <w:p w14:paraId="6E5C040F">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Times New Roman"/>
                      <w:color w:val="auto"/>
                      <w:kern w:val="0"/>
                      <w:sz w:val="21"/>
                      <w:szCs w:val="21"/>
                      <w:highlight w:val="none"/>
                      <w:shd w:val="clear" w:color="auto" w:fill="FFFFFF"/>
                      <w:lang w:val="en-US" w:eastAsia="zh-CN"/>
                    </w:rPr>
                    <w:t>一抗/二抗（特异性结合靶蛋白） + 化学发光底物（如ECL试剂）</w:t>
                  </w:r>
                </w:p>
              </w:tc>
              <w:tc>
                <w:tcPr>
                  <w:tcW w:w="593" w:type="pct"/>
                  <w:tcBorders>
                    <w:left w:val="single" w:color="auto" w:sz="4" w:space="0"/>
                    <w:right w:val="single" w:color="auto" w:sz="4" w:space="0"/>
                  </w:tcBorders>
                  <w:noWrap w:val="0"/>
                  <w:vAlign w:val="center"/>
                </w:tcPr>
                <w:p w14:paraId="22A5EC8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1kit</w:t>
                  </w:r>
                </w:p>
              </w:tc>
              <w:tc>
                <w:tcPr>
                  <w:tcW w:w="472" w:type="pct"/>
                  <w:tcBorders>
                    <w:left w:val="single" w:color="auto" w:sz="4" w:space="0"/>
                    <w:right w:val="single" w:color="auto" w:sz="4" w:space="0"/>
                  </w:tcBorders>
                  <w:noWrap w:val="0"/>
                  <w:vAlign w:val="center"/>
                </w:tcPr>
                <w:p w14:paraId="0BDDD22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431" w:type="pct"/>
                  <w:noWrap w:val="0"/>
                  <w:vAlign w:val="center"/>
                </w:tcPr>
                <w:p w14:paraId="0A561F4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2kit/a</w:t>
                  </w:r>
                </w:p>
              </w:tc>
              <w:tc>
                <w:tcPr>
                  <w:tcW w:w="421" w:type="pct"/>
                  <w:noWrap w:val="0"/>
                  <w:vAlign w:val="center"/>
                </w:tcPr>
                <w:p w14:paraId="56ABA418">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冰箱</w:t>
                  </w:r>
                </w:p>
              </w:tc>
            </w:tr>
            <w:tr w14:paraId="46DC06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05F6657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w:t>
                  </w:r>
                </w:p>
              </w:tc>
              <w:tc>
                <w:tcPr>
                  <w:tcW w:w="929" w:type="pct"/>
                  <w:noWrap w:val="0"/>
                  <w:vAlign w:val="center"/>
                </w:tcPr>
                <w:p w14:paraId="34C9E2F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仿宋"/>
                      <w:i w:val="0"/>
                      <w:iCs w:val="0"/>
                      <w:color w:val="auto"/>
                      <w:kern w:val="0"/>
                      <w:sz w:val="21"/>
                      <w:szCs w:val="22"/>
                      <w:highlight w:val="none"/>
                      <w:u w:val="none"/>
                      <w:lang w:val="en-US" w:eastAsia="zh-CN" w:bidi="ar"/>
                    </w:rPr>
                    <w:t>蛋白胨</w:t>
                  </w:r>
                </w:p>
              </w:tc>
              <w:tc>
                <w:tcPr>
                  <w:tcW w:w="638" w:type="pct"/>
                  <w:tcBorders>
                    <w:left w:val="single" w:color="auto" w:sz="4" w:space="0"/>
                  </w:tcBorders>
                  <w:noWrap w:val="0"/>
                  <w:vAlign w:val="center"/>
                </w:tcPr>
                <w:p w14:paraId="7EE76D7D">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2"/>
                      <w:highlight w:val="none"/>
                      <w:u w:val="none"/>
                      <w:lang w:val="en-US" w:eastAsia="zh-CN" w:bidi="ar"/>
                    </w:rPr>
                    <w:t>kg</w:t>
                  </w:r>
                  <w:r>
                    <w:rPr>
                      <w:rFonts w:hint="default" w:ascii="Times New Roman" w:hAnsi="Times New Roman" w:eastAsia="宋体" w:cs="Times New Roman"/>
                      <w:i w:val="0"/>
                      <w:iCs w:val="0"/>
                      <w:color w:val="auto"/>
                      <w:kern w:val="0"/>
                      <w:sz w:val="21"/>
                      <w:szCs w:val="21"/>
                      <w:highlight w:val="none"/>
                      <w:u w:val="none"/>
                      <w:lang w:val="en-US" w:eastAsia="zh-CN" w:bidi="ar"/>
                    </w:rPr>
                    <w:t>/a</w:t>
                  </w:r>
                </w:p>
              </w:tc>
              <w:tc>
                <w:tcPr>
                  <w:tcW w:w="1179" w:type="pct"/>
                  <w:tcBorders>
                    <w:left w:val="single" w:color="auto" w:sz="4" w:space="0"/>
                    <w:right w:val="single" w:color="auto" w:sz="4" w:space="0"/>
                  </w:tcBorders>
                  <w:noWrap w:val="0"/>
                  <w:vAlign w:val="center"/>
                </w:tcPr>
                <w:p w14:paraId="73551BD3">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Times New Roman"/>
                      <w:color w:val="auto"/>
                      <w:kern w:val="0"/>
                      <w:sz w:val="21"/>
                      <w:szCs w:val="21"/>
                      <w:highlight w:val="none"/>
                      <w:shd w:val="clear" w:color="auto" w:fill="FFFFFF"/>
                      <w:lang w:val="en-US" w:eastAsia="zh-CN"/>
                    </w:rPr>
                    <w:t>动物/植物蛋白经酶解后的短肽混合物</w:t>
                  </w:r>
                </w:p>
              </w:tc>
              <w:tc>
                <w:tcPr>
                  <w:tcW w:w="593" w:type="pct"/>
                  <w:tcBorders>
                    <w:left w:val="single" w:color="auto" w:sz="4" w:space="0"/>
                    <w:right w:val="single" w:color="auto" w:sz="4" w:space="0"/>
                  </w:tcBorders>
                  <w:noWrap w:val="0"/>
                  <w:vAlign w:val="center"/>
                </w:tcPr>
                <w:p w14:paraId="103AB0F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2"/>
                      <w:highlight w:val="none"/>
                      <w:u w:val="none"/>
                      <w:lang w:val="en-US" w:eastAsia="zh-CN" w:bidi="ar"/>
                    </w:rPr>
                    <w:t>0.5kg</w:t>
                  </w:r>
                </w:p>
              </w:tc>
              <w:tc>
                <w:tcPr>
                  <w:tcW w:w="472" w:type="pct"/>
                  <w:tcBorders>
                    <w:left w:val="single" w:color="auto" w:sz="4" w:space="0"/>
                    <w:right w:val="single" w:color="auto" w:sz="4" w:space="0"/>
                  </w:tcBorders>
                  <w:noWrap w:val="0"/>
                  <w:vAlign w:val="center"/>
                </w:tcPr>
                <w:p w14:paraId="5C811BC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2"/>
                      <w:highlight w:val="none"/>
                      <w:u w:val="none"/>
                      <w:lang w:val="en-US" w:eastAsia="zh-CN" w:bidi="ar"/>
                    </w:rPr>
                    <w:t>10</w:t>
                  </w:r>
                </w:p>
              </w:tc>
              <w:tc>
                <w:tcPr>
                  <w:tcW w:w="431" w:type="pct"/>
                  <w:noWrap w:val="0"/>
                  <w:vAlign w:val="center"/>
                </w:tcPr>
                <w:p w14:paraId="37DE9CB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421" w:type="pct"/>
                  <w:noWrap w:val="0"/>
                  <w:vAlign w:val="center"/>
                </w:tcPr>
                <w:p w14:paraId="1EBDC1DC">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试剂柜</w:t>
                  </w:r>
                </w:p>
              </w:tc>
            </w:tr>
            <w:tr w14:paraId="4EE6B6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2" w:type="pct"/>
                  <w:noWrap w:val="0"/>
                  <w:vAlign w:val="center"/>
                </w:tcPr>
                <w:p w14:paraId="54A96BE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w:t>
                  </w:r>
                </w:p>
              </w:tc>
              <w:tc>
                <w:tcPr>
                  <w:tcW w:w="929" w:type="pct"/>
                  <w:noWrap w:val="0"/>
                  <w:vAlign w:val="center"/>
                </w:tcPr>
                <w:p w14:paraId="79734C9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仿宋"/>
                      <w:i w:val="0"/>
                      <w:iCs w:val="0"/>
                      <w:color w:val="auto"/>
                      <w:kern w:val="0"/>
                      <w:sz w:val="21"/>
                      <w:szCs w:val="21"/>
                      <w:highlight w:val="none"/>
                      <w:u w:val="none"/>
                      <w:lang w:val="en-US" w:eastAsia="zh-CN" w:bidi="ar"/>
                    </w:rPr>
                    <w:t>电泳缓冲液</w:t>
                  </w:r>
                </w:p>
              </w:tc>
              <w:tc>
                <w:tcPr>
                  <w:tcW w:w="638" w:type="pct"/>
                  <w:tcBorders>
                    <w:left w:val="single" w:color="auto" w:sz="4" w:space="0"/>
                  </w:tcBorders>
                  <w:noWrap w:val="0"/>
                  <w:vAlign w:val="center"/>
                </w:tcPr>
                <w:p w14:paraId="68089017">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L/a</w:t>
                  </w:r>
                </w:p>
              </w:tc>
              <w:tc>
                <w:tcPr>
                  <w:tcW w:w="1179" w:type="pct"/>
                  <w:tcBorders>
                    <w:left w:val="single" w:color="auto" w:sz="4" w:space="0"/>
                    <w:right w:val="single" w:color="auto" w:sz="4" w:space="0"/>
                  </w:tcBorders>
                  <w:noWrap w:val="0"/>
                  <w:vAlign w:val="center"/>
                </w:tcPr>
                <w:p w14:paraId="4E3C2F48">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Times New Roman"/>
                      <w:color w:val="auto"/>
                      <w:kern w:val="0"/>
                      <w:sz w:val="21"/>
                      <w:szCs w:val="21"/>
                      <w:highlight w:val="none"/>
                      <w:shd w:val="clear" w:color="auto" w:fill="FFFFFF"/>
                      <w:lang w:val="en-US" w:eastAsia="zh-CN"/>
                    </w:rPr>
                    <w:t>Tris碱（pH缓冲） + 甘氨酸（导电介质） + SDS（十二烷基硫酸钠，解离蛋白）</w:t>
                  </w:r>
                </w:p>
              </w:tc>
              <w:tc>
                <w:tcPr>
                  <w:tcW w:w="593" w:type="pct"/>
                  <w:tcBorders>
                    <w:left w:val="single" w:color="auto" w:sz="4" w:space="0"/>
                    <w:right w:val="single" w:color="auto" w:sz="4" w:space="0"/>
                  </w:tcBorders>
                  <w:noWrap w:val="0"/>
                  <w:vAlign w:val="center"/>
                </w:tcPr>
                <w:p w14:paraId="53F9154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0.5L</w:t>
                  </w:r>
                </w:p>
              </w:tc>
              <w:tc>
                <w:tcPr>
                  <w:tcW w:w="472" w:type="pct"/>
                  <w:tcBorders>
                    <w:left w:val="single" w:color="auto" w:sz="4" w:space="0"/>
                    <w:right w:val="single" w:color="auto" w:sz="4" w:space="0"/>
                  </w:tcBorders>
                  <w:noWrap w:val="0"/>
                  <w:vAlign w:val="center"/>
                </w:tcPr>
                <w:p w14:paraId="040A106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431" w:type="pct"/>
                  <w:noWrap w:val="0"/>
                  <w:vAlign w:val="center"/>
                </w:tcPr>
                <w:p w14:paraId="318B029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21" w:type="pct"/>
                  <w:noWrap w:val="0"/>
                  <w:vAlign w:val="center"/>
                </w:tcPr>
                <w:p w14:paraId="02D5424F">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冰箱</w:t>
                  </w:r>
                </w:p>
              </w:tc>
            </w:tr>
            <w:tr w14:paraId="104536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52DBD5D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w:t>
                  </w:r>
                </w:p>
              </w:tc>
              <w:tc>
                <w:tcPr>
                  <w:tcW w:w="929" w:type="pct"/>
                  <w:noWrap w:val="0"/>
                  <w:vAlign w:val="center"/>
                </w:tcPr>
                <w:p w14:paraId="4DC7A0E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仿宋"/>
                      <w:i w:val="0"/>
                      <w:iCs w:val="0"/>
                      <w:color w:val="auto"/>
                      <w:kern w:val="0"/>
                      <w:sz w:val="21"/>
                      <w:szCs w:val="21"/>
                      <w:highlight w:val="none"/>
                      <w:u w:val="none"/>
                      <w:lang w:val="en-US" w:eastAsia="zh-CN" w:bidi="ar"/>
                    </w:rPr>
                    <w:t>二甲基亚砜</w:t>
                  </w:r>
                </w:p>
              </w:tc>
              <w:tc>
                <w:tcPr>
                  <w:tcW w:w="638" w:type="pct"/>
                  <w:tcBorders>
                    <w:left w:val="single" w:color="auto" w:sz="4" w:space="0"/>
                  </w:tcBorders>
                  <w:noWrap w:val="0"/>
                  <w:vAlign w:val="center"/>
                </w:tcPr>
                <w:p w14:paraId="6AF14028">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L/a</w:t>
                  </w:r>
                </w:p>
              </w:tc>
              <w:tc>
                <w:tcPr>
                  <w:tcW w:w="1179" w:type="pct"/>
                  <w:tcBorders>
                    <w:left w:val="single" w:color="auto" w:sz="4" w:space="0"/>
                    <w:right w:val="single" w:color="auto" w:sz="4" w:space="0"/>
                  </w:tcBorders>
                  <w:noWrap w:val="0"/>
                  <w:vAlign w:val="center"/>
                </w:tcPr>
                <w:p w14:paraId="11DCABE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Times New Roman"/>
                      <w:b/>
                      <w:bCs/>
                      <w:color w:val="auto"/>
                      <w:kern w:val="0"/>
                      <w:sz w:val="21"/>
                      <w:szCs w:val="21"/>
                      <w:highlight w:val="none"/>
                      <w:shd w:val="clear" w:color="auto" w:fill="FFFFFF"/>
                      <w:lang w:val="en-US" w:eastAsia="zh-CN"/>
                    </w:rPr>
                    <w:t>见下表2-5</w:t>
                  </w:r>
                </w:p>
              </w:tc>
              <w:tc>
                <w:tcPr>
                  <w:tcW w:w="593" w:type="pct"/>
                  <w:tcBorders>
                    <w:left w:val="single" w:color="auto" w:sz="4" w:space="0"/>
                    <w:right w:val="single" w:color="auto" w:sz="4" w:space="0"/>
                  </w:tcBorders>
                  <w:noWrap w:val="0"/>
                  <w:vAlign w:val="center"/>
                </w:tcPr>
                <w:p w14:paraId="7B4F7AF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0.5L</w:t>
                  </w:r>
                </w:p>
              </w:tc>
              <w:tc>
                <w:tcPr>
                  <w:tcW w:w="472" w:type="pct"/>
                  <w:tcBorders>
                    <w:left w:val="single" w:color="auto" w:sz="4" w:space="0"/>
                    <w:right w:val="single" w:color="auto" w:sz="4" w:space="0"/>
                  </w:tcBorders>
                  <w:noWrap w:val="0"/>
                  <w:vAlign w:val="center"/>
                </w:tcPr>
                <w:p w14:paraId="037B673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431" w:type="pct"/>
                  <w:noWrap w:val="0"/>
                  <w:vAlign w:val="center"/>
                </w:tcPr>
                <w:p w14:paraId="7219EC2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21" w:type="pct"/>
                  <w:noWrap w:val="0"/>
                  <w:vAlign w:val="center"/>
                </w:tcPr>
                <w:p w14:paraId="5FEF579E">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防爆柜</w:t>
                  </w:r>
                </w:p>
              </w:tc>
            </w:tr>
            <w:tr w14:paraId="715359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0AC3960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w:t>
                  </w:r>
                </w:p>
              </w:tc>
              <w:tc>
                <w:tcPr>
                  <w:tcW w:w="929" w:type="pct"/>
                  <w:noWrap w:val="0"/>
                  <w:vAlign w:val="center"/>
                </w:tcPr>
                <w:p w14:paraId="6830BEC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仿宋"/>
                      <w:i w:val="0"/>
                      <w:iCs w:val="0"/>
                      <w:color w:val="auto"/>
                      <w:kern w:val="0"/>
                      <w:sz w:val="21"/>
                      <w:szCs w:val="22"/>
                      <w:highlight w:val="none"/>
                      <w:u w:val="none"/>
                      <w:lang w:val="en-US" w:eastAsia="zh-CN" w:bidi="ar"/>
                    </w:rPr>
                    <w:t>二硫苏糖醇</w:t>
                  </w:r>
                </w:p>
              </w:tc>
              <w:tc>
                <w:tcPr>
                  <w:tcW w:w="638" w:type="pct"/>
                  <w:tcBorders>
                    <w:left w:val="single" w:color="auto" w:sz="4" w:space="0"/>
                  </w:tcBorders>
                  <w:noWrap w:val="0"/>
                  <w:vAlign w:val="center"/>
                </w:tcPr>
                <w:p w14:paraId="0244FC8C">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2"/>
                      <w:highlight w:val="none"/>
                      <w:u w:val="none"/>
                      <w:lang w:val="en-US" w:eastAsia="zh-CN" w:bidi="ar"/>
                    </w:rPr>
                    <w:t>kg</w:t>
                  </w:r>
                  <w:r>
                    <w:rPr>
                      <w:rFonts w:hint="default" w:ascii="Times New Roman" w:hAnsi="Times New Roman" w:eastAsia="宋体" w:cs="Times New Roman"/>
                      <w:i w:val="0"/>
                      <w:iCs w:val="0"/>
                      <w:color w:val="auto"/>
                      <w:kern w:val="0"/>
                      <w:sz w:val="21"/>
                      <w:szCs w:val="21"/>
                      <w:highlight w:val="none"/>
                      <w:u w:val="none"/>
                      <w:lang w:val="en-US" w:eastAsia="zh-CN" w:bidi="ar"/>
                    </w:rPr>
                    <w:t>/a</w:t>
                  </w:r>
                </w:p>
              </w:tc>
              <w:tc>
                <w:tcPr>
                  <w:tcW w:w="1179" w:type="pct"/>
                  <w:tcBorders>
                    <w:left w:val="single" w:color="auto" w:sz="4" w:space="0"/>
                    <w:right w:val="single" w:color="auto" w:sz="4" w:space="0"/>
                  </w:tcBorders>
                  <w:noWrap w:val="0"/>
                  <w:vAlign w:val="center"/>
                </w:tcPr>
                <w:p w14:paraId="72D3CF74">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Times New Roman"/>
                      <w:color w:val="auto"/>
                      <w:kern w:val="0"/>
                      <w:sz w:val="21"/>
                      <w:szCs w:val="21"/>
                      <w:highlight w:val="none"/>
                      <w:shd w:val="clear" w:color="auto" w:fill="FFFFFF"/>
                      <w:lang w:val="en-US" w:eastAsia="zh-CN"/>
                    </w:rPr>
                    <w:t>DTT（还原二硫键，维持蛋白还原状态）</w:t>
                  </w:r>
                </w:p>
              </w:tc>
              <w:tc>
                <w:tcPr>
                  <w:tcW w:w="593" w:type="pct"/>
                  <w:tcBorders>
                    <w:left w:val="single" w:color="auto" w:sz="4" w:space="0"/>
                    <w:right w:val="single" w:color="auto" w:sz="4" w:space="0"/>
                  </w:tcBorders>
                  <w:noWrap w:val="0"/>
                  <w:vAlign w:val="center"/>
                </w:tcPr>
                <w:p w14:paraId="19E179B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2"/>
                      <w:highlight w:val="none"/>
                      <w:u w:val="none"/>
                      <w:lang w:val="en-US" w:eastAsia="zh-CN" w:bidi="ar"/>
                    </w:rPr>
                    <w:t>0.5kg</w:t>
                  </w:r>
                </w:p>
              </w:tc>
              <w:tc>
                <w:tcPr>
                  <w:tcW w:w="472" w:type="pct"/>
                  <w:tcBorders>
                    <w:left w:val="single" w:color="auto" w:sz="4" w:space="0"/>
                    <w:right w:val="single" w:color="auto" w:sz="4" w:space="0"/>
                  </w:tcBorders>
                  <w:noWrap w:val="0"/>
                  <w:vAlign w:val="center"/>
                </w:tcPr>
                <w:p w14:paraId="152C05F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2"/>
                      <w:highlight w:val="none"/>
                      <w:u w:val="none"/>
                      <w:lang w:val="en-US" w:eastAsia="zh-CN" w:bidi="ar"/>
                    </w:rPr>
                    <w:t>1</w:t>
                  </w:r>
                </w:p>
              </w:tc>
              <w:tc>
                <w:tcPr>
                  <w:tcW w:w="431" w:type="pct"/>
                  <w:noWrap w:val="0"/>
                  <w:vAlign w:val="center"/>
                </w:tcPr>
                <w:p w14:paraId="71ED07F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21" w:type="pct"/>
                  <w:noWrap w:val="0"/>
                  <w:vAlign w:val="center"/>
                </w:tcPr>
                <w:p w14:paraId="57856F40">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冰箱</w:t>
                  </w:r>
                </w:p>
              </w:tc>
            </w:tr>
            <w:tr w14:paraId="763A2F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0A4C421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w:t>
                  </w:r>
                </w:p>
              </w:tc>
              <w:tc>
                <w:tcPr>
                  <w:tcW w:w="929" w:type="pct"/>
                  <w:noWrap w:val="0"/>
                  <w:vAlign w:val="center"/>
                </w:tcPr>
                <w:p w14:paraId="1324D7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仿宋"/>
                      <w:i w:val="0"/>
                      <w:iCs w:val="0"/>
                      <w:color w:val="auto"/>
                      <w:kern w:val="0"/>
                      <w:sz w:val="21"/>
                      <w:szCs w:val="21"/>
                      <w:highlight w:val="none"/>
                      <w:u w:val="none"/>
                      <w:lang w:val="en-US" w:eastAsia="zh-CN" w:bidi="ar"/>
                    </w:rPr>
                    <w:t>二氧化碳-12C</w:t>
                  </w:r>
                </w:p>
              </w:tc>
              <w:tc>
                <w:tcPr>
                  <w:tcW w:w="638" w:type="pct"/>
                  <w:tcBorders>
                    <w:left w:val="single" w:color="auto" w:sz="4" w:space="0"/>
                  </w:tcBorders>
                  <w:noWrap w:val="0"/>
                  <w:vAlign w:val="center"/>
                </w:tcPr>
                <w:p w14:paraId="4F3C4BF7">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L/a</w:t>
                  </w:r>
                </w:p>
              </w:tc>
              <w:tc>
                <w:tcPr>
                  <w:tcW w:w="1179" w:type="pct"/>
                  <w:tcBorders>
                    <w:left w:val="single" w:color="auto" w:sz="4" w:space="0"/>
                    <w:right w:val="single" w:color="auto" w:sz="4" w:space="0"/>
                  </w:tcBorders>
                  <w:noWrap w:val="0"/>
                  <w:vAlign w:val="center"/>
                </w:tcPr>
                <w:p w14:paraId="1CCF798C">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Times New Roman"/>
                      <w:b/>
                      <w:bCs/>
                      <w:color w:val="auto"/>
                      <w:kern w:val="0"/>
                      <w:sz w:val="21"/>
                      <w:szCs w:val="21"/>
                      <w:highlight w:val="none"/>
                      <w:shd w:val="clear" w:color="auto" w:fill="FFFFFF"/>
                      <w:lang w:val="en-US" w:eastAsia="zh-CN"/>
                    </w:rPr>
                    <w:t>见下表2-5</w:t>
                  </w:r>
                </w:p>
              </w:tc>
              <w:tc>
                <w:tcPr>
                  <w:tcW w:w="593" w:type="pct"/>
                  <w:tcBorders>
                    <w:left w:val="single" w:color="auto" w:sz="4" w:space="0"/>
                    <w:right w:val="single" w:color="auto" w:sz="4" w:space="0"/>
                  </w:tcBorders>
                  <w:noWrap w:val="0"/>
                  <w:vAlign w:val="center"/>
                </w:tcPr>
                <w:p w14:paraId="0DF953D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40L</w:t>
                  </w:r>
                </w:p>
              </w:tc>
              <w:tc>
                <w:tcPr>
                  <w:tcW w:w="472" w:type="pct"/>
                  <w:tcBorders>
                    <w:left w:val="single" w:color="auto" w:sz="4" w:space="0"/>
                    <w:right w:val="single" w:color="auto" w:sz="4" w:space="0"/>
                  </w:tcBorders>
                  <w:noWrap w:val="0"/>
                  <w:vAlign w:val="center"/>
                </w:tcPr>
                <w:p w14:paraId="5E03765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2000</w:t>
                  </w:r>
                </w:p>
              </w:tc>
              <w:tc>
                <w:tcPr>
                  <w:tcW w:w="431" w:type="pct"/>
                  <w:noWrap w:val="0"/>
                  <w:vAlign w:val="center"/>
                </w:tcPr>
                <w:p w14:paraId="3AE49BA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80L</w:t>
                  </w:r>
                </w:p>
              </w:tc>
              <w:tc>
                <w:tcPr>
                  <w:tcW w:w="421" w:type="pct"/>
                  <w:noWrap w:val="0"/>
                  <w:vAlign w:val="center"/>
                </w:tcPr>
                <w:p w14:paraId="7E7DD560">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气瓶柜</w:t>
                  </w:r>
                </w:p>
              </w:tc>
            </w:tr>
            <w:tr w14:paraId="2BC1D3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4A446B1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w:t>
                  </w:r>
                </w:p>
              </w:tc>
              <w:tc>
                <w:tcPr>
                  <w:tcW w:w="929" w:type="pct"/>
                  <w:noWrap w:val="0"/>
                  <w:vAlign w:val="center"/>
                </w:tcPr>
                <w:p w14:paraId="00BCDF8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仿宋"/>
                      <w:i w:val="0"/>
                      <w:iCs w:val="0"/>
                      <w:color w:val="auto"/>
                      <w:kern w:val="0"/>
                      <w:sz w:val="21"/>
                      <w:szCs w:val="21"/>
                      <w:highlight w:val="none"/>
                      <w:u w:val="none"/>
                      <w:lang w:val="en-US" w:eastAsia="zh-CN" w:bidi="ar"/>
                    </w:rPr>
                    <w:t>基质胶</w:t>
                  </w:r>
                </w:p>
              </w:tc>
              <w:tc>
                <w:tcPr>
                  <w:tcW w:w="638" w:type="pct"/>
                  <w:tcBorders>
                    <w:left w:val="single" w:color="auto" w:sz="4" w:space="0"/>
                  </w:tcBorders>
                  <w:noWrap w:val="0"/>
                  <w:vAlign w:val="center"/>
                </w:tcPr>
                <w:p w14:paraId="334054ED">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L/a</w:t>
                  </w:r>
                </w:p>
              </w:tc>
              <w:tc>
                <w:tcPr>
                  <w:tcW w:w="1179" w:type="pct"/>
                  <w:tcBorders>
                    <w:left w:val="single" w:color="auto" w:sz="4" w:space="0"/>
                    <w:right w:val="single" w:color="auto" w:sz="4" w:space="0"/>
                  </w:tcBorders>
                  <w:noWrap w:val="0"/>
                  <w:vAlign w:val="center"/>
                </w:tcPr>
                <w:p w14:paraId="5A72717E">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Times New Roman"/>
                      <w:color w:val="auto"/>
                      <w:kern w:val="0"/>
                      <w:sz w:val="21"/>
                      <w:szCs w:val="21"/>
                      <w:highlight w:val="none"/>
                      <w:shd w:val="clear" w:color="auto" w:fill="FFFFFF"/>
                      <w:lang w:val="en-US" w:eastAsia="zh-CN"/>
                    </w:rPr>
                    <w:t>层粘连蛋白（Laminin） + IV型胶原蛋白（模拟细胞外基质环境）</w:t>
                  </w:r>
                </w:p>
              </w:tc>
              <w:tc>
                <w:tcPr>
                  <w:tcW w:w="593" w:type="pct"/>
                  <w:tcBorders>
                    <w:left w:val="single" w:color="auto" w:sz="4" w:space="0"/>
                    <w:right w:val="single" w:color="auto" w:sz="4" w:space="0"/>
                  </w:tcBorders>
                  <w:noWrap w:val="0"/>
                  <w:vAlign w:val="center"/>
                </w:tcPr>
                <w:p w14:paraId="342BCAE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5ml</w:t>
                  </w:r>
                </w:p>
              </w:tc>
              <w:tc>
                <w:tcPr>
                  <w:tcW w:w="472" w:type="pct"/>
                  <w:tcBorders>
                    <w:left w:val="single" w:color="auto" w:sz="4" w:space="0"/>
                    <w:right w:val="single" w:color="auto" w:sz="4" w:space="0"/>
                  </w:tcBorders>
                  <w:noWrap w:val="0"/>
                  <w:vAlign w:val="center"/>
                </w:tcPr>
                <w:p w14:paraId="23C74C6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431" w:type="pct"/>
                  <w:noWrap w:val="0"/>
                  <w:vAlign w:val="center"/>
                </w:tcPr>
                <w:p w14:paraId="67FF644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21" w:type="pct"/>
                  <w:noWrap w:val="0"/>
                  <w:vAlign w:val="center"/>
                </w:tcPr>
                <w:p w14:paraId="2CE65B7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冰箱</w:t>
                  </w:r>
                </w:p>
              </w:tc>
            </w:tr>
            <w:tr w14:paraId="414504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4D88173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27</w:t>
                  </w:r>
                </w:p>
              </w:tc>
              <w:tc>
                <w:tcPr>
                  <w:tcW w:w="929" w:type="pct"/>
                  <w:noWrap w:val="0"/>
                  <w:vAlign w:val="center"/>
                </w:tcPr>
                <w:p w14:paraId="6115F4F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仿宋"/>
                      <w:i w:val="0"/>
                      <w:iCs w:val="0"/>
                      <w:color w:val="auto"/>
                      <w:kern w:val="0"/>
                      <w:sz w:val="21"/>
                      <w:szCs w:val="21"/>
                      <w:highlight w:val="none"/>
                      <w:u w:val="none"/>
                      <w:lang w:val="en-US" w:eastAsia="zh-CN" w:bidi="ar"/>
                    </w:rPr>
                    <w:t>甲醇</w:t>
                  </w:r>
                </w:p>
              </w:tc>
              <w:tc>
                <w:tcPr>
                  <w:tcW w:w="638" w:type="pct"/>
                  <w:tcBorders>
                    <w:left w:val="single" w:color="auto" w:sz="4" w:space="0"/>
                  </w:tcBorders>
                  <w:noWrap w:val="0"/>
                  <w:vAlign w:val="center"/>
                </w:tcPr>
                <w:p w14:paraId="7824371D">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L/a</w:t>
                  </w:r>
                </w:p>
              </w:tc>
              <w:tc>
                <w:tcPr>
                  <w:tcW w:w="1179" w:type="pct"/>
                  <w:tcBorders>
                    <w:left w:val="single" w:color="auto" w:sz="4" w:space="0"/>
                    <w:right w:val="single" w:color="auto" w:sz="4" w:space="0"/>
                  </w:tcBorders>
                  <w:noWrap w:val="0"/>
                  <w:vAlign w:val="center"/>
                </w:tcPr>
                <w:p w14:paraId="158B59D2">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Times New Roman"/>
                      <w:b/>
                      <w:bCs/>
                      <w:color w:val="auto"/>
                      <w:kern w:val="0"/>
                      <w:sz w:val="21"/>
                      <w:szCs w:val="21"/>
                      <w:highlight w:val="none"/>
                      <w:shd w:val="clear" w:color="auto" w:fill="FFFFFF"/>
                      <w:lang w:val="en-US" w:eastAsia="zh-CN"/>
                    </w:rPr>
                    <w:t>见下表2-5</w:t>
                  </w:r>
                </w:p>
              </w:tc>
              <w:tc>
                <w:tcPr>
                  <w:tcW w:w="593" w:type="pct"/>
                  <w:tcBorders>
                    <w:left w:val="single" w:color="auto" w:sz="4" w:space="0"/>
                    <w:right w:val="single" w:color="auto" w:sz="4" w:space="0"/>
                  </w:tcBorders>
                  <w:noWrap w:val="0"/>
                  <w:vAlign w:val="center"/>
                </w:tcPr>
                <w:p w14:paraId="1AE79C3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0.5L</w:t>
                  </w:r>
                </w:p>
              </w:tc>
              <w:tc>
                <w:tcPr>
                  <w:tcW w:w="472" w:type="pct"/>
                  <w:tcBorders>
                    <w:left w:val="single" w:color="auto" w:sz="4" w:space="0"/>
                    <w:right w:val="single" w:color="auto" w:sz="4" w:space="0"/>
                  </w:tcBorders>
                  <w:noWrap w:val="0"/>
                  <w:vAlign w:val="center"/>
                </w:tcPr>
                <w:p w14:paraId="0766452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431" w:type="pct"/>
                  <w:noWrap w:val="0"/>
                  <w:vAlign w:val="center"/>
                </w:tcPr>
                <w:p w14:paraId="0861C00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421" w:type="pct"/>
                  <w:noWrap w:val="0"/>
                  <w:vAlign w:val="center"/>
                </w:tcPr>
                <w:p w14:paraId="7869ABAC">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防爆柜</w:t>
                  </w:r>
                </w:p>
              </w:tc>
            </w:tr>
            <w:tr w14:paraId="28591D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6846947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w:t>
                  </w:r>
                </w:p>
              </w:tc>
              <w:tc>
                <w:tcPr>
                  <w:tcW w:w="929" w:type="pct"/>
                  <w:noWrap w:val="0"/>
                  <w:vAlign w:val="center"/>
                </w:tcPr>
                <w:p w14:paraId="47DC2FB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仿宋"/>
                      <w:i w:val="0"/>
                      <w:iCs w:val="0"/>
                      <w:color w:val="auto"/>
                      <w:kern w:val="0"/>
                      <w:sz w:val="21"/>
                      <w:szCs w:val="21"/>
                      <w:highlight w:val="none"/>
                      <w:u w:val="none"/>
                      <w:lang w:val="en-US" w:eastAsia="zh-CN" w:bidi="ar"/>
                    </w:rPr>
                    <w:t>酵母粉</w:t>
                  </w:r>
                </w:p>
              </w:tc>
              <w:tc>
                <w:tcPr>
                  <w:tcW w:w="638" w:type="pct"/>
                  <w:tcBorders>
                    <w:left w:val="single" w:color="auto" w:sz="4" w:space="0"/>
                  </w:tcBorders>
                  <w:noWrap w:val="0"/>
                  <w:vAlign w:val="center"/>
                </w:tcPr>
                <w:p w14:paraId="34FD03EF">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2"/>
                      <w:highlight w:val="none"/>
                      <w:u w:val="none"/>
                      <w:lang w:val="en-US" w:eastAsia="zh-CN" w:bidi="ar"/>
                    </w:rPr>
                    <w:t>kg</w:t>
                  </w:r>
                  <w:r>
                    <w:rPr>
                      <w:rFonts w:hint="default" w:ascii="Times New Roman" w:hAnsi="Times New Roman" w:eastAsia="宋体" w:cs="Times New Roman"/>
                      <w:i w:val="0"/>
                      <w:iCs w:val="0"/>
                      <w:color w:val="auto"/>
                      <w:kern w:val="0"/>
                      <w:sz w:val="21"/>
                      <w:szCs w:val="21"/>
                      <w:highlight w:val="none"/>
                      <w:u w:val="none"/>
                      <w:lang w:val="en-US" w:eastAsia="zh-CN" w:bidi="ar"/>
                    </w:rPr>
                    <w:t>/a</w:t>
                  </w:r>
                </w:p>
              </w:tc>
              <w:tc>
                <w:tcPr>
                  <w:tcW w:w="1179" w:type="pct"/>
                  <w:tcBorders>
                    <w:left w:val="single" w:color="auto" w:sz="4" w:space="0"/>
                    <w:right w:val="single" w:color="auto" w:sz="4" w:space="0"/>
                  </w:tcBorders>
                  <w:noWrap w:val="0"/>
                  <w:vAlign w:val="center"/>
                </w:tcPr>
                <w:p w14:paraId="07FD5FD4">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Times New Roman"/>
                      <w:color w:val="auto"/>
                      <w:kern w:val="0"/>
                      <w:sz w:val="21"/>
                      <w:szCs w:val="21"/>
                      <w:highlight w:val="none"/>
                      <w:shd w:val="clear" w:color="auto" w:fill="FFFFFF"/>
                      <w:lang w:val="en-US" w:eastAsia="zh-CN"/>
                    </w:rPr>
                    <w:t>酵母细胞裂解后的蛋白质、B族维生素及核酸</w:t>
                  </w:r>
                </w:p>
              </w:tc>
              <w:tc>
                <w:tcPr>
                  <w:tcW w:w="593" w:type="pct"/>
                  <w:tcBorders>
                    <w:left w:val="single" w:color="auto" w:sz="4" w:space="0"/>
                    <w:right w:val="single" w:color="auto" w:sz="4" w:space="0"/>
                  </w:tcBorders>
                  <w:noWrap w:val="0"/>
                  <w:vAlign w:val="center"/>
                </w:tcPr>
                <w:p w14:paraId="0B15917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2"/>
                      <w:highlight w:val="none"/>
                      <w:u w:val="none"/>
                      <w:lang w:val="en-US" w:eastAsia="zh-CN" w:bidi="ar"/>
                    </w:rPr>
                    <w:t>0.5kg</w:t>
                  </w:r>
                </w:p>
              </w:tc>
              <w:tc>
                <w:tcPr>
                  <w:tcW w:w="472" w:type="pct"/>
                  <w:tcBorders>
                    <w:left w:val="single" w:color="auto" w:sz="4" w:space="0"/>
                    <w:right w:val="single" w:color="auto" w:sz="4" w:space="0"/>
                  </w:tcBorders>
                  <w:noWrap w:val="0"/>
                  <w:vAlign w:val="center"/>
                </w:tcPr>
                <w:p w14:paraId="56BC6B8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2"/>
                      <w:highlight w:val="none"/>
                      <w:u w:val="none"/>
                      <w:lang w:val="en-US" w:eastAsia="zh-CN" w:bidi="ar"/>
                    </w:rPr>
                    <w:t>5</w:t>
                  </w:r>
                </w:p>
              </w:tc>
              <w:tc>
                <w:tcPr>
                  <w:tcW w:w="431" w:type="pct"/>
                  <w:noWrap w:val="0"/>
                  <w:vAlign w:val="center"/>
                </w:tcPr>
                <w:p w14:paraId="0EB0AB9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421" w:type="pct"/>
                  <w:noWrap w:val="0"/>
                  <w:vAlign w:val="center"/>
                </w:tcPr>
                <w:p w14:paraId="6AED1510">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冰箱</w:t>
                  </w:r>
                </w:p>
              </w:tc>
            </w:tr>
            <w:tr w14:paraId="1C2DEA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2FAFBB6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w:t>
                  </w:r>
                </w:p>
              </w:tc>
              <w:tc>
                <w:tcPr>
                  <w:tcW w:w="929" w:type="pct"/>
                  <w:noWrap w:val="0"/>
                  <w:vAlign w:val="center"/>
                </w:tcPr>
                <w:p w14:paraId="48E2E98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21"/>
                      <w:szCs w:val="21"/>
                      <w:highlight w:val="none"/>
                      <w:shd w:val="clear" w:color="auto" w:fill="FFFFFF"/>
                      <w:lang w:val="en-US" w:eastAsia="zh-CN"/>
                    </w:rPr>
                  </w:pPr>
                  <w:r>
                    <w:rPr>
                      <w:rStyle w:val="54"/>
                      <w:rFonts w:ascii="Times New Roman" w:hAnsi="Times New Roman" w:eastAsia="宋体"/>
                      <w:color w:val="auto"/>
                      <w:sz w:val="21"/>
                      <w:highlight w:val="none"/>
                      <w:lang w:val="en-US" w:eastAsia="zh-CN" w:bidi="ar"/>
                    </w:rPr>
                    <w:t>抗生素（</w:t>
                  </w:r>
                  <w:r>
                    <w:rPr>
                      <w:rStyle w:val="55"/>
                      <w:rFonts w:ascii="Times New Roman" w:hAnsi="Times New Roman" w:eastAsia="宋体"/>
                      <w:color w:val="auto"/>
                      <w:sz w:val="21"/>
                      <w:highlight w:val="none"/>
                      <w:lang w:val="en-US" w:eastAsia="zh-CN" w:bidi="ar"/>
                    </w:rPr>
                    <w:t>Kana\Amp</w:t>
                  </w:r>
                  <w:r>
                    <w:rPr>
                      <w:rStyle w:val="54"/>
                      <w:rFonts w:ascii="Times New Roman" w:hAnsi="Times New Roman" w:eastAsia="宋体"/>
                      <w:color w:val="auto"/>
                      <w:sz w:val="21"/>
                      <w:highlight w:val="none"/>
                      <w:lang w:val="en-US" w:eastAsia="zh-CN" w:bidi="ar"/>
                    </w:rPr>
                    <w:t>）</w:t>
                  </w:r>
                </w:p>
              </w:tc>
              <w:tc>
                <w:tcPr>
                  <w:tcW w:w="638" w:type="pct"/>
                  <w:tcBorders>
                    <w:left w:val="single" w:color="auto" w:sz="4" w:space="0"/>
                  </w:tcBorders>
                  <w:noWrap w:val="0"/>
                  <w:vAlign w:val="center"/>
                </w:tcPr>
                <w:p w14:paraId="3F0EDC55">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2"/>
                      <w:highlight w:val="none"/>
                      <w:u w:val="none"/>
                      <w:lang w:val="en-US" w:eastAsia="zh-CN" w:bidi="ar"/>
                    </w:rPr>
                    <w:t>kg</w:t>
                  </w:r>
                  <w:r>
                    <w:rPr>
                      <w:rFonts w:hint="default" w:ascii="Times New Roman" w:hAnsi="Times New Roman" w:eastAsia="宋体" w:cs="Times New Roman"/>
                      <w:i w:val="0"/>
                      <w:iCs w:val="0"/>
                      <w:color w:val="auto"/>
                      <w:kern w:val="0"/>
                      <w:sz w:val="21"/>
                      <w:szCs w:val="21"/>
                      <w:highlight w:val="none"/>
                      <w:u w:val="none"/>
                      <w:lang w:val="en-US" w:eastAsia="zh-CN" w:bidi="ar"/>
                    </w:rPr>
                    <w:t>/a</w:t>
                  </w:r>
                </w:p>
              </w:tc>
              <w:tc>
                <w:tcPr>
                  <w:tcW w:w="1179" w:type="pct"/>
                  <w:tcBorders>
                    <w:left w:val="single" w:color="auto" w:sz="4" w:space="0"/>
                    <w:right w:val="single" w:color="auto" w:sz="4" w:space="0"/>
                  </w:tcBorders>
                  <w:noWrap w:val="0"/>
                  <w:vAlign w:val="center"/>
                </w:tcPr>
                <w:p w14:paraId="4783B8E8">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Times New Roman"/>
                      <w:color w:val="auto"/>
                      <w:kern w:val="0"/>
                      <w:sz w:val="21"/>
                      <w:szCs w:val="21"/>
                      <w:highlight w:val="none"/>
                      <w:shd w:val="clear" w:color="auto" w:fill="FFFFFF"/>
                      <w:lang w:val="en-US" w:eastAsia="zh-CN"/>
                    </w:rPr>
                    <w:t>卡那霉素（Kana）或氨苄青霉素（Amp）</w:t>
                  </w:r>
                </w:p>
              </w:tc>
              <w:tc>
                <w:tcPr>
                  <w:tcW w:w="593" w:type="pct"/>
                  <w:tcBorders>
                    <w:left w:val="single" w:color="auto" w:sz="4" w:space="0"/>
                    <w:right w:val="single" w:color="auto" w:sz="4" w:space="0"/>
                  </w:tcBorders>
                  <w:noWrap w:val="0"/>
                  <w:vAlign w:val="center"/>
                </w:tcPr>
                <w:p w14:paraId="1909ED6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2"/>
                      <w:highlight w:val="none"/>
                      <w:u w:val="none"/>
                      <w:lang w:val="en-US" w:eastAsia="zh-CN" w:bidi="ar"/>
                    </w:rPr>
                    <w:t>0.1kg</w:t>
                  </w:r>
                </w:p>
              </w:tc>
              <w:tc>
                <w:tcPr>
                  <w:tcW w:w="472" w:type="pct"/>
                  <w:tcBorders>
                    <w:left w:val="single" w:color="auto" w:sz="4" w:space="0"/>
                    <w:right w:val="single" w:color="auto" w:sz="4" w:space="0"/>
                  </w:tcBorders>
                  <w:noWrap w:val="0"/>
                  <w:vAlign w:val="center"/>
                </w:tcPr>
                <w:p w14:paraId="30D1F27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2"/>
                      <w:highlight w:val="none"/>
                      <w:u w:val="none"/>
                      <w:lang w:val="en-US" w:eastAsia="zh-CN" w:bidi="ar"/>
                    </w:rPr>
                    <w:t>1</w:t>
                  </w:r>
                </w:p>
              </w:tc>
              <w:tc>
                <w:tcPr>
                  <w:tcW w:w="431" w:type="pct"/>
                  <w:noWrap w:val="0"/>
                  <w:vAlign w:val="center"/>
                </w:tcPr>
                <w:p w14:paraId="61710DB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21" w:type="pct"/>
                  <w:noWrap w:val="0"/>
                  <w:vAlign w:val="center"/>
                </w:tcPr>
                <w:p w14:paraId="1FEE80CD">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冰箱</w:t>
                  </w:r>
                </w:p>
              </w:tc>
            </w:tr>
            <w:tr w14:paraId="631792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46A8357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w:t>
                  </w:r>
                </w:p>
              </w:tc>
              <w:tc>
                <w:tcPr>
                  <w:tcW w:w="929" w:type="pct"/>
                  <w:noWrap w:val="0"/>
                  <w:vAlign w:val="center"/>
                </w:tcPr>
                <w:p w14:paraId="6A88130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仿宋"/>
                      <w:i w:val="0"/>
                      <w:iCs w:val="0"/>
                      <w:color w:val="auto"/>
                      <w:kern w:val="0"/>
                      <w:sz w:val="21"/>
                      <w:szCs w:val="21"/>
                      <w:highlight w:val="none"/>
                      <w:u w:val="none"/>
                      <w:lang w:val="en-US" w:eastAsia="zh-CN" w:bidi="ar"/>
                    </w:rPr>
                    <w:t>磷酸盐缓冲溶液</w:t>
                  </w:r>
                </w:p>
              </w:tc>
              <w:tc>
                <w:tcPr>
                  <w:tcW w:w="638" w:type="pct"/>
                  <w:tcBorders>
                    <w:left w:val="single" w:color="auto" w:sz="4" w:space="0"/>
                  </w:tcBorders>
                  <w:noWrap w:val="0"/>
                  <w:vAlign w:val="center"/>
                </w:tcPr>
                <w:p w14:paraId="74DAA498">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L/a</w:t>
                  </w:r>
                </w:p>
              </w:tc>
              <w:tc>
                <w:tcPr>
                  <w:tcW w:w="1179" w:type="pct"/>
                  <w:tcBorders>
                    <w:left w:val="single" w:color="auto" w:sz="4" w:space="0"/>
                    <w:right w:val="single" w:color="auto" w:sz="4" w:space="0"/>
                  </w:tcBorders>
                  <w:noWrap w:val="0"/>
                  <w:vAlign w:val="center"/>
                </w:tcPr>
                <w:p w14:paraId="2EC1297E">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Times New Roman"/>
                      <w:color w:val="auto"/>
                      <w:kern w:val="0"/>
                      <w:sz w:val="21"/>
                      <w:szCs w:val="21"/>
                      <w:highlight w:val="none"/>
                      <w:shd w:val="clear" w:color="auto" w:fill="FFFFFF"/>
                      <w:lang w:val="en-US" w:eastAsia="zh-CN"/>
                    </w:rPr>
                    <w:t>磷酸二氢钠/磷酸氢二钠（pH缓冲） + 氯化钠（维持渗透压）</w:t>
                  </w:r>
                </w:p>
              </w:tc>
              <w:tc>
                <w:tcPr>
                  <w:tcW w:w="593" w:type="pct"/>
                  <w:tcBorders>
                    <w:left w:val="single" w:color="auto" w:sz="4" w:space="0"/>
                    <w:right w:val="single" w:color="auto" w:sz="4" w:space="0"/>
                  </w:tcBorders>
                  <w:noWrap w:val="0"/>
                  <w:vAlign w:val="center"/>
                </w:tcPr>
                <w:p w14:paraId="6683811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0.5L</w:t>
                  </w:r>
                </w:p>
              </w:tc>
              <w:tc>
                <w:tcPr>
                  <w:tcW w:w="472" w:type="pct"/>
                  <w:tcBorders>
                    <w:left w:val="single" w:color="auto" w:sz="4" w:space="0"/>
                    <w:right w:val="single" w:color="auto" w:sz="4" w:space="0"/>
                  </w:tcBorders>
                  <w:noWrap w:val="0"/>
                  <w:vAlign w:val="center"/>
                </w:tcPr>
                <w:p w14:paraId="49EEFA1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431" w:type="pct"/>
                  <w:noWrap w:val="0"/>
                  <w:vAlign w:val="center"/>
                </w:tcPr>
                <w:p w14:paraId="75FF2D7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421" w:type="pct"/>
                  <w:noWrap w:val="0"/>
                  <w:vAlign w:val="center"/>
                </w:tcPr>
                <w:p w14:paraId="65562DC8">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冰箱</w:t>
                  </w:r>
                </w:p>
              </w:tc>
            </w:tr>
            <w:tr w14:paraId="536DAE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2192076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31</w:t>
                  </w:r>
                </w:p>
              </w:tc>
              <w:tc>
                <w:tcPr>
                  <w:tcW w:w="929" w:type="pct"/>
                  <w:noWrap w:val="0"/>
                  <w:vAlign w:val="center"/>
                </w:tcPr>
                <w:p w14:paraId="39C4405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仿宋"/>
                      <w:i w:val="0"/>
                      <w:iCs w:val="0"/>
                      <w:color w:val="auto"/>
                      <w:kern w:val="0"/>
                      <w:sz w:val="21"/>
                      <w:szCs w:val="21"/>
                      <w:highlight w:val="none"/>
                      <w:u w:val="none"/>
                      <w:lang w:val="en-US" w:eastAsia="zh-CN" w:bidi="ar"/>
                    </w:rPr>
                    <w:t>流式抗体</w:t>
                  </w:r>
                </w:p>
              </w:tc>
              <w:tc>
                <w:tcPr>
                  <w:tcW w:w="638" w:type="pct"/>
                  <w:tcBorders>
                    <w:left w:val="single" w:color="auto" w:sz="4" w:space="0"/>
                  </w:tcBorders>
                  <w:noWrap w:val="0"/>
                  <w:vAlign w:val="center"/>
                </w:tcPr>
                <w:p w14:paraId="2DD0F39B">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mg/a</w:t>
                  </w:r>
                </w:p>
              </w:tc>
              <w:tc>
                <w:tcPr>
                  <w:tcW w:w="1179" w:type="pct"/>
                  <w:tcBorders>
                    <w:left w:val="single" w:color="auto" w:sz="4" w:space="0"/>
                    <w:right w:val="single" w:color="auto" w:sz="4" w:space="0"/>
                  </w:tcBorders>
                  <w:noWrap w:val="0"/>
                  <w:vAlign w:val="center"/>
                </w:tcPr>
                <w:p w14:paraId="15FC1342">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Times New Roman"/>
                      <w:color w:val="auto"/>
                      <w:kern w:val="0"/>
                      <w:sz w:val="21"/>
                      <w:szCs w:val="21"/>
                      <w:highlight w:val="none"/>
                      <w:shd w:val="clear" w:color="auto" w:fill="FFFFFF"/>
                      <w:lang w:val="en-US" w:eastAsia="zh-CN"/>
                    </w:rPr>
                    <w:t>单克隆/多克隆抗体（特异性结合靶标） + 荧光标记（如FITC、PE）</w:t>
                  </w:r>
                </w:p>
              </w:tc>
              <w:tc>
                <w:tcPr>
                  <w:tcW w:w="593" w:type="pct"/>
                  <w:tcBorders>
                    <w:left w:val="single" w:color="auto" w:sz="4" w:space="0"/>
                    <w:right w:val="single" w:color="auto" w:sz="4" w:space="0"/>
                  </w:tcBorders>
                  <w:noWrap w:val="0"/>
                  <w:vAlign w:val="center"/>
                </w:tcPr>
                <w:p w14:paraId="1CB397F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100ug</w:t>
                  </w:r>
                </w:p>
              </w:tc>
              <w:tc>
                <w:tcPr>
                  <w:tcW w:w="472" w:type="pct"/>
                  <w:tcBorders>
                    <w:left w:val="single" w:color="auto" w:sz="4" w:space="0"/>
                    <w:right w:val="single" w:color="auto" w:sz="4" w:space="0"/>
                  </w:tcBorders>
                  <w:noWrap w:val="0"/>
                  <w:vAlign w:val="center"/>
                </w:tcPr>
                <w:p w14:paraId="334A028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431" w:type="pct"/>
                  <w:noWrap w:val="0"/>
                  <w:vAlign w:val="center"/>
                </w:tcPr>
                <w:p w14:paraId="7D50DED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1mg</w:t>
                  </w:r>
                </w:p>
              </w:tc>
              <w:tc>
                <w:tcPr>
                  <w:tcW w:w="421" w:type="pct"/>
                  <w:noWrap w:val="0"/>
                  <w:vAlign w:val="center"/>
                </w:tcPr>
                <w:p w14:paraId="7ACAFAAF">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冰箱</w:t>
                  </w:r>
                </w:p>
              </w:tc>
            </w:tr>
            <w:tr w14:paraId="579950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4A6E393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32</w:t>
                  </w:r>
                </w:p>
              </w:tc>
              <w:tc>
                <w:tcPr>
                  <w:tcW w:w="929" w:type="pct"/>
                  <w:noWrap w:val="0"/>
                  <w:vAlign w:val="center"/>
                </w:tcPr>
                <w:p w14:paraId="5D32696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仿宋"/>
                      <w:i w:val="0"/>
                      <w:iCs w:val="0"/>
                      <w:color w:val="auto"/>
                      <w:kern w:val="0"/>
                      <w:sz w:val="21"/>
                      <w:szCs w:val="22"/>
                      <w:highlight w:val="none"/>
                      <w:u w:val="none"/>
                      <w:lang w:val="en-US" w:eastAsia="zh-CN" w:bidi="ar"/>
                    </w:rPr>
                    <w:t>氯化钠</w:t>
                  </w:r>
                </w:p>
              </w:tc>
              <w:tc>
                <w:tcPr>
                  <w:tcW w:w="638" w:type="pct"/>
                  <w:tcBorders>
                    <w:left w:val="single" w:color="auto" w:sz="4" w:space="0"/>
                  </w:tcBorders>
                  <w:noWrap w:val="0"/>
                  <w:vAlign w:val="center"/>
                </w:tcPr>
                <w:p w14:paraId="2637D8C4">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2"/>
                      <w:highlight w:val="none"/>
                      <w:u w:val="none"/>
                      <w:lang w:val="en-US" w:eastAsia="zh-CN" w:bidi="ar"/>
                    </w:rPr>
                    <w:t>kg</w:t>
                  </w:r>
                  <w:r>
                    <w:rPr>
                      <w:rFonts w:hint="default" w:ascii="Times New Roman" w:hAnsi="Times New Roman" w:eastAsia="宋体" w:cs="Times New Roman"/>
                      <w:i w:val="0"/>
                      <w:iCs w:val="0"/>
                      <w:color w:val="auto"/>
                      <w:kern w:val="0"/>
                      <w:sz w:val="21"/>
                      <w:szCs w:val="21"/>
                      <w:highlight w:val="none"/>
                      <w:u w:val="none"/>
                      <w:lang w:val="en-US" w:eastAsia="zh-CN" w:bidi="ar"/>
                    </w:rPr>
                    <w:t>/a</w:t>
                  </w:r>
                </w:p>
              </w:tc>
              <w:tc>
                <w:tcPr>
                  <w:tcW w:w="1179" w:type="pct"/>
                  <w:tcBorders>
                    <w:left w:val="single" w:color="auto" w:sz="4" w:space="0"/>
                    <w:right w:val="single" w:color="auto" w:sz="4" w:space="0"/>
                  </w:tcBorders>
                  <w:noWrap w:val="0"/>
                  <w:vAlign w:val="center"/>
                </w:tcPr>
                <w:p w14:paraId="072B6D00">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Times New Roman"/>
                      <w:b/>
                      <w:bCs/>
                      <w:color w:val="auto"/>
                      <w:kern w:val="0"/>
                      <w:sz w:val="21"/>
                      <w:szCs w:val="21"/>
                      <w:highlight w:val="none"/>
                      <w:shd w:val="clear" w:color="auto" w:fill="FFFFFF"/>
                      <w:lang w:val="en-US" w:eastAsia="zh-CN"/>
                    </w:rPr>
                    <w:t>见下表2-5</w:t>
                  </w:r>
                </w:p>
              </w:tc>
              <w:tc>
                <w:tcPr>
                  <w:tcW w:w="593" w:type="pct"/>
                  <w:tcBorders>
                    <w:left w:val="single" w:color="auto" w:sz="4" w:space="0"/>
                    <w:right w:val="single" w:color="auto" w:sz="4" w:space="0"/>
                  </w:tcBorders>
                  <w:noWrap w:val="0"/>
                  <w:vAlign w:val="center"/>
                </w:tcPr>
                <w:p w14:paraId="12AE72A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2"/>
                      <w:highlight w:val="none"/>
                      <w:u w:val="none"/>
                      <w:lang w:val="en-US" w:eastAsia="zh-CN" w:bidi="ar"/>
                    </w:rPr>
                    <w:t>0.5kg</w:t>
                  </w:r>
                </w:p>
              </w:tc>
              <w:tc>
                <w:tcPr>
                  <w:tcW w:w="472" w:type="pct"/>
                  <w:tcBorders>
                    <w:left w:val="single" w:color="auto" w:sz="4" w:space="0"/>
                    <w:right w:val="single" w:color="auto" w:sz="4" w:space="0"/>
                  </w:tcBorders>
                  <w:noWrap w:val="0"/>
                  <w:vAlign w:val="center"/>
                </w:tcPr>
                <w:p w14:paraId="65FF741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2"/>
                      <w:highlight w:val="none"/>
                      <w:u w:val="none"/>
                      <w:lang w:val="en-US" w:eastAsia="zh-CN" w:bidi="ar"/>
                    </w:rPr>
                    <w:t>10</w:t>
                  </w:r>
                </w:p>
              </w:tc>
              <w:tc>
                <w:tcPr>
                  <w:tcW w:w="431" w:type="pct"/>
                  <w:noWrap w:val="0"/>
                  <w:vAlign w:val="center"/>
                </w:tcPr>
                <w:p w14:paraId="3C5D780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421" w:type="pct"/>
                  <w:noWrap w:val="0"/>
                  <w:vAlign w:val="center"/>
                </w:tcPr>
                <w:p w14:paraId="564F29A8">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试剂柜</w:t>
                  </w:r>
                </w:p>
              </w:tc>
            </w:tr>
            <w:tr w14:paraId="3033AB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3E5358D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33</w:t>
                  </w:r>
                </w:p>
              </w:tc>
              <w:tc>
                <w:tcPr>
                  <w:tcW w:w="929" w:type="pct"/>
                  <w:noWrap w:val="0"/>
                  <w:vAlign w:val="center"/>
                </w:tcPr>
                <w:p w14:paraId="2EB47B9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仿宋"/>
                      <w:i w:val="0"/>
                      <w:iCs w:val="0"/>
                      <w:color w:val="auto"/>
                      <w:kern w:val="0"/>
                      <w:sz w:val="21"/>
                      <w:szCs w:val="21"/>
                      <w:highlight w:val="none"/>
                      <w:u w:val="none"/>
                      <w:lang w:val="en-US" w:eastAsia="zh-CN" w:bidi="ar"/>
                    </w:rPr>
                    <w:t>酶标二抗</w:t>
                  </w:r>
                </w:p>
              </w:tc>
              <w:tc>
                <w:tcPr>
                  <w:tcW w:w="638" w:type="pct"/>
                  <w:tcBorders>
                    <w:left w:val="single" w:color="auto" w:sz="4" w:space="0"/>
                  </w:tcBorders>
                  <w:noWrap w:val="0"/>
                  <w:vAlign w:val="center"/>
                </w:tcPr>
                <w:p w14:paraId="217E7493">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mg/a</w:t>
                  </w:r>
                </w:p>
              </w:tc>
              <w:tc>
                <w:tcPr>
                  <w:tcW w:w="1179" w:type="pct"/>
                  <w:tcBorders>
                    <w:left w:val="single" w:color="auto" w:sz="4" w:space="0"/>
                    <w:right w:val="single" w:color="auto" w:sz="4" w:space="0"/>
                  </w:tcBorders>
                  <w:noWrap w:val="0"/>
                  <w:vAlign w:val="center"/>
                </w:tcPr>
                <w:p w14:paraId="75DFFA27">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Times New Roman"/>
                      <w:color w:val="auto"/>
                      <w:kern w:val="0"/>
                      <w:sz w:val="21"/>
                      <w:szCs w:val="21"/>
                      <w:highlight w:val="none"/>
                      <w:shd w:val="clear" w:color="auto" w:fill="FFFFFF"/>
                      <w:lang w:val="en-US" w:eastAsia="zh-CN"/>
                    </w:rPr>
                    <w:t>辣根过氧化物酶（HRP）或碱性磷酸酶（AP）标记的二抗</w:t>
                  </w:r>
                </w:p>
              </w:tc>
              <w:tc>
                <w:tcPr>
                  <w:tcW w:w="593" w:type="pct"/>
                  <w:tcBorders>
                    <w:left w:val="single" w:color="auto" w:sz="4" w:space="0"/>
                    <w:right w:val="single" w:color="auto" w:sz="4" w:space="0"/>
                  </w:tcBorders>
                  <w:noWrap w:val="0"/>
                  <w:vAlign w:val="center"/>
                </w:tcPr>
                <w:p w14:paraId="03DE838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100ug</w:t>
                  </w:r>
                </w:p>
              </w:tc>
              <w:tc>
                <w:tcPr>
                  <w:tcW w:w="472" w:type="pct"/>
                  <w:tcBorders>
                    <w:left w:val="single" w:color="auto" w:sz="4" w:space="0"/>
                    <w:right w:val="single" w:color="auto" w:sz="4" w:space="0"/>
                  </w:tcBorders>
                  <w:noWrap w:val="0"/>
                  <w:vAlign w:val="center"/>
                </w:tcPr>
                <w:p w14:paraId="0D4C3FA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431" w:type="pct"/>
                  <w:noWrap w:val="0"/>
                  <w:vAlign w:val="center"/>
                </w:tcPr>
                <w:p w14:paraId="70184AE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1mg</w:t>
                  </w:r>
                </w:p>
              </w:tc>
              <w:tc>
                <w:tcPr>
                  <w:tcW w:w="421" w:type="pct"/>
                  <w:noWrap w:val="0"/>
                  <w:vAlign w:val="center"/>
                </w:tcPr>
                <w:p w14:paraId="2D1BF9E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冰箱</w:t>
                  </w:r>
                </w:p>
              </w:tc>
            </w:tr>
            <w:tr w14:paraId="37E5D9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57E3920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34</w:t>
                  </w:r>
                </w:p>
              </w:tc>
              <w:tc>
                <w:tcPr>
                  <w:tcW w:w="929" w:type="pct"/>
                  <w:noWrap w:val="0"/>
                  <w:vAlign w:val="center"/>
                </w:tcPr>
                <w:p w14:paraId="19B7ABA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仿宋"/>
                      <w:i w:val="0"/>
                      <w:iCs w:val="0"/>
                      <w:color w:val="auto"/>
                      <w:kern w:val="0"/>
                      <w:sz w:val="21"/>
                      <w:szCs w:val="21"/>
                      <w:highlight w:val="none"/>
                      <w:u w:val="none"/>
                      <w:lang w:val="en-US" w:eastAsia="zh-CN" w:bidi="ar"/>
                    </w:rPr>
                    <w:t>溶菌酶</w:t>
                  </w:r>
                </w:p>
              </w:tc>
              <w:tc>
                <w:tcPr>
                  <w:tcW w:w="638" w:type="pct"/>
                  <w:tcBorders>
                    <w:left w:val="single" w:color="auto" w:sz="4" w:space="0"/>
                  </w:tcBorders>
                  <w:noWrap w:val="0"/>
                  <w:vAlign w:val="center"/>
                </w:tcPr>
                <w:p w14:paraId="31191DCB">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2"/>
                      <w:highlight w:val="none"/>
                      <w:u w:val="none"/>
                      <w:lang w:val="en-US" w:eastAsia="zh-CN" w:bidi="ar"/>
                    </w:rPr>
                    <w:t>ml</w:t>
                  </w:r>
                  <w:r>
                    <w:rPr>
                      <w:rFonts w:hint="default" w:ascii="Times New Roman" w:hAnsi="Times New Roman" w:eastAsia="宋体" w:cs="Times New Roman"/>
                      <w:i w:val="0"/>
                      <w:iCs w:val="0"/>
                      <w:color w:val="auto"/>
                      <w:kern w:val="0"/>
                      <w:sz w:val="21"/>
                      <w:szCs w:val="21"/>
                      <w:highlight w:val="none"/>
                      <w:u w:val="none"/>
                      <w:lang w:val="en-US" w:eastAsia="zh-CN" w:bidi="ar"/>
                    </w:rPr>
                    <w:t>/a</w:t>
                  </w:r>
                </w:p>
              </w:tc>
              <w:tc>
                <w:tcPr>
                  <w:tcW w:w="1179" w:type="pct"/>
                  <w:tcBorders>
                    <w:left w:val="single" w:color="auto" w:sz="4" w:space="0"/>
                    <w:right w:val="single" w:color="auto" w:sz="4" w:space="0"/>
                  </w:tcBorders>
                  <w:noWrap w:val="0"/>
                  <w:vAlign w:val="center"/>
                </w:tcPr>
                <w:p w14:paraId="467A13C7">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Times New Roman"/>
                      <w:color w:val="auto"/>
                      <w:kern w:val="0"/>
                      <w:sz w:val="21"/>
                      <w:szCs w:val="21"/>
                      <w:highlight w:val="none"/>
                      <w:shd w:val="clear" w:color="auto" w:fill="FFFFFF"/>
                      <w:lang w:val="en-US" w:eastAsia="zh-CN"/>
                    </w:rPr>
                    <w:t>溶菌酶（水解细菌细胞壁中的肽聚糖）</w:t>
                  </w:r>
                </w:p>
              </w:tc>
              <w:tc>
                <w:tcPr>
                  <w:tcW w:w="593" w:type="pct"/>
                  <w:tcBorders>
                    <w:left w:val="single" w:color="auto" w:sz="4" w:space="0"/>
                    <w:right w:val="single" w:color="auto" w:sz="4" w:space="0"/>
                  </w:tcBorders>
                  <w:noWrap w:val="0"/>
                  <w:vAlign w:val="center"/>
                </w:tcPr>
                <w:p w14:paraId="5105406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2"/>
                      <w:highlight w:val="none"/>
                      <w:u w:val="none"/>
                      <w:lang w:val="en-US" w:eastAsia="zh-CN" w:bidi="ar"/>
                    </w:rPr>
                    <w:t>1ml</w:t>
                  </w:r>
                </w:p>
              </w:tc>
              <w:tc>
                <w:tcPr>
                  <w:tcW w:w="472" w:type="pct"/>
                  <w:tcBorders>
                    <w:left w:val="single" w:color="auto" w:sz="4" w:space="0"/>
                    <w:right w:val="single" w:color="auto" w:sz="4" w:space="0"/>
                  </w:tcBorders>
                  <w:noWrap w:val="0"/>
                  <w:vAlign w:val="center"/>
                </w:tcPr>
                <w:p w14:paraId="0CA753C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2"/>
                      <w:highlight w:val="none"/>
                      <w:u w:val="none"/>
                      <w:lang w:val="en-US" w:eastAsia="zh-CN" w:bidi="ar"/>
                    </w:rPr>
                    <w:t>50</w:t>
                  </w:r>
                </w:p>
              </w:tc>
              <w:tc>
                <w:tcPr>
                  <w:tcW w:w="431" w:type="pct"/>
                  <w:noWrap w:val="0"/>
                  <w:vAlign w:val="center"/>
                </w:tcPr>
                <w:p w14:paraId="753A44D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5ml</w:t>
                  </w:r>
                </w:p>
              </w:tc>
              <w:tc>
                <w:tcPr>
                  <w:tcW w:w="421" w:type="pct"/>
                  <w:noWrap w:val="0"/>
                  <w:vAlign w:val="center"/>
                </w:tcPr>
                <w:p w14:paraId="048870A5">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冰箱</w:t>
                  </w:r>
                </w:p>
              </w:tc>
            </w:tr>
            <w:tr w14:paraId="7FA52A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42CD8D6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35</w:t>
                  </w:r>
                </w:p>
              </w:tc>
              <w:tc>
                <w:tcPr>
                  <w:tcW w:w="929" w:type="pct"/>
                  <w:noWrap w:val="0"/>
                  <w:vAlign w:val="center"/>
                </w:tcPr>
                <w:p w14:paraId="513AC66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仿宋"/>
                      <w:i w:val="0"/>
                      <w:iCs w:val="0"/>
                      <w:color w:val="auto"/>
                      <w:kern w:val="0"/>
                      <w:sz w:val="21"/>
                      <w:szCs w:val="21"/>
                      <w:highlight w:val="none"/>
                      <w:u w:val="none"/>
                      <w:lang w:val="en-US" w:eastAsia="zh-CN" w:bidi="ar"/>
                    </w:rPr>
                    <w:t>三羟甲基氨基甲烷</w:t>
                  </w:r>
                </w:p>
              </w:tc>
              <w:tc>
                <w:tcPr>
                  <w:tcW w:w="638" w:type="pct"/>
                  <w:tcBorders>
                    <w:left w:val="single" w:color="auto" w:sz="4" w:space="0"/>
                  </w:tcBorders>
                  <w:noWrap w:val="0"/>
                  <w:vAlign w:val="center"/>
                </w:tcPr>
                <w:p w14:paraId="2088A49D">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2"/>
                      <w:highlight w:val="none"/>
                      <w:u w:val="none"/>
                      <w:lang w:val="en-US" w:eastAsia="zh-CN" w:bidi="ar"/>
                    </w:rPr>
                    <w:t>kg</w:t>
                  </w:r>
                  <w:r>
                    <w:rPr>
                      <w:rFonts w:hint="default" w:ascii="Times New Roman" w:hAnsi="Times New Roman" w:eastAsia="宋体" w:cs="Times New Roman"/>
                      <w:i w:val="0"/>
                      <w:iCs w:val="0"/>
                      <w:color w:val="auto"/>
                      <w:kern w:val="0"/>
                      <w:sz w:val="21"/>
                      <w:szCs w:val="21"/>
                      <w:highlight w:val="none"/>
                      <w:u w:val="none"/>
                      <w:lang w:val="en-US" w:eastAsia="zh-CN" w:bidi="ar"/>
                    </w:rPr>
                    <w:t>/a</w:t>
                  </w:r>
                </w:p>
              </w:tc>
              <w:tc>
                <w:tcPr>
                  <w:tcW w:w="1179" w:type="pct"/>
                  <w:tcBorders>
                    <w:left w:val="single" w:color="auto" w:sz="4" w:space="0"/>
                    <w:right w:val="single" w:color="auto" w:sz="4" w:space="0"/>
                  </w:tcBorders>
                  <w:noWrap w:val="0"/>
                  <w:vAlign w:val="center"/>
                </w:tcPr>
                <w:p w14:paraId="5FF0E210">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Times New Roman"/>
                      <w:color w:val="auto"/>
                      <w:kern w:val="0"/>
                      <w:sz w:val="21"/>
                      <w:szCs w:val="21"/>
                      <w:highlight w:val="none"/>
                      <w:shd w:val="clear" w:color="auto" w:fill="FFFFFF"/>
                      <w:lang w:val="en-US" w:eastAsia="zh-CN"/>
                    </w:rPr>
                    <w:t>Tris碱</w:t>
                  </w:r>
                </w:p>
              </w:tc>
              <w:tc>
                <w:tcPr>
                  <w:tcW w:w="593" w:type="pct"/>
                  <w:tcBorders>
                    <w:left w:val="single" w:color="auto" w:sz="4" w:space="0"/>
                    <w:right w:val="single" w:color="auto" w:sz="4" w:space="0"/>
                  </w:tcBorders>
                  <w:noWrap w:val="0"/>
                  <w:vAlign w:val="center"/>
                </w:tcPr>
                <w:p w14:paraId="796FF72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2"/>
                      <w:highlight w:val="none"/>
                      <w:u w:val="none"/>
                      <w:lang w:val="en-US" w:eastAsia="zh-CN" w:bidi="ar"/>
                    </w:rPr>
                    <w:t>0.1kg</w:t>
                  </w:r>
                </w:p>
              </w:tc>
              <w:tc>
                <w:tcPr>
                  <w:tcW w:w="472" w:type="pct"/>
                  <w:tcBorders>
                    <w:left w:val="single" w:color="auto" w:sz="4" w:space="0"/>
                    <w:right w:val="single" w:color="auto" w:sz="4" w:space="0"/>
                  </w:tcBorders>
                  <w:noWrap w:val="0"/>
                  <w:vAlign w:val="center"/>
                </w:tcPr>
                <w:p w14:paraId="209F526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2"/>
                      <w:highlight w:val="none"/>
                      <w:u w:val="none"/>
                      <w:lang w:val="en-US" w:eastAsia="zh-CN" w:bidi="ar"/>
                    </w:rPr>
                    <w:t>5</w:t>
                  </w:r>
                </w:p>
              </w:tc>
              <w:tc>
                <w:tcPr>
                  <w:tcW w:w="431" w:type="pct"/>
                  <w:noWrap w:val="0"/>
                  <w:vAlign w:val="center"/>
                </w:tcPr>
                <w:p w14:paraId="6E798A3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421" w:type="pct"/>
                  <w:noWrap w:val="0"/>
                  <w:vAlign w:val="center"/>
                </w:tcPr>
                <w:p w14:paraId="2CB3A3CB">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冰箱</w:t>
                  </w:r>
                </w:p>
              </w:tc>
            </w:tr>
            <w:tr w14:paraId="1093BD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24016D5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36</w:t>
                  </w:r>
                </w:p>
              </w:tc>
              <w:tc>
                <w:tcPr>
                  <w:tcW w:w="929" w:type="pct"/>
                  <w:noWrap w:val="0"/>
                  <w:vAlign w:val="center"/>
                </w:tcPr>
                <w:p w14:paraId="19B3B40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仿宋"/>
                      <w:i w:val="0"/>
                      <w:iCs w:val="0"/>
                      <w:color w:val="auto"/>
                      <w:kern w:val="0"/>
                      <w:sz w:val="21"/>
                      <w:szCs w:val="21"/>
                      <w:highlight w:val="none"/>
                      <w:u w:val="none"/>
                      <w:lang w:val="en-US" w:eastAsia="zh-CN" w:bidi="ar"/>
                    </w:rPr>
                    <w:t>无水乙醇</w:t>
                  </w:r>
                </w:p>
              </w:tc>
              <w:tc>
                <w:tcPr>
                  <w:tcW w:w="638" w:type="pct"/>
                  <w:tcBorders>
                    <w:left w:val="single" w:color="auto" w:sz="4" w:space="0"/>
                  </w:tcBorders>
                  <w:noWrap w:val="0"/>
                  <w:vAlign w:val="center"/>
                </w:tcPr>
                <w:p w14:paraId="2C5F568E">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L/a</w:t>
                  </w:r>
                </w:p>
              </w:tc>
              <w:tc>
                <w:tcPr>
                  <w:tcW w:w="1179" w:type="pct"/>
                  <w:tcBorders>
                    <w:left w:val="single" w:color="auto" w:sz="4" w:space="0"/>
                    <w:right w:val="single" w:color="auto" w:sz="4" w:space="0"/>
                  </w:tcBorders>
                  <w:noWrap w:val="0"/>
                  <w:vAlign w:val="center"/>
                </w:tcPr>
                <w:p w14:paraId="181FFD04">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Times New Roman"/>
                      <w:b/>
                      <w:bCs/>
                      <w:color w:val="auto"/>
                      <w:kern w:val="0"/>
                      <w:sz w:val="21"/>
                      <w:szCs w:val="21"/>
                      <w:highlight w:val="none"/>
                      <w:shd w:val="clear" w:color="auto" w:fill="FFFFFF"/>
                      <w:lang w:val="en-US" w:eastAsia="zh-CN"/>
                    </w:rPr>
                    <w:t>见下表2-5</w:t>
                  </w:r>
                </w:p>
              </w:tc>
              <w:tc>
                <w:tcPr>
                  <w:tcW w:w="593" w:type="pct"/>
                  <w:tcBorders>
                    <w:left w:val="single" w:color="auto" w:sz="4" w:space="0"/>
                    <w:right w:val="single" w:color="auto" w:sz="4" w:space="0"/>
                  </w:tcBorders>
                  <w:noWrap w:val="0"/>
                  <w:vAlign w:val="center"/>
                </w:tcPr>
                <w:p w14:paraId="0B27260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0.5L</w:t>
                  </w:r>
                </w:p>
              </w:tc>
              <w:tc>
                <w:tcPr>
                  <w:tcW w:w="472" w:type="pct"/>
                  <w:tcBorders>
                    <w:left w:val="single" w:color="auto" w:sz="4" w:space="0"/>
                    <w:right w:val="single" w:color="auto" w:sz="4" w:space="0"/>
                  </w:tcBorders>
                  <w:noWrap w:val="0"/>
                  <w:vAlign w:val="center"/>
                </w:tcPr>
                <w:p w14:paraId="797AD75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431" w:type="pct"/>
                  <w:noWrap w:val="0"/>
                  <w:vAlign w:val="center"/>
                </w:tcPr>
                <w:p w14:paraId="5E7BAEA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421" w:type="pct"/>
                  <w:noWrap w:val="0"/>
                  <w:vAlign w:val="center"/>
                </w:tcPr>
                <w:p w14:paraId="0E0A7B77">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防爆柜</w:t>
                  </w:r>
                </w:p>
              </w:tc>
            </w:tr>
            <w:tr w14:paraId="2CC442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4F9DD6C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37</w:t>
                  </w:r>
                </w:p>
              </w:tc>
              <w:tc>
                <w:tcPr>
                  <w:tcW w:w="929" w:type="pct"/>
                  <w:noWrap w:val="0"/>
                  <w:vAlign w:val="center"/>
                </w:tcPr>
                <w:p w14:paraId="43C3C9F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仿宋"/>
                      <w:i w:val="0"/>
                      <w:iCs w:val="0"/>
                      <w:color w:val="auto"/>
                      <w:kern w:val="0"/>
                      <w:sz w:val="21"/>
                      <w:szCs w:val="21"/>
                      <w:highlight w:val="none"/>
                      <w:u w:val="none"/>
                      <w:lang w:val="en-US" w:eastAsia="zh-CN" w:bidi="ar"/>
                    </w:rPr>
                    <w:t>细胞生长因子</w:t>
                  </w:r>
                </w:p>
              </w:tc>
              <w:tc>
                <w:tcPr>
                  <w:tcW w:w="638" w:type="pct"/>
                  <w:tcBorders>
                    <w:left w:val="single" w:color="auto" w:sz="4" w:space="0"/>
                  </w:tcBorders>
                  <w:noWrap w:val="0"/>
                  <w:vAlign w:val="center"/>
                </w:tcPr>
                <w:p w14:paraId="21F86D6D">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mg/a</w:t>
                  </w:r>
                </w:p>
              </w:tc>
              <w:tc>
                <w:tcPr>
                  <w:tcW w:w="1179" w:type="pct"/>
                  <w:tcBorders>
                    <w:left w:val="single" w:color="auto" w:sz="4" w:space="0"/>
                    <w:right w:val="single" w:color="auto" w:sz="4" w:space="0"/>
                  </w:tcBorders>
                  <w:noWrap w:val="0"/>
                  <w:vAlign w:val="center"/>
                </w:tcPr>
                <w:p w14:paraId="54B66EED">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Times New Roman"/>
                      <w:color w:val="auto"/>
                      <w:kern w:val="0"/>
                      <w:sz w:val="21"/>
                      <w:szCs w:val="21"/>
                      <w:highlight w:val="none"/>
                      <w:shd w:val="clear" w:color="auto" w:fill="FFFFFF"/>
                      <w:lang w:val="en-US" w:eastAsia="zh-CN"/>
                    </w:rPr>
                    <w:t>重组人表皮生长因子（rhEGF）或成纤维细胞生长因子（FGF-2）的纯化蛋白</w:t>
                  </w:r>
                </w:p>
              </w:tc>
              <w:tc>
                <w:tcPr>
                  <w:tcW w:w="593" w:type="pct"/>
                  <w:tcBorders>
                    <w:left w:val="single" w:color="auto" w:sz="4" w:space="0"/>
                    <w:right w:val="single" w:color="auto" w:sz="4" w:space="0"/>
                  </w:tcBorders>
                  <w:noWrap w:val="0"/>
                  <w:vAlign w:val="center"/>
                </w:tcPr>
                <w:p w14:paraId="15792BE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100ug</w:t>
                  </w:r>
                </w:p>
              </w:tc>
              <w:tc>
                <w:tcPr>
                  <w:tcW w:w="472" w:type="pct"/>
                  <w:tcBorders>
                    <w:left w:val="single" w:color="auto" w:sz="4" w:space="0"/>
                    <w:right w:val="single" w:color="auto" w:sz="4" w:space="0"/>
                  </w:tcBorders>
                  <w:noWrap w:val="0"/>
                  <w:vAlign w:val="center"/>
                </w:tcPr>
                <w:p w14:paraId="5C34AF1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31" w:type="pct"/>
                  <w:noWrap w:val="0"/>
                  <w:vAlign w:val="center"/>
                </w:tcPr>
                <w:p w14:paraId="17C7924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500ug</w:t>
                  </w:r>
                </w:p>
              </w:tc>
              <w:tc>
                <w:tcPr>
                  <w:tcW w:w="421" w:type="pct"/>
                  <w:noWrap w:val="0"/>
                  <w:vAlign w:val="center"/>
                </w:tcPr>
                <w:p w14:paraId="4C0C07DB">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冰箱</w:t>
                  </w:r>
                </w:p>
              </w:tc>
            </w:tr>
            <w:tr w14:paraId="52D4FB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5AFB137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38</w:t>
                  </w:r>
                </w:p>
              </w:tc>
              <w:tc>
                <w:tcPr>
                  <w:tcW w:w="929" w:type="pct"/>
                  <w:noWrap w:val="0"/>
                  <w:vAlign w:val="center"/>
                </w:tcPr>
                <w:p w14:paraId="5DAF13A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仿宋"/>
                      <w:i w:val="0"/>
                      <w:iCs w:val="0"/>
                      <w:color w:val="auto"/>
                      <w:kern w:val="0"/>
                      <w:sz w:val="21"/>
                      <w:szCs w:val="21"/>
                      <w:highlight w:val="none"/>
                      <w:u w:val="none"/>
                      <w:lang w:val="en-US" w:eastAsia="zh-CN" w:bidi="ar"/>
                    </w:rPr>
                    <w:t>细胞种子冻存液</w:t>
                  </w:r>
                </w:p>
              </w:tc>
              <w:tc>
                <w:tcPr>
                  <w:tcW w:w="638" w:type="pct"/>
                  <w:tcBorders>
                    <w:left w:val="single" w:color="auto" w:sz="4" w:space="0"/>
                  </w:tcBorders>
                  <w:noWrap w:val="0"/>
                  <w:vAlign w:val="center"/>
                </w:tcPr>
                <w:p w14:paraId="3F1E8667">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L/a</w:t>
                  </w:r>
                </w:p>
              </w:tc>
              <w:tc>
                <w:tcPr>
                  <w:tcW w:w="1179" w:type="pct"/>
                  <w:tcBorders>
                    <w:left w:val="single" w:color="auto" w:sz="4" w:space="0"/>
                    <w:right w:val="single" w:color="auto" w:sz="4" w:space="0"/>
                  </w:tcBorders>
                  <w:noWrap w:val="0"/>
                  <w:vAlign w:val="center"/>
                </w:tcPr>
                <w:p w14:paraId="1BCA127E">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Times New Roman"/>
                      <w:color w:val="auto"/>
                      <w:kern w:val="0"/>
                      <w:sz w:val="21"/>
                      <w:szCs w:val="21"/>
                      <w:highlight w:val="none"/>
                      <w:shd w:val="clear" w:color="auto" w:fill="FFFFFF"/>
                      <w:lang w:val="en-US" w:eastAsia="zh-CN"/>
                    </w:rPr>
                    <w:t>二甲基亚砜（DMSO，防冰晶损伤） + 胎牛血清（FBS，营养支持）</w:t>
                  </w:r>
                </w:p>
              </w:tc>
              <w:tc>
                <w:tcPr>
                  <w:tcW w:w="593" w:type="pct"/>
                  <w:tcBorders>
                    <w:left w:val="single" w:color="auto" w:sz="4" w:space="0"/>
                    <w:right w:val="single" w:color="auto" w:sz="4" w:space="0"/>
                  </w:tcBorders>
                  <w:noWrap w:val="0"/>
                  <w:vAlign w:val="center"/>
                </w:tcPr>
                <w:p w14:paraId="060BE23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0.1L</w:t>
                  </w:r>
                </w:p>
              </w:tc>
              <w:tc>
                <w:tcPr>
                  <w:tcW w:w="472" w:type="pct"/>
                  <w:tcBorders>
                    <w:left w:val="single" w:color="auto" w:sz="4" w:space="0"/>
                    <w:right w:val="single" w:color="auto" w:sz="4" w:space="0"/>
                  </w:tcBorders>
                  <w:noWrap w:val="0"/>
                  <w:vAlign w:val="center"/>
                </w:tcPr>
                <w:p w14:paraId="5AC8FCB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431" w:type="pct"/>
                  <w:noWrap w:val="0"/>
                  <w:vAlign w:val="center"/>
                </w:tcPr>
                <w:p w14:paraId="2A4403A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0.5L</w:t>
                  </w:r>
                </w:p>
              </w:tc>
              <w:tc>
                <w:tcPr>
                  <w:tcW w:w="421" w:type="pct"/>
                  <w:noWrap w:val="0"/>
                  <w:vAlign w:val="center"/>
                </w:tcPr>
                <w:p w14:paraId="06C179DA">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液氮罐</w:t>
                  </w:r>
                </w:p>
              </w:tc>
            </w:tr>
            <w:tr w14:paraId="36AFAC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1BBACC9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w:t>
                  </w:r>
                </w:p>
              </w:tc>
              <w:tc>
                <w:tcPr>
                  <w:tcW w:w="929" w:type="pct"/>
                  <w:noWrap w:val="0"/>
                  <w:vAlign w:val="center"/>
                </w:tcPr>
                <w:p w14:paraId="5C7883E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仿宋"/>
                      <w:i w:val="0"/>
                      <w:iCs w:val="0"/>
                      <w:color w:val="auto"/>
                      <w:kern w:val="0"/>
                      <w:sz w:val="21"/>
                      <w:szCs w:val="21"/>
                      <w:highlight w:val="none"/>
                      <w:u w:val="none"/>
                      <w:lang w:val="en-US" w:eastAsia="zh-CN" w:bidi="ar"/>
                    </w:rPr>
                    <w:t>限制性内切酶</w:t>
                  </w:r>
                </w:p>
              </w:tc>
              <w:tc>
                <w:tcPr>
                  <w:tcW w:w="638" w:type="pct"/>
                  <w:tcBorders>
                    <w:left w:val="single" w:color="auto" w:sz="4" w:space="0"/>
                  </w:tcBorders>
                  <w:noWrap w:val="0"/>
                  <w:vAlign w:val="center"/>
                </w:tcPr>
                <w:p w14:paraId="0DD99075">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2"/>
                      <w:highlight w:val="none"/>
                      <w:u w:val="none"/>
                      <w:lang w:val="en-US" w:eastAsia="zh-CN" w:bidi="ar"/>
                    </w:rPr>
                    <w:t>ml</w:t>
                  </w:r>
                  <w:r>
                    <w:rPr>
                      <w:rFonts w:hint="default" w:ascii="Times New Roman" w:hAnsi="Times New Roman" w:eastAsia="宋体" w:cs="Times New Roman"/>
                      <w:i w:val="0"/>
                      <w:iCs w:val="0"/>
                      <w:color w:val="auto"/>
                      <w:kern w:val="0"/>
                      <w:sz w:val="21"/>
                      <w:szCs w:val="21"/>
                      <w:highlight w:val="none"/>
                      <w:u w:val="none"/>
                      <w:lang w:val="en-US" w:eastAsia="zh-CN" w:bidi="ar"/>
                    </w:rPr>
                    <w:t>/a</w:t>
                  </w:r>
                </w:p>
              </w:tc>
              <w:tc>
                <w:tcPr>
                  <w:tcW w:w="1179" w:type="pct"/>
                  <w:tcBorders>
                    <w:left w:val="single" w:color="auto" w:sz="4" w:space="0"/>
                    <w:right w:val="single" w:color="auto" w:sz="4" w:space="0"/>
                  </w:tcBorders>
                  <w:noWrap w:val="0"/>
                  <w:vAlign w:val="center"/>
                </w:tcPr>
                <w:p w14:paraId="7BDF9845">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Times New Roman"/>
                      <w:color w:val="auto"/>
                      <w:kern w:val="0"/>
                      <w:sz w:val="21"/>
                      <w:szCs w:val="21"/>
                      <w:highlight w:val="none"/>
                      <w:shd w:val="clear" w:color="auto" w:fill="FFFFFF"/>
                      <w:lang w:val="en-US" w:eastAsia="zh-CN"/>
                    </w:rPr>
                    <w:t>特异性内切酶（如EcoRI） + 反应缓冲液</w:t>
                  </w:r>
                </w:p>
              </w:tc>
              <w:tc>
                <w:tcPr>
                  <w:tcW w:w="593" w:type="pct"/>
                  <w:tcBorders>
                    <w:left w:val="single" w:color="auto" w:sz="4" w:space="0"/>
                    <w:right w:val="single" w:color="auto" w:sz="4" w:space="0"/>
                  </w:tcBorders>
                  <w:noWrap w:val="0"/>
                  <w:vAlign w:val="center"/>
                </w:tcPr>
                <w:p w14:paraId="6DB247D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2"/>
                      <w:highlight w:val="none"/>
                      <w:u w:val="none"/>
                      <w:lang w:val="en-US" w:eastAsia="zh-CN" w:bidi="ar"/>
                    </w:rPr>
                    <w:t>1ml</w:t>
                  </w:r>
                </w:p>
              </w:tc>
              <w:tc>
                <w:tcPr>
                  <w:tcW w:w="472" w:type="pct"/>
                  <w:tcBorders>
                    <w:left w:val="single" w:color="auto" w:sz="4" w:space="0"/>
                    <w:right w:val="single" w:color="auto" w:sz="4" w:space="0"/>
                  </w:tcBorders>
                  <w:noWrap w:val="0"/>
                  <w:vAlign w:val="center"/>
                </w:tcPr>
                <w:p w14:paraId="7948A71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2"/>
                      <w:highlight w:val="none"/>
                      <w:u w:val="none"/>
                      <w:lang w:val="en-US" w:eastAsia="zh-CN" w:bidi="ar"/>
                    </w:rPr>
                    <w:t>50</w:t>
                  </w:r>
                </w:p>
              </w:tc>
              <w:tc>
                <w:tcPr>
                  <w:tcW w:w="431" w:type="pct"/>
                  <w:noWrap w:val="0"/>
                  <w:vAlign w:val="center"/>
                </w:tcPr>
                <w:p w14:paraId="5C891FB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5ml</w:t>
                  </w:r>
                </w:p>
              </w:tc>
              <w:tc>
                <w:tcPr>
                  <w:tcW w:w="421" w:type="pct"/>
                  <w:noWrap w:val="0"/>
                  <w:vAlign w:val="center"/>
                </w:tcPr>
                <w:p w14:paraId="13776463">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冰箱</w:t>
                  </w:r>
                </w:p>
              </w:tc>
            </w:tr>
            <w:tr w14:paraId="195AB4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09AA457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w:t>
                  </w:r>
                </w:p>
              </w:tc>
              <w:tc>
                <w:tcPr>
                  <w:tcW w:w="929" w:type="pct"/>
                  <w:noWrap w:val="0"/>
                  <w:vAlign w:val="center"/>
                </w:tcPr>
                <w:p w14:paraId="7BC1010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仿宋"/>
                      <w:i w:val="0"/>
                      <w:iCs w:val="0"/>
                      <w:color w:val="auto"/>
                      <w:kern w:val="0"/>
                      <w:sz w:val="21"/>
                      <w:szCs w:val="21"/>
                      <w:highlight w:val="none"/>
                      <w:u w:val="none"/>
                      <w:lang w:val="en-US" w:eastAsia="zh-CN" w:bidi="ar"/>
                    </w:rPr>
                    <w:t>血清</w:t>
                  </w:r>
                </w:p>
              </w:tc>
              <w:tc>
                <w:tcPr>
                  <w:tcW w:w="638" w:type="pct"/>
                  <w:tcBorders>
                    <w:left w:val="single" w:color="auto" w:sz="4" w:space="0"/>
                  </w:tcBorders>
                  <w:noWrap w:val="0"/>
                  <w:vAlign w:val="center"/>
                </w:tcPr>
                <w:p w14:paraId="20C3B6D3">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L/a</w:t>
                  </w:r>
                </w:p>
              </w:tc>
              <w:tc>
                <w:tcPr>
                  <w:tcW w:w="1179" w:type="pct"/>
                  <w:tcBorders>
                    <w:left w:val="single" w:color="auto" w:sz="4" w:space="0"/>
                    <w:right w:val="single" w:color="auto" w:sz="4" w:space="0"/>
                  </w:tcBorders>
                  <w:noWrap w:val="0"/>
                  <w:vAlign w:val="center"/>
                </w:tcPr>
                <w:p w14:paraId="16F8559C">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Times New Roman"/>
                      <w:color w:val="auto"/>
                      <w:kern w:val="0"/>
                      <w:sz w:val="21"/>
                      <w:szCs w:val="21"/>
                      <w:highlight w:val="none"/>
                      <w:shd w:val="clear" w:color="auto" w:fill="FFFFFF"/>
                      <w:lang w:val="en-US" w:eastAsia="zh-CN"/>
                    </w:rPr>
                    <w:t>生长因子（如EGF、FGF） + 白蛋白</w:t>
                  </w:r>
                </w:p>
              </w:tc>
              <w:tc>
                <w:tcPr>
                  <w:tcW w:w="593" w:type="pct"/>
                  <w:tcBorders>
                    <w:left w:val="single" w:color="auto" w:sz="4" w:space="0"/>
                    <w:right w:val="single" w:color="auto" w:sz="4" w:space="0"/>
                  </w:tcBorders>
                  <w:noWrap w:val="0"/>
                  <w:vAlign w:val="center"/>
                </w:tcPr>
                <w:p w14:paraId="4A53222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0.5L</w:t>
                  </w:r>
                </w:p>
              </w:tc>
              <w:tc>
                <w:tcPr>
                  <w:tcW w:w="472" w:type="pct"/>
                  <w:tcBorders>
                    <w:left w:val="single" w:color="auto" w:sz="4" w:space="0"/>
                    <w:right w:val="single" w:color="auto" w:sz="4" w:space="0"/>
                  </w:tcBorders>
                  <w:noWrap w:val="0"/>
                  <w:vAlign w:val="center"/>
                </w:tcPr>
                <w:p w14:paraId="1B32A94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431" w:type="pct"/>
                  <w:noWrap w:val="0"/>
                  <w:vAlign w:val="center"/>
                </w:tcPr>
                <w:p w14:paraId="4EED2A7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3L</w:t>
                  </w:r>
                </w:p>
              </w:tc>
              <w:tc>
                <w:tcPr>
                  <w:tcW w:w="421" w:type="pct"/>
                  <w:noWrap w:val="0"/>
                  <w:vAlign w:val="center"/>
                </w:tcPr>
                <w:p w14:paraId="6E6C61B8">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冰箱</w:t>
                  </w:r>
                </w:p>
              </w:tc>
            </w:tr>
            <w:tr w14:paraId="6BDB25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1162C68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41</w:t>
                  </w:r>
                </w:p>
              </w:tc>
              <w:tc>
                <w:tcPr>
                  <w:tcW w:w="929" w:type="pct"/>
                  <w:noWrap w:val="0"/>
                  <w:vAlign w:val="center"/>
                </w:tcPr>
                <w:p w14:paraId="2498B68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仿宋"/>
                      <w:i w:val="0"/>
                      <w:iCs w:val="0"/>
                      <w:color w:val="auto"/>
                      <w:kern w:val="0"/>
                      <w:sz w:val="21"/>
                      <w:szCs w:val="21"/>
                      <w:highlight w:val="none"/>
                      <w:u w:val="none"/>
                      <w:lang w:val="en-US" w:eastAsia="zh-CN" w:bidi="ar"/>
                    </w:rPr>
                    <w:t>液氮</w:t>
                  </w:r>
                </w:p>
              </w:tc>
              <w:tc>
                <w:tcPr>
                  <w:tcW w:w="638" w:type="pct"/>
                  <w:tcBorders>
                    <w:left w:val="single" w:color="auto" w:sz="4" w:space="0"/>
                  </w:tcBorders>
                  <w:noWrap w:val="0"/>
                  <w:vAlign w:val="center"/>
                </w:tcPr>
                <w:p w14:paraId="6123A933">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L/a</w:t>
                  </w:r>
                </w:p>
              </w:tc>
              <w:tc>
                <w:tcPr>
                  <w:tcW w:w="1179" w:type="pct"/>
                  <w:tcBorders>
                    <w:left w:val="single" w:color="auto" w:sz="4" w:space="0"/>
                    <w:right w:val="single" w:color="auto" w:sz="4" w:space="0"/>
                  </w:tcBorders>
                  <w:noWrap w:val="0"/>
                  <w:vAlign w:val="center"/>
                </w:tcPr>
                <w:p w14:paraId="7FD316F5">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Times New Roman"/>
                      <w:b/>
                      <w:bCs/>
                      <w:color w:val="auto"/>
                      <w:kern w:val="0"/>
                      <w:sz w:val="21"/>
                      <w:szCs w:val="21"/>
                      <w:highlight w:val="none"/>
                      <w:shd w:val="clear" w:color="auto" w:fill="FFFFFF"/>
                      <w:lang w:val="en-US" w:eastAsia="zh-CN"/>
                    </w:rPr>
                    <w:t>见下表2-5</w:t>
                  </w:r>
                </w:p>
              </w:tc>
              <w:tc>
                <w:tcPr>
                  <w:tcW w:w="593" w:type="pct"/>
                  <w:tcBorders>
                    <w:left w:val="single" w:color="auto" w:sz="4" w:space="0"/>
                    <w:right w:val="single" w:color="auto" w:sz="4" w:space="0"/>
                  </w:tcBorders>
                  <w:noWrap w:val="0"/>
                  <w:vAlign w:val="center"/>
                </w:tcPr>
                <w:p w14:paraId="7A2E7FD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40L</w:t>
                  </w:r>
                </w:p>
              </w:tc>
              <w:tc>
                <w:tcPr>
                  <w:tcW w:w="472" w:type="pct"/>
                  <w:tcBorders>
                    <w:left w:val="single" w:color="auto" w:sz="4" w:space="0"/>
                    <w:right w:val="single" w:color="auto" w:sz="4" w:space="0"/>
                  </w:tcBorders>
                  <w:noWrap w:val="0"/>
                  <w:vAlign w:val="center"/>
                </w:tcPr>
                <w:p w14:paraId="11E6787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2000</w:t>
                  </w:r>
                </w:p>
              </w:tc>
              <w:tc>
                <w:tcPr>
                  <w:tcW w:w="431" w:type="pct"/>
                  <w:noWrap w:val="0"/>
                  <w:vAlign w:val="center"/>
                </w:tcPr>
                <w:p w14:paraId="46D5269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160L</w:t>
                  </w:r>
                </w:p>
              </w:tc>
              <w:tc>
                <w:tcPr>
                  <w:tcW w:w="421" w:type="pct"/>
                  <w:noWrap w:val="0"/>
                  <w:vAlign w:val="center"/>
                </w:tcPr>
                <w:p w14:paraId="28E1F012">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样品室</w:t>
                  </w:r>
                </w:p>
              </w:tc>
            </w:tr>
            <w:tr w14:paraId="387563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15BDB08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42</w:t>
                  </w:r>
                </w:p>
              </w:tc>
              <w:tc>
                <w:tcPr>
                  <w:tcW w:w="929" w:type="pct"/>
                  <w:noWrap w:val="0"/>
                  <w:vAlign w:val="center"/>
                </w:tcPr>
                <w:p w14:paraId="1EF4687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仿宋"/>
                      <w:i w:val="0"/>
                      <w:iCs w:val="0"/>
                      <w:color w:val="auto"/>
                      <w:kern w:val="0"/>
                      <w:sz w:val="21"/>
                      <w:szCs w:val="21"/>
                      <w:highlight w:val="none"/>
                      <w:u w:val="none"/>
                      <w:lang w:val="en-US" w:eastAsia="zh-CN" w:bidi="ar"/>
                    </w:rPr>
                    <w:t>胰酶消化液</w:t>
                  </w:r>
                </w:p>
              </w:tc>
              <w:tc>
                <w:tcPr>
                  <w:tcW w:w="638" w:type="pct"/>
                  <w:tcBorders>
                    <w:left w:val="single" w:color="auto" w:sz="4" w:space="0"/>
                  </w:tcBorders>
                  <w:noWrap w:val="0"/>
                  <w:vAlign w:val="center"/>
                </w:tcPr>
                <w:p w14:paraId="68BDD576">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2"/>
                      <w:highlight w:val="none"/>
                      <w:u w:val="none"/>
                      <w:lang w:val="en-US" w:eastAsia="zh-CN" w:bidi="ar"/>
                    </w:rPr>
                    <w:t>L</w:t>
                  </w:r>
                  <w:r>
                    <w:rPr>
                      <w:rFonts w:hint="default" w:ascii="Times New Roman" w:hAnsi="Times New Roman" w:eastAsia="宋体" w:cs="Times New Roman"/>
                      <w:i w:val="0"/>
                      <w:iCs w:val="0"/>
                      <w:color w:val="auto"/>
                      <w:kern w:val="0"/>
                      <w:sz w:val="21"/>
                      <w:szCs w:val="21"/>
                      <w:highlight w:val="none"/>
                      <w:u w:val="none"/>
                      <w:lang w:val="en-US" w:eastAsia="zh-CN" w:bidi="ar"/>
                    </w:rPr>
                    <w:t>/a</w:t>
                  </w:r>
                </w:p>
              </w:tc>
              <w:tc>
                <w:tcPr>
                  <w:tcW w:w="1179" w:type="pct"/>
                  <w:tcBorders>
                    <w:left w:val="single" w:color="auto" w:sz="4" w:space="0"/>
                    <w:right w:val="single" w:color="auto" w:sz="4" w:space="0"/>
                  </w:tcBorders>
                  <w:noWrap w:val="0"/>
                  <w:vAlign w:val="center"/>
                </w:tcPr>
                <w:p w14:paraId="4CC46BFF">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Times New Roman"/>
                      <w:color w:val="auto"/>
                      <w:kern w:val="0"/>
                      <w:sz w:val="21"/>
                      <w:szCs w:val="21"/>
                      <w:highlight w:val="none"/>
                      <w:shd w:val="clear" w:color="auto" w:fill="FFFFFF"/>
                      <w:lang w:val="en-US" w:eastAsia="zh-CN"/>
                    </w:rPr>
                    <w:t>胰蛋白酶（消化细胞间连接蛋白） + EDTA</w:t>
                  </w:r>
                </w:p>
              </w:tc>
              <w:tc>
                <w:tcPr>
                  <w:tcW w:w="593" w:type="pct"/>
                  <w:tcBorders>
                    <w:left w:val="single" w:color="auto" w:sz="4" w:space="0"/>
                    <w:right w:val="single" w:color="auto" w:sz="4" w:space="0"/>
                  </w:tcBorders>
                  <w:noWrap w:val="0"/>
                  <w:vAlign w:val="center"/>
                </w:tcPr>
                <w:p w14:paraId="726AFF5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2"/>
                      <w:highlight w:val="none"/>
                      <w:u w:val="none"/>
                      <w:lang w:val="en-US" w:eastAsia="zh-CN" w:bidi="ar"/>
                    </w:rPr>
                    <w:t>0.1L</w:t>
                  </w:r>
                </w:p>
              </w:tc>
              <w:tc>
                <w:tcPr>
                  <w:tcW w:w="472" w:type="pct"/>
                  <w:tcBorders>
                    <w:left w:val="single" w:color="auto" w:sz="4" w:space="0"/>
                    <w:right w:val="single" w:color="auto" w:sz="4" w:space="0"/>
                  </w:tcBorders>
                  <w:noWrap w:val="0"/>
                  <w:vAlign w:val="center"/>
                </w:tcPr>
                <w:p w14:paraId="13AC77A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2"/>
                      <w:highlight w:val="none"/>
                      <w:u w:val="none"/>
                      <w:lang w:val="en-US" w:eastAsia="zh-CN" w:bidi="ar"/>
                    </w:rPr>
                    <w:t>5</w:t>
                  </w:r>
                </w:p>
              </w:tc>
              <w:tc>
                <w:tcPr>
                  <w:tcW w:w="431" w:type="pct"/>
                  <w:noWrap w:val="0"/>
                  <w:vAlign w:val="center"/>
                </w:tcPr>
                <w:p w14:paraId="510524E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1L</w:t>
                  </w:r>
                </w:p>
              </w:tc>
              <w:tc>
                <w:tcPr>
                  <w:tcW w:w="421" w:type="pct"/>
                  <w:noWrap w:val="0"/>
                  <w:vAlign w:val="center"/>
                </w:tcPr>
                <w:p w14:paraId="30B69C12">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冰箱</w:t>
                  </w:r>
                </w:p>
              </w:tc>
            </w:tr>
            <w:tr w14:paraId="495887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28CBCB5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43</w:t>
                  </w:r>
                </w:p>
              </w:tc>
              <w:tc>
                <w:tcPr>
                  <w:tcW w:w="929" w:type="pct"/>
                  <w:noWrap w:val="0"/>
                  <w:vAlign w:val="center"/>
                </w:tcPr>
                <w:p w14:paraId="5316AC4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仿宋"/>
                      <w:i w:val="0"/>
                      <w:iCs w:val="0"/>
                      <w:color w:val="auto"/>
                      <w:kern w:val="0"/>
                      <w:sz w:val="21"/>
                      <w:szCs w:val="21"/>
                      <w:highlight w:val="none"/>
                      <w:u w:val="none"/>
                      <w:lang w:val="en-US" w:eastAsia="zh-CN" w:bidi="ar"/>
                    </w:rPr>
                    <w:t>异丙醇</w:t>
                  </w:r>
                </w:p>
              </w:tc>
              <w:tc>
                <w:tcPr>
                  <w:tcW w:w="638" w:type="pct"/>
                  <w:tcBorders>
                    <w:left w:val="single" w:color="auto" w:sz="4" w:space="0"/>
                  </w:tcBorders>
                  <w:noWrap w:val="0"/>
                  <w:vAlign w:val="center"/>
                </w:tcPr>
                <w:p w14:paraId="367998EC">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L/a</w:t>
                  </w:r>
                </w:p>
              </w:tc>
              <w:tc>
                <w:tcPr>
                  <w:tcW w:w="1179" w:type="pct"/>
                  <w:tcBorders>
                    <w:left w:val="single" w:color="auto" w:sz="4" w:space="0"/>
                    <w:right w:val="single" w:color="auto" w:sz="4" w:space="0"/>
                  </w:tcBorders>
                  <w:noWrap w:val="0"/>
                  <w:vAlign w:val="center"/>
                </w:tcPr>
                <w:p w14:paraId="274B0864">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Times New Roman"/>
                      <w:b/>
                      <w:bCs/>
                      <w:color w:val="auto"/>
                      <w:kern w:val="0"/>
                      <w:sz w:val="21"/>
                      <w:szCs w:val="21"/>
                      <w:highlight w:val="none"/>
                      <w:shd w:val="clear" w:color="auto" w:fill="FFFFFF"/>
                      <w:lang w:val="en-US" w:eastAsia="zh-CN"/>
                    </w:rPr>
                    <w:t>见下表2-5</w:t>
                  </w:r>
                </w:p>
              </w:tc>
              <w:tc>
                <w:tcPr>
                  <w:tcW w:w="593" w:type="pct"/>
                  <w:tcBorders>
                    <w:left w:val="single" w:color="auto" w:sz="4" w:space="0"/>
                    <w:right w:val="single" w:color="auto" w:sz="4" w:space="0"/>
                  </w:tcBorders>
                  <w:noWrap w:val="0"/>
                  <w:vAlign w:val="center"/>
                </w:tcPr>
                <w:p w14:paraId="32B32A9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0.5L</w:t>
                  </w:r>
                </w:p>
              </w:tc>
              <w:tc>
                <w:tcPr>
                  <w:tcW w:w="472" w:type="pct"/>
                  <w:tcBorders>
                    <w:left w:val="single" w:color="auto" w:sz="4" w:space="0"/>
                    <w:right w:val="single" w:color="auto" w:sz="4" w:space="0"/>
                  </w:tcBorders>
                  <w:noWrap w:val="0"/>
                  <w:vAlign w:val="center"/>
                </w:tcPr>
                <w:p w14:paraId="6B47B05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431" w:type="pct"/>
                  <w:noWrap w:val="0"/>
                  <w:vAlign w:val="center"/>
                </w:tcPr>
                <w:p w14:paraId="20C8527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421" w:type="pct"/>
                  <w:noWrap w:val="0"/>
                  <w:vAlign w:val="center"/>
                </w:tcPr>
                <w:p w14:paraId="44A504C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防爆柜</w:t>
                  </w:r>
                </w:p>
              </w:tc>
            </w:tr>
            <w:tr w14:paraId="35FC39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39790BE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w:t>
                  </w:r>
                </w:p>
              </w:tc>
              <w:tc>
                <w:tcPr>
                  <w:tcW w:w="929" w:type="pct"/>
                  <w:noWrap w:val="0"/>
                  <w:vAlign w:val="center"/>
                </w:tcPr>
                <w:p w14:paraId="0D71A60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21"/>
                      <w:szCs w:val="21"/>
                      <w:highlight w:val="none"/>
                      <w:shd w:val="clear" w:color="auto" w:fill="FFFFFF"/>
                      <w:lang w:val="en-US" w:eastAsia="zh-CN"/>
                    </w:rPr>
                  </w:pPr>
                  <w:r>
                    <w:rPr>
                      <w:rStyle w:val="54"/>
                      <w:rFonts w:ascii="Times New Roman" w:hAnsi="Times New Roman" w:eastAsia="宋体"/>
                      <w:color w:val="auto"/>
                      <w:sz w:val="21"/>
                      <w:highlight w:val="none"/>
                      <w:lang w:val="en-US" w:eastAsia="zh-CN" w:bidi="ar"/>
                    </w:rPr>
                    <w:t>异丙基</w:t>
                  </w:r>
                  <w:r>
                    <w:rPr>
                      <w:rStyle w:val="55"/>
                      <w:rFonts w:ascii="Times New Roman" w:hAnsi="Times New Roman" w:eastAsia="宋体"/>
                      <w:color w:val="auto"/>
                      <w:sz w:val="21"/>
                      <w:highlight w:val="none"/>
                      <w:lang w:val="en-US" w:eastAsia="zh-CN" w:bidi="ar"/>
                    </w:rPr>
                    <w:t>-β-D-</w:t>
                  </w:r>
                  <w:r>
                    <w:rPr>
                      <w:rStyle w:val="54"/>
                      <w:rFonts w:ascii="Times New Roman" w:hAnsi="Times New Roman" w:eastAsia="宋体"/>
                      <w:color w:val="auto"/>
                      <w:sz w:val="21"/>
                      <w:highlight w:val="none"/>
                      <w:lang w:val="en-US" w:eastAsia="zh-CN" w:bidi="ar"/>
                    </w:rPr>
                    <w:t>硫代半乳糖苷</w:t>
                  </w:r>
                </w:p>
              </w:tc>
              <w:tc>
                <w:tcPr>
                  <w:tcW w:w="638" w:type="pct"/>
                  <w:tcBorders>
                    <w:left w:val="single" w:color="auto" w:sz="4" w:space="0"/>
                  </w:tcBorders>
                  <w:noWrap w:val="0"/>
                  <w:vAlign w:val="center"/>
                </w:tcPr>
                <w:p w14:paraId="26E6637E">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2"/>
                      <w:highlight w:val="none"/>
                      <w:u w:val="none"/>
                      <w:lang w:val="en-US" w:eastAsia="zh-CN" w:bidi="ar"/>
                    </w:rPr>
                    <w:t>kg</w:t>
                  </w:r>
                  <w:r>
                    <w:rPr>
                      <w:rFonts w:hint="default" w:ascii="Times New Roman" w:hAnsi="Times New Roman" w:eastAsia="宋体" w:cs="Times New Roman"/>
                      <w:i w:val="0"/>
                      <w:iCs w:val="0"/>
                      <w:color w:val="auto"/>
                      <w:kern w:val="0"/>
                      <w:sz w:val="21"/>
                      <w:szCs w:val="21"/>
                      <w:highlight w:val="none"/>
                      <w:u w:val="none"/>
                      <w:lang w:val="en-US" w:eastAsia="zh-CN" w:bidi="ar"/>
                    </w:rPr>
                    <w:t>/a</w:t>
                  </w:r>
                </w:p>
              </w:tc>
              <w:tc>
                <w:tcPr>
                  <w:tcW w:w="1179" w:type="pct"/>
                  <w:tcBorders>
                    <w:left w:val="single" w:color="auto" w:sz="4" w:space="0"/>
                    <w:right w:val="single" w:color="auto" w:sz="4" w:space="0"/>
                  </w:tcBorders>
                  <w:noWrap w:val="0"/>
                  <w:vAlign w:val="center"/>
                </w:tcPr>
                <w:p w14:paraId="36635B3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Times New Roman"/>
                      <w:color w:val="auto"/>
                      <w:kern w:val="0"/>
                      <w:sz w:val="21"/>
                      <w:szCs w:val="21"/>
                      <w:highlight w:val="none"/>
                      <w:shd w:val="clear" w:color="auto" w:fill="FFFFFF"/>
                      <w:lang w:val="en-US" w:eastAsia="zh-CN"/>
                    </w:rPr>
                    <w:t>硫代半乳糖苷基团+异丙基基团</w:t>
                  </w:r>
                </w:p>
              </w:tc>
              <w:tc>
                <w:tcPr>
                  <w:tcW w:w="593" w:type="pct"/>
                  <w:tcBorders>
                    <w:left w:val="single" w:color="auto" w:sz="4" w:space="0"/>
                    <w:right w:val="single" w:color="auto" w:sz="4" w:space="0"/>
                  </w:tcBorders>
                  <w:noWrap w:val="0"/>
                  <w:vAlign w:val="center"/>
                </w:tcPr>
                <w:p w14:paraId="4ECF40D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2"/>
                      <w:highlight w:val="none"/>
                      <w:u w:val="none"/>
                      <w:lang w:val="en-US" w:eastAsia="zh-CN" w:bidi="ar"/>
                    </w:rPr>
                    <w:t>0.5kg</w:t>
                  </w:r>
                </w:p>
              </w:tc>
              <w:tc>
                <w:tcPr>
                  <w:tcW w:w="472" w:type="pct"/>
                  <w:tcBorders>
                    <w:left w:val="single" w:color="auto" w:sz="4" w:space="0"/>
                    <w:right w:val="single" w:color="auto" w:sz="4" w:space="0"/>
                  </w:tcBorders>
                  <w:noWrap w:val="0"/>
                  <w:vAlign w:val="center"/>
                </w:tcPr>
                <w:p w14:paraId="4747012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2"/>
                      <w:highlight w:val="none"/>
                      <w:u w:val="none"/>
                      <w:lang w:val="en-US" w:eastAsia="zh-CN" w:bidi="ar"/>
                    </w:rPr>
                    <w:t>1</w:t>
                  </w:r>
                </w:p>
              </w:tc>
              <w:tc>
                <w:tcPr>
                  <w:tcW w:w="431" w:type="pct"/>
                  <w:noWrap w:val="0"/>
                  <w:vAlign w:val="center"/>
                </w:tcPr>
                <w:p w14:paraId="19F8DF2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21" w:type="pct"/>
                  <w:noWrap w:val="0"/>
                  <w:vAlign w:val="center"/>
                </w:tcPr>
                <w:p w14:paraId="0398B2F7">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冰箱</w:t>
                  </w:r>
                </w:p>
              </w:tc>
            </w:tr>
            <w:tr w14:paraId="09B7C8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21D33A0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45</w:t>
                  </w:r>
                </w:p>
              </w:tc>
              <w:tc>
                <w:tcPr>
                  <w:tcW w:w="929" w:type="pct"/>
                  <w:noWrap w:val="0"/>
                  <w:vAlign w:val="center"/>
                </w:tcPr>
                <w:p w14:paraId="7AC8D96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仿宋"/>
                      <w:i w:val="0"/>
                      <w:iCs w:val="0"/>
                      <w:color w:val="auto"/>
                      <w:kern w:val="0"/>
                      <w:sz w:val="21"/>
                      <w:szCs w:val="22"/>
                      <w:highlight w:val="none"/>
                      <w:u w:val="none"/>
                      <w:lang w:val="en-US" w:eastAsia="zh-CN" w:bidi="ar"/>
                    </w:rPr>
                    <w:t>预制蛋白胶</w:t>
                  </w:r>
                </w:p>
              </w:tc>
              <w:tc>
                <w:tcPr>
                  <w:tcW w:w="638" w:type="pct"/>
                  <w:tcBorders>
                    <w:left w:val="single" w:color="auto" w:sz="4" w:space="0"/>
                  </w:tcBorders>
                  <w:noWrap w:val="0"/>
                  <w:vAlign w:val="center"/>
                </w:tcPr>
                <w:p w14:paraId="7AC70F04">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仿宋"/>
                      <w:i w:val="0"/>
                      <w:iCs w:val="0"/>
                      <w:color w:val="auto"/>
                      <w:kern w:val="0"/>
                      <w:sz w:val="21"/>
                      <w:szCs w:val="22"/>
                      <w:highlight w:val="none"/>
                      <w:u w:val="none"/>
                      <w:lang w:val="en-US" w:eastAsia="zh-CN" w:bidi="ar"/>
                    </w:rPr>
                    <w:t>块</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仿宋"/>
                      <w:i w:val="0"/>
                      <w:iCs w:val="0"/>
                      <w:color w:val="auto"/>
                      <w:kern w:val="0"/>
                      <w:sz w:val="21"/>
                      <w:szCs w:val="21"/>
                      <w:highlight w:val="none"/>
                      <w:u w:val="none"/>
                      <w:lang w:val="en-US" w:eastAsia="zh-CN" w:bidi="ar"/>
                    </w:rPr>
                    <w:t>年</w:t>
                  </w:r>
                </w:p>
              </w:tc>
              <w:tc>
                <w:tcPr>
                  <w:tcW w:w="1179" w:type="pct"/>
                  <w:tcBorders>
                    <w:left w:val="single" w:color="auto" w:sz="4" w:space="0"/>
                    <w:right w:val="single" w:color="auto" w:sz="4" w:space="0"/>
                  </w:tcBorders>
                  <w:noWrap w:val="0"/>
                  <w:vAlign w:val="center"/>
                </w:tcPr>
                <w:p w14:paraId="19BA6806">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Times New Roman"/>
                      <w:color w:val="auto"/>
                      <w:kern w:val="0"/>
                      <w:sz w:val="21"/>
                      <w:szCs w:val="21"/>
                      <w:highlight w:val="none"/>
                      <w:shd w:val="clear" w:color="auto" w:fill="FFFFFF"/>
                      <w:lang w:val="en-US" w:eastAsia="zh-CN"/>
                    </w:rPr>
                    <w:t>丙烯酰胺（单体） + 甲叉双丙烯酰胺（交联剂）</w:t>
                  </w:r>
                </w:p>
              </w:tc>
              <w:tc>
                <w:tcPr>
                  <w:tcW w:w="593" w:type="pct"/>
                  <w:tcBorders>
                    <w:left w:val="single" w:color="auto" w:sz="4" w:space="0"/>
                    <w:right w:val="single" w:color="auto" w:sz="4" w:space="0"/>
                  </w:tcBorders>
                  <w:noWrap w:val="0"/>
                  <w:vAlign w:val="center"/>
                </w:tcPr>
                <w:p w14:paraId="64454BA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2"/>
                      <w:highlight w:val="none"/>
                      <w:u w:val="none"/>
                      <w:lang w:val="en-US" w:eastAsia="zh-CN" w:bidi="ar"/>
                    </w:rPr>
                    <w:t>1</w:t>
                  </w:r>
                  <w:r>
                    <w:rPr>
                      <w:rFonts w:hint="eastAsia" w:ascii="Times New Roman" w:hAnsi="Times New Roman" w:eastAsia="宋体" w:cs="仿宋"/>
                      <w:i w:val="0"/>
                      <w:iCs w:val="0"/>
                      <w:color w:val="auto"/>
                      <w:kern w:val="0"/>
                      <w:sz w:val="21"/>
                      <w:szCs w:val="22"/>
                      <w:highlight w:val="none"/>
                      <w:u w:val="none"/>
                      <w:lang w:val="en-US" w:eastAsia="zh-CN" w:bidi="ar"/>
                    </w:rPr>
                    <w:t>块</w:t>
                  </w:r>
                </w:p>
              </w:tc>
              <w:tc>
                <w:tcPr>
                  <w:tcW w:w="472" w:type="pct"/>
                  <w:tcBorders>
                    <w:left w:val="single" w:color="auto" w:sz="4" w:space="0"/>
                    <w:right w:val="single" w:color="auto" w:sz="4" w:space="0"/>
                  </w:tcBorders>
                  <w:noWrap w:val="0"/>
                  <w:vAlign w:val="center"/>
                </w:tcPr>
                <w:p w14:paraId="63DC55D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2"/>
                      <w:highlight w:val="none"/>
                      <w:u w:val="none"/>
                      <w:lang w:val="en-US" w:eastAsia="zh-CN" w:bidi="ar"/>
                    </w:rPr>
                    <w:t>500</w:t>
                  </w:r>
                </w:p>
              </w:tc>
              <w:tc>
                <w:tcPr>
                  <w:tcW w:w="431" w:type="pct"/>
                  <w:noWrap w:val="0"/>
                  <w:vAlign w:val="center"/>
                </w:tcPr>
                <w:p w14:paraId="598CFEF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w:t>
                  </w:r>
                  <w:r>
                    <w:rPr>
                      <w:rFonts w:hint="default" w:ascii="Times New Roman" w:hAnsi="Times New Roman" w:eastAsia="宋体" w:cs="仿宋"/>
                      <w:i w:val="0"/>
                      <w:iCs w:val="0"/>
                      <w:color w:val="auto"/>
                      <w:kern w:val="0"/>
                      <w:sz w:val="21"/>
                      <w:szCs w:val="21"/>
                      <w:highlight w:val="none"/>
                      <w:u w:val="none"/>
                      <w:lang w:val="en-US" w:eastAsia="zh-CN" w:bidi="ar"/>
                    </w:rPr>
                    <w:t>块</w:t>
                  </w:r>
                </w:p>
              </w:tc>
              <w:tc>
                <w:tcPr>
                  <w:tcW w:w="421" w:type="pct"/>
                  <w:noWrap w:val="0"/>
                  <w:vAlign w:val="center"/>
                </w:tcPr>
                <w:p w14:paraId="4A1EB4A0">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冰箱</w:t>
                  </w:r>
                </w:p>
              </w:tc>
            </w:tr>
            <w:tr w14:paraId="476DF1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0A62FEE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46</w:t>
                  </w:r>
                </w:p>
              </w:tc>
              <w:tc>
                <w:tcPr>
                  <w:tcW w:w="929" w:type="pct"/>
                  <w:noWrap w:val="0"/>
                  <w:vAlign w:val="center"/>
                </w:tcPr>
                <w:p w14:paraId="35B882A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21"/>
                      <w:szCs w:val="21"/>
                      <w:highlight w:val="none"/>
                      <w:shd w:val="clear" w:color="auto" w:fill="FFFFFF"/>
                      <w:lang w:val="en-US" w:eastAsia="zh-CN"/>
                    </w:rPr>
                  </w:pPr>
                  <w:r>
                    <w:rPr>
                      <w:rStyle w:val="56"/>
                      <w:rFonts w:ascii="Times New Roman" w:hAnsi="Times New Roman" w:eastAsia="宋体"/>
                      <w:color w:val="auto"/>
                      <w:sz w:val="21"/>
                      <w:highlight w:val="none"/>
                      <w:lang w:val="en-US" w:eastAsia="zh-CN" w:bidi="ar"/>
                    </w:rPr>
                    <w:t>转膜试剂盒</w:t>
                  </w:r>
                  <w:r>
                    <w:rPr>
                      <w:rStyle w:val="55"/>
                      <w:rFonts w:ascii="Times New Roman" w:hAnsi="Times New Roman" w:eastAsia="宋体"/>
                      <w:color w:val="auto"/>
                      <w:sz w:val="21"/>
                      <w:highlight w:val="none"/>
                      <w:lang w:val="en-US" w:eastAsia="zh-CN" w:bidi="ar"/>
                    </w:rPr>
                    <w:t xml:space="preserve"> (NC</w:t>
                  </w:r>
                  <w:r>
                    <w:rPr>
                      <w:rStyle w:val="56"/>
                      <w:rFonts w:ascii="Times New Roman" w:hAnsi="Times New Roman" w:eastAsia="宋体"/>
                      <w:color w:val="auto"/>
                      <w:sz w:val="21"/>
                      <w:highlight w:val="none"/>
                      <w:lang w:val="en-US" w:eastAsia="zh-CN" w:bidi="ar"/>
                    </w:rPr>
                    <w:t>膜</w:t>
                  </w:r>
                  <w:r>
                    <w:rPr>
                      <w:rStyle w:val="55"/>
                      <w:rFonts w:ascii="Times New Roman" w:hAnsi="Times New Roman" w:eastAsia="宋体"/>
                      <w:color w:val="auto"/>
                      <w:sz w:val="21"/>
                      <w:highlight w:val="none"/>
                      <w:lang w:val="en-US" w:eastAsia="zh-CN" w:bidi="ar"/>
                    </w:rPr>
                    <w:t>)</w:t>
                  </w:r>
                </w:p>
              </w:tc>
              <w:tc>
                <w:tcPr>
                  <w:tcW w:w="638" w:type="pct"/>
                  <w:tcBorders>
                    <w:left w:val="single" w:color="auto" w:sz="4" w:space="0"/>
                  </w:tcBorders>
                  <w:noWrap w:val="0"/>
                  <w:vAlign w:val="center"/>
                </w:tcPr>
                <w:p w14:paraId="23F088F2">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L/a</w:t>
                  </w:r>
                </w:p>
              </w:tc>
              <w:tc>
                <w:tcPr>
                  <w:tcW w:w="1179" w:type="pct"/>
                  <w:tcBorders>
                    <w:left w:val="single" w:color="auto" w:sz="4" w:space="0"/>
                    <w:right w:val="single" w:color="auto" w:sz="4" w:space="0"/>
                  </w:tcBorders>
                  <w:noWrap w:val="0"/>
                  <w:vAlign w:val="center"/>
                </w:tcPr>
                <w:p w14:paraId="1559842F">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Times New Roman"/>
                      <w:color w:val="auto"/>
                      <w:kern w:val="0"/>
                      <w:sz w:val="21"/>
                      <w:szCs w:val="21"/>
                      <w:highlight w:val="none"/>
                      <w:shd w:val="clear" w:color="auto" w:fill="FFFFFF"/>
                      <w:lang w:val="en-US" w:eastAsia="zh-CN"/>
                    </w:rPr>
                    <w:t>硝酸纤维素膜（NC膜） + 转膜缓冲液</w:t>
                  </w:r>
                </w:p>
              </w:tc>
              <w:tc>
                <w:tcPr>
                  <w:tcW w:w="593" w:type="pct"/>
                  <w:tcBorders>
                    <w:left w:val="single" w:color="auto" w:sz="4" w:space="0"/>
                    <w:right w:val="single" w:color="auto" w:sz="4" w:space="0"/>
                  </w:tcBorders>
                  <w:noWrap w:val="0"/>
                  <w:vAlign w:val="center"/>
                </w:tcPr>
                <w:p w14:paraId="3D225FF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5L</w:t>
                  </w:r>
                </w:p>
              </w:tc>
              <w:tc>
                <w:tcPr>
                  <w:tcW w:w="472" w:type="pct"/>
                  <w:tcBorders>
                    <w:left w:val="single" w:color="auto" w:sz="4" w:space="0"/>
                    <w:right w:val="single" w:color="auto" w:sz="4" w:space="0"/>
                  </w:tcBorders>
                  <w:noWrap w:val="0"/>
                  <w:vAlign w:val="center"/>
                </w:tcPr>
                <w:p w14:paraId="6D467BF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431" w:type="pct"/>
                  <w:noWrap w:val="0"/>
                  <w:vAlign w:val="center"/>
                </w:tcPr>
                <w:p w14:paraId="1EEB0AA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421" w:type="pct"/>
                  <w:noWrap w:val="0"/>
                  <w:vAlign w:val="center"/>
                </w:tcPr>
                <w:p w14:paraId="5BF522F3">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冰箱</w:t>
                  </w:r>
                </w:p>
              </w:tc>
            </w:tr>
            <w:tr w14:paraId="065C5A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27785D7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47</w:t>
                  </w:r>
                </w:p>
              </w:tc>
              <w:tc>
                <w:tcPr>
                  <w:tcW w:w="929" w:type="pct"/>
                  <w:noWrap w:val="0"/>
                  <w:vAlign w:val="center"/>
                </w:tcPr>
                <w:p w14:paraId="7FED7EE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等线"/>
                      <w:i w:val="0"/>
                      <w:iCs w:val="0"/>
                      <w:color w:val="auto"/>
                      <w:kern w:val="0"/>
                      <w:sz w:val="21"/>
                      <w:szCs w:val="22"/>
                      <w:highlight w:val="none"/>
                      <w:u w:val="none"/>
                      <w:lang w:val="en-US" w:eastAsia="zh-CN" w:bidi="ar"/>
                    </w:rPr>
                    <w:t>盐酸</w:t>
                  </w:r>
                </w:p>
              </w:tc>
              <w:tc>
                <w:tcPr>
                  <w:tcW w:w="638" w:type="pct"/>
                  <w:tcBorders>
                    <w:left w:val="single" w:color="auto" w:sz="4" w:space="0"/>
                  </w:tcBorders>
                  <w:noWrap w:val="0"/>
                  <w:vAlign w:val="center"/>
                </w:tcPr>
                <w:p w14:paraId="711B7C73">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等线"/>
                      <w:i w:val="0"/>
                      <w:iCs w:val="0"/>
                      <w:color w:val="auto"/>
                      <w:kern w:val="0"/>
                      <w:sz w:val="21"/>
                      <w:szCs w:val="22"/>
                      <w:highlight w:val="none"/>
                      <w:u w:val="none"/>
                      <w:lang w:val="en-US" w:eastAsia="zh-CN" w:bidi="ar"/>
                    </w:rPr>
                    <w:t>ml/L</w:t>
                  </w:r>
                </w:p>
              </w:tc>
              <w:tc>
                <w:tcPr>
                  <w:tcW w:w="1179" w:type="pct"/>
                  <w:tcBorders>
                    <w:left w:val="single" w:color="auto" w:sz="4" w:space="0"/>
                    <w:right w:val="single" w:color="auto" w:sz="4" w:space="0"/>
                  </w:tcBorders>
                  <w:noWrap w:val="0"/>
                  <w:vAlign w:val="center"/>
                </w:tcPr>
                <w:p w14:paraId="065F969C">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shd w:val="clear" w:color="auto" w:fill="FFFFFF"/>
                      <w:lang w:val="en-US" w:eastAsia="zh-CN"/>
                    </w:rPr>
                  </w:pPr>
                  <w:r>
                    <w:rPr>
                      <w:rFonts w:hint="eastAsia" w:ascii="Times New Roman" w:hAnsi="Times New Roman" w:eastAsia="宋体" w:cs="Times New Roman"/>
                      <w:b/>
                      <w:bCs/>
                      <w:color w:val="auto"/>
                      <w:kern w:val="0"/>
                      <w:sz w:val="21"/>
                      <w:szCs w:val="21"/>
                      <w:highlight w:val="none"/>
                      <w:shd w:val="clear" w:color="auto" w:fill="FFFFFF"/>
                      <w:lang w:val="en-US" w:eastAsia="zh-CN"/>
                    </w:rPr>
                    <w:t>见下表2-5</w:t>
                  </w:r>
                </w:p>
              </w:tc>
              <w:tc>
                <w:tcPr>
                  <w:tcW w:w="593" w:type="pct"/>
                  <w:tcBorders>
                    <w:left w:val="single" w:color="auto" w:sz="4" w:space="0"/>
                    <w:right w:val="single" w:color="auto" w:sz="4" w:space="0"/>
                  </w:tcBorders>
                  <w:noWrap w:val="0"/>
                  <w:vAlign w:val="center"/>
                </w:tcPr>
                <w:p w14:paraId="62F13B9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等线"/>
                      <w:i w:val="0"/>
                      <w:iCs w:val="0"/>
                      <w:color w:val="auto"/>
                      <w:kern w:val="0"/>
                      <w:sz w:val="21"/>
                      <w:szCs w:val="22"/>
                      <w:highlight w:val="none"/>
                      <w:u w:val="none"/>
                      <w:lang w:val="en-US" w:eastAsia="zh-CN" w:bidi="ar"/>
                    </w:rPr>
                    <w:t>100ml</w:t>
                  </w:r>
                </w:p>
              </w:tc>
              <w:tc>
                <w:tcPr>
                  <w:tcW w:w="472" w:type="pct"/>
                  <w:tcBorders>
                    <w:left w:val="single" w:color="auto" w:sz="4" w:space="0"/>
                    <w:right w:val="single" w:color="auto" w:sz="4" w:space="0"/>
                  </w:tcBorders>
                  <w:noWrap w:val="0"/>
                  <w:vAlign w:val="center"/>
                </w:tcPr>
                <w:p w14:paraId="17D2FF0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等线"/>
                      <w:i w:val="0"/>
                      <w:iCs w:val="0"/>
                      <w:color w:val="auto"/>
                      <w:kern w:val="0"/>
                      <w:sz w:val="21"/>
                      <w:szCs w:val="22"/>
                      <w:highlight w:val="none"/>
                      <w:u w:val="none"/>
                      <w:lang w:val="en-US" w:eastAsia="zh-CN" w:bidi="ar"/>
                    </w:rPr>
                    <w:t>100</w:t>
                  </w:r>
                </w:p>
              </w:tc>
              <w:tc>
                <w:tcPr>
                  <w:tcW w:w="431" w:type="pct"/>
                  <w:noWrap w:val="0"/>
                  <w:vAlign w:val="center"/>
                </w:tcPr>
                <w:p w14:paraId="3E34150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s="等线"/>
                      <w:i w:val="0"/>
                      <w:iCs w:val="0"/>
                      <w:color w:val="auto"/>
                      <w:kern w:val="0"/>
                      <w:sz w:val="21"/>
                      <w:szCs w:val="22"/>
                      <w:highlight w:val="none"/>
                      <w:u w:val="none"/>
                      <w:lang w:val="en-US" w:eastAsia="zh-CN" w:bidi="ar"/>
                    </w:rPr>
                    <w:t>100ml</w:t>
                  </w:r>
                </w:p>
              </w:tc>
              <w:tc>
                <w:tcPr>
                  <w:tcW w:w="421" w:type="pct"/>
                  <w:noWrap w:val="0"/>
                  <w:vAlign w:val="center"/>
                </w:tcPr>
                <w:p w14:paraId="0061853B">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防爆柜</w:t>
                  </w:r>
                </w:p>
              </w:tc>
            </w:tr>
          </w:tbl>
          <w:p w14:paraId="3879BB2F">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bCs/>
                <w:color w:val="auto"/>
                <w:kern w:val="2"/>
                <w:sz w:val="24"/>
                <w:szCs w:val="24"/>
                <w:lang w:val="zh-CN" w:eastAsia="zh-CN" w:bidi="ar-SA"/>
              </w:rPr>
            </w:pPr>
            <w:r>
              <w:rPr>
                <w:rFonts w:hint="default" w:ascii="Times New Roman" w:hAnsi="Times New Roman" w:eastAsia="宋体"/>
                <w:color w:val="auto"/>
                <w:sz w:val="24"/>
                <w:szCs w:val="24"/>
                <w:highlight w:val="none"/>
                <w:lang w:bidi="ar"/>
              </w:rPr>
              <w:t>因本项目</w:t>
            </w:r>
            <w:r>
              <w:rPr>
                <w:rFonts w:hint="eastAsia" w:ascii="Times New Roman" w:hAnsi="Times New Roman" w:eastAsia="宋体"/>
                <w:color w:val="auto"/>
                <w:sz w:val="24"/>
                <w:szCs w:val="24"/>
                <w:highlight w:val="none"/>
                <w:lang w:eastAsia="zh-CN" w:bidi="ar"/>
              </w:rPr>
              <w:t>纯水检测试剂涉及</w:t>
            </w:r>
            <w:r>
              <w:rPr>
                <w:rFonts w:hint="eastAsia" w:ascii="Times New Roman" w:hAnsi="Times New Roman" w:eastAsia="宋体"/>
                <w:color w:val="auto"/>
                <w:sz w:val="24"/>
                <w:szCs w:val="24"/>
                <w:highlight w:val="none"/>
                <w:lang w:val="en-US" w:eastAsia="zh-CN" w:bidi="ar"/>
              </w:rPr>
              <w:t>物料种类较多，本项目主要原辅材料表中给出</w:t>
            </w:r>
            <w:r>
              <w:rPr>
                <w:rFonts w:hint="eastAsia" w:ascii="Times New Roman" w:hAnsi="Times New Roman" w:eastAsia="宋体"/>
                <w:color w:val="auto"/>
                <w:sz w:val="24"/>
                <w:szCs w:val="24"/>
                <w:highlight w:val="none"/>
                <w:lang w:eastAsia="zh-CN" w:bidi="ar"/>
              </w:rPr>
              <w:t>测试剂用量</w:t>
            </w:r>
            <w:r>
              <w:rPr>
                <w:rFonts w:hint="eastAsia" w:ascii="Times New Roman" w:hAnsi="Times New Roman" w:eastAsia="宋体"/>
                <w:color w:val="auto"/>
                <w:sz w:val="24"/>
                <w:szCs w:val="24"/>
                <w:highlight w:val="none"/>
                <w:lang w:bidi="ar"/>
              </w:rPr>
              <w:t>较</w:t>
            </w:r>
            <w:r>
              <w:rPr>
                <w:rFonts w:hint="eastAsia" w:ascii="Times New Roman" w:hAnsi="Times New Roman" w:eastAsia="宋体"/>
                <w:color w:val="auto"/>
                <w:sz w:val="24"/>
                <w:szCs w:val="24"/>
                <w:highlight w:val="none"/>
                <w:lang w:eastAsia="zh-CN" w:bidi="ar"/>
              </w:rPr>
              <w:t>多</w:t>
            </w:r>
            <w:r>
              <w:rPr>
                <w:rFonts w:hint="eastAsia" w:ascii="Times New Roman" w:hAnsi="Times New Roman" w:eastAsia="宋体"/>
                <w:color w:val="auto"/>
                <w:sz w:val="24"/>
                <w:szCs w:val="24"/>
                <w:highlight w:val="none"/>
                <w:lang w:bidi="ar"/>
              </w:rPr>
              <w:t>及</w:t>
            </w:r>
            <w:r>
              <w:rPr>
                <w:rFonts w:hint="eastAsia" w:ascii="Times New Roman" w:hAnsi="Times New Roman" w:eastAsia="宋体"/>
                <w:color w:val="auto"/>
                <w:sz w:val="24"/>
                <w:szCs w:val="24"/>
                <w:highlight w:val="none"/>
                <w:lang w:eastAsia="zh-CN" w:bidi="ar"/>
              </w:rPr>
              <w:t>具有危险性</w:t>
            </w:r>
            <w:r>
              <w:rPr>
                <w:rFonts w:hint="default" w:ascii="Times New Roman" w:hAnsi="Times New Roman" w:eastAsia="宋体"/>
                <w:color w:val="auto"/>
                <w:sz w:val="24"/>
                <w:szCs w:val="24"/>
                <w:highlight w:val="none"/>
                <w:lang w:bidi="ar"/>
              </w:rPr>
              <w:t>的化学品</w:t>
            </w:r>
            <w:r>
              <w:rPr>
                <w:rFonts w:hint="eastAsia" w:ascii="Times New Roman" w:hAnsi="Times New Roman" w:eastAsia="宋体"/>
                <w:color w:val="auto"/>
                <w:sz w:val="24"/>
                <w:szCs w:val="24"/>
                <w:highlight w:val="none"/>
                <w:lang w:eastAsia="zh-CN" w:bidi="ar"/>
              </w:rPr>
              <w:t>成分较多但用量较少</w:t>
            </w:r>
            <w:r>
              <w:rPr>
                <w:rFonts w:hint="default" w:ascii="Times New Roman" w:hAnsi="Times New Roman" w:eastAsia="宋体"/>
                <w:color w:val="auto"/>
                <w:sz w:val="24"/>
                <w:szCs w:val="24"/>
                <w:highlight w:val="none"/>
                <w:lang w:bidi="ar"/>
              </w:rPr>
              <w:t>，因此原辅料的理化性质只选择</w:t>
            </w:r>
            <w:r>
              <w:rPr>
                <w:rFonts w:hint="eastAsia" w:ascii="Times New Roman" w:hAnsi="Times New Roman" w:eastAsia="宋体"/>
                <w:color w:val="auto"/>
                <w:sz w:val="24"/>
                <w:szCs w:val="24"/>
                <w:highlight w:val="none"/>
                <w:lang w:eastAsia="zh-CN" w:bidi="ar"/>
              </w:rPr>
              <w:t>检测试剂用量</w:t>
            </w:r>
            <w:r>
              <w:rPr>
                <w:rFonts w:hint="eastAsia" w:ascii="Times New Roman" w:hAnsi="Times New Roman" w:eastAsia="宋体"/>
                <w:color w:val="auto"/>
                <w:sz w:val="24"/>
                <w:szCs w:val="24"/>
                <w:highlight w:val="none"/>
                <w:lang w:bidi="ar"/>
              </w:rPr>
              <w:t>较</w:t>
            </w:r>
            <w:r>
              <w:rPr>
                <w:rFonts w:hint="eastAsia" w:ascii="Times New Roman" w:hAnsi="Times New Roman" w:eastAsia="宋体"/>
                <w:color w:val="auto"/>
                <w:sz w:val="24"/>
                <w:szCs w:val="24"/>
                <w:highlight w:val="none"/>
                <w:lang w:eastAsia="zh-CN" w:bidi="ar"/>
              </w:rPr>
              <w:t>多</w:t>
            </w:r>
            <w:r>
              <w:rPr>
                <w:rFonts w:hint="eastAsia" w:ascii="Times New Roman" w:hAnsi="Times New Roman" w:eastAsia="宋体"/>
                <w:color w:val="auto"/>
                <w:sz w:val="24"/>
                <w:szCs w:val="24"/>
                <w:highlight w:val="none"/>
                <w:lang w:bidi="ar"/>
              </w:rPr>
              <w:t>的及</w:t>
            </w:r>
            <w:r>
              <w:rPr>
                <w:rFonts w:hint="eastAsia" w:ascii="Times New Roman" w:hAnsi="Times New Roman" w:eastAsia="宋体"/>
                <w:color w:val="auto"/>
                <w:sz w:val="24"/>
                <w:szCs w:val="24"/>
                <w:highlight w:val="none"/>
                <w:lang w:eastAsia="zh-CN" w:bidi="ar"/>
              </w:rPr>
              <w:t>具有危险性</w:t>
            </w:r>
            <w:r>
              <w:rPr>
                <w:rFonts w:hint="default" w:ascii="Times New Roman" w:hAnsi="Times New Roman" w:eastAsia="宋体"/>
                <w:color w:val="auto"/>
                <w:sz w:val="24"/>
                <w:szCs w:val="24"/>
                <w:highlight w:val="none"/>
                <w:lang w:bidi="ar"/>
              </w:rPr>
              <w:t>的化学品写明</w:t>
            </w:r>
            <w:r>
              <w:rPr>
                <w:rFonts w:hint="eastAsia" w:ascii="Times New Roman" w:hAnsi="Times New Roman" w:eastAsia="宋体"/>
                <w:color w:val="auto"/>
                <w:sz w:val="24"/>
                <w:szCs w:val="24"/>
                <w:highlight w:val="none"/>
                <w:lang w:eastAsia="zh-CN" w:bidi="ar"/>
              </w:rPr>
              <w:t>。</w:t>
            </w:r>
          </w:p>
          <w:p w14:paraId="56CD1270">
            <w:pPr>
              <w:keepNext w:val="0"/>
              <w:keepLines w:val="0"/>
              <w:widowControl/>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kern w:val="2"/>
                <w:sz w:val="24"/>
                <w:szCs w:val="24"/>
                <w:lang w:val="zh-CN" w:eastAsia="zh-CN" w:bidi="ar-SA"/>
              </w:rPr>
              <w:t>表2-5</w:t>
            </w:r>
            <w:r>
              <w:rPr>
                <w:rFonts w:hint="eastAsia" w:ascii="Times New Roman" w:hAnsi="Times New Roman" w:eastAsia="宋体" w:cs="Times New Roman"/>
                <w:b/>
                <w:bCs/>
                <w:color w:val="auto"/>
                <w:kern w:val="2"/>
                <w:sz w:val="24"/>
                <w:szCs w:val="24"/>
                <w:lang w:val="en-US" w:eastAsia="zh-CN" w:bidi="ar-SA"/>
              </w:rPr>
              <w:t xml:space="preserve">  </w:t>
            </w:r>
            <w:r>
              <w:rPr>
                <w:rFonts w:hint="default" w:ascii="Times New Roman" w:hAnsi="Times New Roman" w:eastAsia="宋体" w:cs="Times New Roman"/>
                <w:b/>
                <w:bCs/>
                <w:color w:val="auto"/>
                <w:sz w:val="24"/>
                <w:highlight w:val="none"/>
                <w:lang w:val="zh-CN"/>
              </w:rPr>
              <w:t>主要原辅料理化性质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3" w:type="dxa"/>
                <w:bottom w:w="0" w:type="dxa"/>
                <w:right w:w="23" w:type="dxa"/>
              </w:tblCellMar>
            </w:tblPr>
            <w:tblGrid>
              <w:gridCol w:w="1630"/>
              <w:gridCol w:w="3610"/>
              <w:gridCol w:w="1469"/>
              <w:gridCol w:w="1801"/>
            </w:tblGrid>
            <w:tr w14:paraId="3CE403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575" w:hRule="atLeast"/>
                <w:jc w:val="center"/>
              </w:trPr>
              <w:tc>
                <w:tcPr>
                  <w:tcW w:w="957" w:type="pct"/>
                  <w:tcBorders>
                    <w:top w:val="single" w:color="auto" w:sz="12" w:space="0"/>
                    <w:bottom w:val="single" w:color="auto" w:sz="6" w:space="0"/>
                    <w:right w:val="single" w:color="auto" w:sz="6" w:space="0"/>
                  </w:tcBorders>
                  <w:noWrap w:val="0"/>
                  <w:tcMar>
                    <w:top w:w="0" w:type="dxa"/>
                    <w:left w:w="0" w:type="dxa"/>
                    <w:bottom w:w="0" w:type="dxa"/>
                    <w:right w:w="0" w:type="dxa"/>
                  </w:tcMar>
                  <w:vAlign w:val="center"/>
                </w:tcPr>
                <w:p w14:paraId="52C99A8E">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2121" w:type="pct"/>
                  <w:tcBorders>
                    <w:top w:val="single" w:color="auto" w:sz="12"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ED3927A">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理化特性</w:t>
                  </w:r>
                </w:p>
              </w:tc>
              <w:tc>
                <w:tcPr>
                  <w:tcW w:w="863" w:type="pct"/>
                  <w:tcBorders>
                    <w:top w:val="single" w:color="auto" w:sz="12"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2A90E04">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燃烧爆炸性</w:t>
                  </w:r>
                </w:p>
              </w:tc>
              <w:tc>
                <w:tcPr>
                  <w:tcW w:w="1058" w:type="pct"/>
                  <w:tcBorders>
                    <w:top w:val="single" w:color="auto" w:sz="12" w:space="0"/>
                    <w:left w:val="single" w:color="auto" w:sz="6" w:space="0"/>
                    <w:bottom w:val="single" w:color="auto" w:sz="6" w:space="0"/>
                  </w:tcBorders>
                  <w:noWrap w:val="0"/>
                  <w:tcMar>
                    <w:top w:w="0" w:type="dxa"/>
                    <w:left w:w="0" w:type="dxa"/>
                    <w:bottom w:w="0" w:type="dxa"/>
                    <w:right w:w="0" w:type="dxa"/>
                  </w:tcMar>
                  <w:vAlign w:val="center"/>
                </w:tcPr>
                <w:p w14:paraId="1F421B46">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毒性毒理</w:t>
                  </w:r>
                </w:p>
              </w:tc>
            </w:tr>
            <w:tr w14:paraId="614CEA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1565" w:hRule="atLeast"/>
                <w:jc w:val="center"/>
              </w:trPr>
              <w:tc>
                <w:tcPr>
                  <w:tcW w:w="957" w:type="pct"/>
                  <w:tcBorders>
                    <w:top w:val="single" w:color="auto" w:sz="6" w:space="0"/>
                    <w:bottom w:val="single" w:color="auto" w:sz="6" w:space="0"/>
                    <w:right w:val="single" w:color="auto" w:sz="6" w:space="0"/>
                  </w:tcBorders>
                  <w:noWrap w:val="0"/>
                  <w:tcMar>
                    <w:top w:w="0" w:type="dxa"/>
                    <w:left w:w="0" w:type="dxa"/>
                    <w:bottom w:w="0" w:type="dxa"/>
                    <w:right w:w="0" w:type="dxa"/>
                  </w:tcMar>
                  <w:vAlign w:val="center"/>
                </w:tcPr>
                <w:p w14:paraId="34A2F724">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仿宋"/>
                      <w:i w:val="0"/>
                      <w:iCs w:val="0"/>
                      <w:color w:val="000000"/>
                      <w:kern w:val="0"/>
                      <w:sz w:val="21"/>
                      <w:szCs w:val="21"/>
                      <w:highlight w:val="none"/>
                      <w:u w:val="none"/>
                      <w:lang w:val="en-US" w:eastAsia="zh-CN" w:bidi="ar"/>
                    </w:rPr>
                    <w:t>二甲基亚砜</w:t>
                  </w:r>
                </w:p>
              </w:tc>
              <w:tc>
                <w:tcPr>
                  <w:tcW w:w="2121"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73EE161">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shd w:val="clear" w:color="auto" w:fill="FFFFFF"/>
                      <w:lang w:val="en-US" w:eastAsia="zh-CN"/>
                    </w:rPr>
                  </w:pPr>
                  <w:r>
                    <w:rPr>
                      <w:rFonts w:hint="eastAsia" w:ascii="Times New Roman" w:hAnsi="Times New Roman" w:eastAsia="宋体" w:cs="Times New Roman"/>
                      <w:color w:val="auto"/>
                      <w:sz w:val="21"/>
                      <w:szCs w:val="21"/>
                      <w:highlight w:val="none"/>
                      <w:shd w:val="clear" w:color="auto" w:fill="FFFFFF"/>
                      <w:lang w:val="en-US" w:eastAsia="zh-CN"/>
                    </w:rPr>
                    <w:t>俗名：DSMO，分子式：C</w:t>
                  </w:r>
                  <w:r>
                    <w:rPr>
                      <w:rFonts w:hint="eastAsia" w:ascii="Times New Roman" w:hAnsi="Times New Roman" w:eastAsia="宋体" w:cs="Times New Roman"/>
                      <w:color w:val="auto"/>
                      <w:sz w:val="21"/>
                      <w:szCs w:val="21"/>
                      <w:highlight w:val="none"/>
                      <w:shd w:val="clear" w:color="auto" w:fill="FFFFFF"/>
                      <w:vertAlign w:val="subscript"/>
                      <w:lang w:val="en-US" w:eastAsia="zh-CN"/>
                    </w:rPr>
                    <w:t>2</w:t>
                  </w:r>
                  <w:r>
                    <w:rPr>
                      <w:rFonts w:hint="eastAsia" w:ascii="Times New Roman" w:hAnsi="Times New Roman" w:eastAsia="宋体" w:cs="Times New Roman"/>
                      <w:color w:val="auto"/>
                      <w:sz w:val="21"/>
                      <w:szCs w:val="21"/>
                      <w:highlight w:val="none"/>
                      <w:shd w:val="clear" w:color="auto" w:fill="FFFFFF"/>
                      <w:lang w:val="en-US" w:eastAsia="zh-CN"/>
                    </w:rPr>
                    <w:t>H</w:t>
                  </w:r>
                  <w:r>
                    <w:rPr>
                      <w:rFonts w:hint="eastAsia" w:ascii="Times New Roman" w:hAnsi="Times New Roman" w:eastAsia="宋体" w:cs="Times New Roman"/>
                      <w:color w:val="auto"/>
                      <w:sz w:val="21"/>
                      <w:szCs w:val="21"/>
                      <w:highlight w:val="none"/>
                      <w:shd w:val="clear" w:color="auto" w:fill="FFFFFF"/>
                      <w:vertAlign w:val="subscript"/>
                      <w:lang w:val="en-US" w:eastAsia="zh-CN"/>
                    </w:rPr>
                    <w:t>6</w:t>
                  </w:r>
                  <w:r>
                    <w:rPr>
                      <w:rFonts w:hint="eastAsia" w:ascii="Times New Roman" w:hAnsi="Times New Roman" w:eastAsia="宋体" w:cs="Times New Roman"/>
                      <w:color w:val="auto"/>
                      <w:sz w:val="21"/>
                      <w:szCs w:val="21"/>
                      <w:highlight w:val="none"/>
                      <w:shd w:val="clear" w:color="auto" w:fill="FFFFFF"/>
                      <w:lang w:val="en-US" w:eastAsia="zh-CN"/>
                    </w:rPr>
                    <w:t>OS，分子量：78.13 g/mol；CAS号：67-68-5，外观：无色澄清液体，；熔点范围：16 - 19 ℃，沸点：189℃；相对密度：1.1g/mL；蒸汽密度:2.70-(空气=1)；</w:t>
                  </w:r>
                </w:p>
              </w:tc>
              <w:tc>
                <w:tcPr>
                  <w:tcW w:w="863"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E01554E">
                  <w:pPr>
                    <w:keepNext w:val="0"/>
                    <w:keepLines w:val="0"/>
                    <w:pageBreakBefore w:val="0"/>
                    <w:widowControl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无资料</w:t>
                  </w:r>
                </w:p>
              </w:tc>
              <w:tc>
                <w:tcPr>
                  <w:tcW w:w="1058" w:type="pct"/>
                  <w:tcBorders>
                    <w:top w:val="single" w:color="auto" w:sz="6" w:space="0"/>
                    <w:left w:val="single" w:color="auto" w:sz="6" w:space="0"/>
                    <w:bottom w:val="single" w:color="auto" w:sz="6" w:space="0"/>
                  </w:tcBorders>
                  <w:noWrap w:val="0"/>
                  <w:tcMar>
                    <w:top w:w="0" w:type="dxa"/>
                    <w:left w:w="0" w:type="dxa"/>
                    <w:bottom w:w="0" w:type="dxa"/>
                    <w:right w:w="0" w:type="dxa"/>
                  </w:tcMar>
                  <w:vAlign w:val="center"/>
                </w:tcPr>
                <w:p w14:paraId="19D189AD">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shd w:val="clear" w:color="auto" w:fill="FFFFFF"/>
                      <w:lang w:val="en-US" w:eastAsia="zh-CN"/>
                    </w:rPr>
                  </w:pPr>
                  <w:r>
                    <w:rPr>
                      <w:rFonts w:hint="default" w:ascii="Times New Roman" w:hAnsi="Times New Roman" w:eastAsia="宋体" w:cs="Times New Roman"/>
                      <w:color w:val="auto"/>
                      <w:sz w:val="21"/>
                      <w:szCs w:val="21"/>
                      <w:highlight w:val="none"/>
                      <w:shd w:val="clear" w:color="auto" w:fill="FFFFFF"/>
                    </w:rPr>
                    <w:t>LD</w:t>
                  </w:r>
                  <w:r>
                    <w:rPr>
                      <w:rFonts w:hint="default" w:ascii="Times New Roman" w:hAnsi="Times New Roman" w:eastAsia="宋体" w:cs="Times New Roman"/>
                      <w:color w:val="auto"/>
                      <w:sz w:val="21"/>
                      <w:szCs w:val="21"/>
                      <w:highlight w:val="none"/>
                      <w:shd w:val="clear" w:color="auto" w:fill="FFFFFF"/>
                      <w:vertAlign w:val="subscript"/>
                    </w:rPr>
                    <w:t>50</w:t>
                  </w:r>
                  <w:r>
                    <w:rPr>
                      <w:rFonts w:hint="default" w:ascii="Times New Roman" w:hAnsi="Times New Roman" w:eastAsia="宋体" w:cs="Times New Roman"/>
                      <w:color w:val="auto"/>
                      <w:sz w:val="21"/>
                      <w:szCs w:val="21"/>
                      <w:highlight w:val="none"/>
                      <w:shd w:val="clear" w:color="auto" w:fill="FFFFFF"/>
                    </w:rPr>
                    <w:t>：</w:t>
                  </w:r>
                  <w:r>
                    <w:rPr>
                      <w:rFonts w:hint="eastAsia" w:ascii="Times New Roman" w:hAnsi="Times New Roman" w:eastAsia="宋体" w:cs="Times New Roman"/>
                      <w:color w:val="auto"/>
                      <w:sz w:val="21"/>
                      <w:szCs w:val="21"/>
                      <w:highlight w:val="none"/>
                      <w:shd w:val="clear" w:color="auto" w:fill="FFFFFF"/>
                      <w:lang w:val="en-US" w:eastAsia="zh-CN"/>
                    </w:rPr>
                    <w:t>大鼠经口-雄性和雌性-23800mg/kg</w:t>
                  </w:r>
                </w:p>
                <w:p w14:paraId="590ACA62">
                  <w:pPr>
                    <w:keepNext w:val="0"/>
                    <w:keepLines w:val="0"/>
                    <w:pageBreakBefore w:val="0"/>
                    <w:suppressLineNumbers w:val="0"/>
                    <w:wordWrap/>
                    <w:bidi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shd w:val="clear" w:color="auto" w:fill="FFFFFF"/>
                      <w:lang w:val="en-US" w:eastAsia="zh-CN"/>
                    </w:rPr>
                  </w:pPr>
                  <w:r>
                    <w:rPr>
                      <w:rFonts w:hint="default" w:ascii="Times New Roman" w:hAnsi="Times New Roman" w:eastAsia="宋体" w:cs="Times New Roman"/>
                      <w:color w:val="auto"/>
                      <w:sz w:val="21"/>
                      <w:szCs w:val="21"/>
                      <w:highlight w:val="none"/>
                      <w:shd w:val="clear" w:color="auto" w:fill="FFFFFF"/>
                    </w:rPr>
                    <w:t>LC</w:t>
                  </w:r>
                  <w:r>
                    <w:rPr>
                      <w:rFonts w:hint="eastAsia" w:ascii="Times New Roman" w:hAnsi="Times New Roman" w:eastAsia="宋体" w:cs="Times New Roman"/>
                      <w:color w:val="auto"/>
                      <w:sz w:val="21"/>
                      <w:szCs w:val="21"/>
                      <w:highlight w:val="none"/>
                      <w:shd w:val="clear" w:color="auto" w:fill="FFFFFF"/>
                      <w:vertAlign w:val="subscript"/>
                      <w:lang w:val="en-US" w:eastAsia="zh-CN"/>
                    </w:rPr>
                    <w:t>0</w:t>
                  </w:r>
                  <w:r>
                    <w:rPr>
                      <w:rFonts w:hint="default" w:ascii="Times New Roman" w:hAnsi="Times New Roman" w:eastAsia="宋体" w:cs="Times New Roman"/>
                      <w:color w:val="auto"/>
                      <w:sz w:val="21"/>
                      <w:szCs w:val="21"/>
                      <w:highlight w:val="none"/>
                      <w:shd w:val="clear" w:color="auto" w:fill="FFFFFF"/>
                    </w:rPr>
                    <w:t>：</w:t>
                  </w:r>
                  <w:r>
                    <w:rPr>
                      <w:rFonts w:hint="eastAsia" w:ascii="Times New Roman" w:hAnsi="Times New Roman" w:eastAsia="宋体" w:cs="Times New Roman"/>
                      <w:color w:val="auto"/>
                      <w:sz w:val="21"/>
                      <w:szCs w:val="21"/>
                      <w:highlight w:val="none"/>
                      <w:shd w:val="clear" w:color="auto" w:fill="FFFFFF"/>
                      <w:lang w:val="en-US" w:eastAsia="zh-CN"/>
                    </w:rPr>
                    <w:t>大鼠吸入-雌性和雄性-4h-＞5.33mg/L</w:t>
                  </w:r>
                </w:p>
                <w:p w14:paraId="26DDD38B">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shd w:val="clear" w:color="auto" w:fill="FFFFFF"/>
                      <w:lang w:val="en-US" w:eastAsia="zh-CN"/>
                    </w:rPr>
                  </w:pPr>
                  <w:r>
                    <w:rPr>
                      <w:rFonts w:hint="eastAsia" w:ascii="Times New Roman" w:hAnsi="Times New Roman" w:eastAsia="宋体" w:cs="Times New Roman"/>
                      <w:color w:val="auto"/>
                      <w:sz w:val="21"/>
                      <w:szCs w:val="21"/>
                      <w:highlight w:val="none"/>
                      <w:shd w:val="clear" w:color="auto" w:fill="FFFFFF"/>
                      <w:lang w:val="en-US" w:eastAsia="zh-CN"/>
                    </w:rPr>
                    <w:t>LD</w:t>
                  </w:r>
                  <w:r>
                    <w:rPr>
                      <w:rFonts w:hint="eastAsia" w:ascii="Times New Roman" w:hAnsi="Times New Roman" w:eastAsia="宋体" w:cs="Times New Roman"/>
                      <w:color w:val="auto"/>
                      <w:sz w:val="21"/>
                      <w:szCs w:val="21"/>
                      <w:highlight w:val="none"/>
                      <w:shd w:val="clear" w:color="auto" w:fill="FFFFFF"/>
                      <w:vertAlign w:val="subscript"/>
                      <w:lang w:val="en-US" w:eastAsia="zh-CN"/>
                    </w:rPr>
                    <w:t>50</w:t>
                  </w:r>
                  <w:r>
                    <w:rPr>
                      <w:rFonts w:hint="eastAsia" w:ascii="Times New Roman" w:hAnsi="Times New Roman" w:eastAsia="宋体" w:cs="Times New Roman"/>
                      <w:color w:val="auto"/>
                      <w:sz w:val="21"/>
                      <w:szCs w:val="21"/>
                      <w:highlight w:val="none"/>
                      <w:shd w:val="clear" w:color="auto" w:fill="FFFFFF"/>
                      <w:vertAlign w:val="baseline"/>
                      <w:lang w:val="en-US" w:eastAsia="zh-CN"/>
                    </w:rPr>
                    <w:t>大鼠经皮-雄性和雌性-40000mg/kg</w:t>
                  </w:r>
                </w:p>
              </w:tc>
            </w:tr>
            <w:tr w14:paraId="3B4451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1017" w:hRule="atLeast"/>
                <w:jc w:val="center"/>
              </w:trPr>
              <w:tc>
                <w:tcPr>
                  <w:tcW w:w="957" w:type="pct"/>
                  <w:tcBorders>
                    <w:top w:val="single" w:color="auto" w:sz="6" w:space="0"/>
                    <w:bottom w:val="single" w:color="auto" w:sz="4" w:space="0"/>
                    <w:right w:val="single" w:color="auto" w:sz="6" w:space="0"/>
                  </w:tcBorders>
                  <w:noWrap w:val="0"/>
                  <w:tcMar>
                    <w:top w:w="0" w:type="dxa"/>
                    <w:left w:w="0" w:type="dxa"/>
                    <w:bottom w:w="0" w:type="dxa"/>
                    <w:right w:w="0" w:type="dxa"/>
                  </w:tcMar>
                  <w:vAlign w:val="center"/>
                </w:tcPr>
                <w:p w14:paraId="14F124E6">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仿宋"/>
                      <w:i w:val="0"/>
                      <w:iCs w:val="0"/>
                      <w:color w:val="000000"/>
                      <w:kern w:val="0"/>
                      <w:sz w:val="21"/>
                      <w:szCs w:val="21"/>
                      <w:highlight w:val="none"/>
                      <w:u w:val="none"/>
                      <w:lang w:val="en-US" w:eastAsia="zh-CN" w:bidi="ar"/>
                    </w:rPr>
                    <w:t>二氧化碳-12C</w:t>
                  </w:r>
                </w:p>
              </w:tc>
              <w:tc>
                <w:tcPr>
                  <w:tcW w:w="2121"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322654FD">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shd w:val="clear" w:color="auto" w:fill="FFFFFF"/>
                      <w:lang w:val="en-US" w:eastAsia="zh-CN"/>
                    </w:rPr>
                  </w:pPr>
                  <w:r>
                    <w:rPr>
                      <w:rFonts w:hint="eastAsia" w:ascii="Times New Roman" w:hAnsi="Times New Roman" w:eastAsia="宋体" w:cs="Times New Roman"/>
                      <w:b w:val="0"/>
                      <w:bCs w:val="0"/>
                      <w:color w:val="auto"/>
                      <w:sz w:val="21"/>
                      <w:szCs w:val="21"/>
                      <w:highlight w:val="none"/>
                      <w:shd w:val="clear" w:color="auto" w:fill="FFFFFF"/>
                      <w:lang w:val="en-US" w:eastAsia="zh-CN"/>
                    </w:rPr>
                    <w:t>俗名：碳酸酐；分子式：</w:t>
                  </w:r>
                  <w:r>
                    <w:rPr>
                      <w:rFonts w:hint="eastAsia" w:ascii="Times New Roman" w:hAnsi="Times New Roman" w:eastAsia="宋体" w:cs="Times New Roman"/>
                      <w:b w:val="0"/>
                      <w:bCs w:val="0"/>
                      <w:color w:val="auto"/>
                      <w:sz w:val="21"/>
                      <w:szCs w:val="21"/>
                      <w:highlight w:val="none"/>
                      <w:shd w:val="clear" w:color="auto" w:fill="FFFFFF"/>
                      <w:vertAlign w:val="subscript"/>
                      <w:lang w:val="en-US" w:eastAsia="zh-CN"/>
                    </w:rPr>
                    <w:t>12</w:t>
                  </w:r>
                  <w:r>
                    <w:rPr>
                      <w:rFonts w:hint="eastAsia" w:ascii="Times New Roman" w:hAnsi="Times New Roman" w:eastAsia="宋体" w:cs="Times New Roman"/>
                      <w:b w:val="0"/>
                      <w:bCs w:val="0"/>
                      <w:color w:val="auto"/>
                      <w:sz w:val="21"/>
                      <w:szCs w:val="21"/>
                      <w:highlight w:val="none"/>
                      <w:shd w:val="clear" w:color="auto" w:fill="FFFFFF"/>
                      <w:lang w:val="en-US" w:eastAsia="zh-CN"/>
                    </w:rPr>
                    <w:t>CO</w:t>
                  </w:r>
                  <w:r>
                    <w:rPr>
                      <w:rFonts w:hint="eastAsia" w:ascii="Times New Roman" w:hAnsi="Times New Roman" w:eastAsia="宋体" w:cs="Times New Roman"/>
                      <w:b w:val="0"/>
                      <w:bCs w:val="0"/>
                      <w:color w:val="auto"/>
                      <w:sz w:val="21"/>
                      <w:szCs w:val="21"/>
                      <w:highlight w:val="none"/>
                      <w:shd w:val="clear" w:color="auto" w:fill="FFFFFF"/>
                      <w:vertAlign w:val="subscript"/>
                      <w:lang w:val="en-US" w:eastAsia="zh-CN"/>
                    </w:rPr>
                    <w:t>2</w:t>
                  </w:r>
                  <w:r>
                    <w:rPr>
                      <w:rFonts w:hint="eastAsia" w:ascii="Times New Roman" w:hAnsi="Times New Roman" w:eastAsia="宋体" w:cs="Times New Roman"/>
                      <w:b w:val="0"/>
                      <w:bCs w:val="0"/>
                      <w:color w:val="auto"/>
                      <w:sz w:val="21"/>
                      <w:szCs w:val="21"/>
                      <w:highlight w:val="none"/>
                      <w:shd w:val="clear" w:color="auto" w:fill="FFFFFF"/>
                      <w:vertAlign w:val="baseline"/>
                      <w:lang w:val="en-US" w:eastAsia="zh-CN"/>
                    </w:rPr>
                    <w:t>；</w:t>
                  </w:r>
                  <w:r>
                    <w:rPr>
                      <w:rFonts w:hint="eastAsia" w:ascii="Times New Roman" w:hAnsi="Times New Roman" w:eastAsia="宋体" w:cs="Times New Roman"/>
                      <w:color w:val="auto"/>
                      <w:sz w:val="21"/>
                      <w:szCs w:val="21"/>
                      <w:highlight w:val="none"/>
                      <w:shd w:val="clear" w:color="auto" w:fill="FFFFFF"/>
                      <w:lang w:val="en-US" w:eastAsia="zh-CN"/>
                    </w:rPr>
                    <w:t>分子量：44 g/mol；CAS号：124-38-9；蒸气压:57249hPa在20℃；蒸汽密度：1.52-(空气=1)</w:t>
                  </w:r>
                </w:p>
              </w:tc>
              <w:tc>
                <w:tcPr>
                  <w:tcW w:w="863"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3628B18B">
                  <w:pPr>
                    <w:keepNext w:val="0"/>
                    <w:keepLines w:val="0"/>
                    <w:pageBreakBefore w:val="0"/>
                    <w:widowControl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可爆炸</w:t>
                  </w:r>
                </w:p>
              </w:tc>
              <w:tc>
                <w:tcPr>
                  <w:tcW w:w="1058" w:type="pct"/>
                  <w:tcBorders>
                    <w:top w:val="single" w:color="auto" w:sz="6" w:space="0"/>
                    <w:left w:val="single" w:color="auto" w:sz="6" w:space="0"/>
                    <w:bottom w:val="single" w:color="auto" w:sz="6" w:space="0"/>
                  </w:tcBorders>
                  <w:noWrap w:val="0"/>
                  <w:tcMar>
                    <w:top w:w="0" w:type="dxa"/>
                    <w:left w:w="0" w:type="dxa"/>
                    <w:bottom w:w="0" w:type="dxa"/>
                    <w:right w:w="0" w:type="dxa"/>
                  </w:tcMar>
                  <w:vAlign w:val="center"/>
                </w:tcPr>
                <w:p w14:paraId="6A1B70C7">
                  <w:pPr>
                    <w:keepNext w:val="0"/>
                    <w:keepLines w:val="0"/>
                    <w:pageBreakBefore w:val="0"/>
                    <w:suppressLineNumbers w:val="0"/>
                    <w:wordWrap/>
                    <w:bidi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auto"/>
                      <w:sz w:val="21"/>
                      <w:szCs w:val="21"/>
                      <w:highlight w:val="none"/>
                      <w:shd w:val="clear" w:color="auto" w:fill="FFFFFF"/>
                      <w:lang w:val="en-US" w:eastAsia="zh-CN"/>
                    </w:rPr>
                  </w:pPr>
                  <w:r>
                    <w:rPr>
                      <w:rFonts w:hint="eastAsia" w:ascii="Times New Roman" w:hAnsi="Times New Roman" w:eastAsia="宋体" w:cs="Times New Roman"/>
                      <w:b w:val="0"/>
                      <w:bCs w:val="0"/>
                      <w:color w:val="auto"/>
                      <w:sz w:val="21"/>
                      <w:szCs w:val="21"/>
                      <w:highlight w:val="none"/>
                      <w:shd w:val="clear" w:color="auto" w:fill="FFFFFF"/>
                      <w:lang w:val="en-US" w:eastAsia="zh-CN"/>
                    </w:rPr>
                    <w:t>无资料</w:t>
                  </w:r>
                </w:p>
              </w:tc>
            </w:tr>
            <w:tr w14:paraId="1A4D70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1317" w:hRule="atLeast"/>
                <w:jc w:val="center"/>
              </w:trPr>
              <w:tc>
                <w:tcPr>
                  <w:tcW w:w="957" w:type="pct"/>
                  <w:tcBorders>
                    <w:top w:val="single" w:color="auto" w:sz="4" w:space="0"/>
                    <w:bottom w:val="single" w:color="auto" w:sz="4" w:space="0"/>
                    <w:right w:val="single" w:color="auto" w:sz="6" w:space="0"/>
                  </w:tcBorders>
                  <w:noWrap w:val="0"/>
                  <w:tcMar>
                    <w:top w:w="0" w:type="dxa"/>
                    <w:left w:w="0" w:type="dxa"/>
                    <w:bottom w:w="0" w:type="dxa"/>
                    <w:right w:w="0" w:type="dxa"/>
                  </w:tcMar>
                  <w:vAlign w:val="center"/>
                </w:tcPr>
                <w:p w14:paraId="65B5E105">
                  <w:pPr>
                    <w:keepNext w:val="0"/>
                    <w:keepLines w:val="0"/>
                    <w:pageBreakBefore w:val="0"/>
                    <w:suppressLineNumbers w:val="0"/>
                    <w:wordWrap/>
                    <w:bidi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仿宋"/>
                      <w:i w:val="0"/>
                      <w:iCs w:val="0"/>
                      <w:color w:val="000000"/>
                      <w:kern w:val="0"/>
                      <w:sz w:val="21"/>
                      <w:szCs w:val="21"/>
                      <w:highlight w:val="none"/>
                      <w:u w:val="none"/>
                      <w:lang w:val="en-US" w:eastAsia="zh-CN" w:bidi="ar"/>
                    </w:rPr>
                    <w:t>甲醇</w:t>
                  </w:r>
                </w:p>
              </w:tc>
              <w:tc>
                <w:tcPr>
                  <w:tcW w:w="2121"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1C0EFD17">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eastAsia" w:ascii="Times New Roman" w:hAnsi="Times New Roman" w:eastAsia="宋体" w:cs="Times New Roman"/>
                      <w:color w:val="auto"/>
                      <w:sz w:val="21"/>
                      <w:szCs w:val="21"/>
                      <w:highlight w:val="none"/>
                      <w:shd w:val="clear" w:color="auto" w:fill="FFFFFF"/>
                      <w:lang w:val="en-US" w:eastAsia="zh-CN"/>
                    </w:rPr>
                    <w:t>俗名：Methyl alcohol，分子量：32.04g/mol；CAS号：67-56-1，外观：无色液体；熔点：-98℃；初沸点：64.7℃；蒸汽密度1.11</w:t>
                  </w:r>
                </w:p>
              </w:tc>
              <w:tc>
                <w:tcPr>
                  <w:tcW w:w="863"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3EF08CE">
                  <w:pPr>
                    <w:keepNext w:val="0"/>
                    <w:keepLines w:val="0"/>
                    <w:pageBreakBefore w:val="0"/>
                    <w:widowControl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易燃</w:t>
                  </w:r>
                </w:p>
              </w:tc>
              <w:tc>
                <w:tcPr>
                  <w:tcW w:w="1058" w:type="pct"/>
                  <w:tcBorders>
                    <w:top w:val="single" w:color="auto" w:sz="6" w:space="0"/>
                    <w:left w:val="single" w:color="auto" w:sz="6" w:space="0"/>
                    <w:bottom w:val="single" w:color="auto" w:sz="6" w:space="0"/>
                  </w:tcBorders>
                  <w:noWrap w:val="0"/>
                  <w:tcMar>
                    <w:top w:w="0" w:type="dxa"/>
                    <w:left w:w="0" w:type="dxa"/>
                    <w:bottom w:w="0" w:type="dxa"/>
                    <w:right w:w="0" w:type="dxa"/>
                  </w:tcMar>
                  <w:vAlign w:val="center"/>
                </w:tcPr>
                <w:p w14:paraId="504524CB">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eastAsia" w:ascii="Times New Roman" w:hAnsi="Times New Roman" w:eastAsia="宋体" w:cs="Times New Roman"/>
                      <w:b w:val="0"/>
                      <w:bCs w:val="0"/>
                      <w:color w:val="auto"/>
                      <w:sz w:val="21"/>
                      <w:szCs w:val="21"/>
                      <w:highlight w:val="none"/>
                      <w:shd w:val="clear" w:color="auto" w:fill="FFFFFF"/>
                      <w:lang w:val="en-US" w:eastAsia="zh-CN"/>
                    </w:rPr>
                    <w:t>LDLo：人经口-143mg/kg；LC</w:t>
                  </w:r>
                  <w:r>
                    <w:rPr>
                      <w:rFonts w:hint="eastAsia" w:ascii="Times New Roman" w:hAnsi="Times New Roman" w:eastAsia="宋体" w:cs="Times New Roman"/>
                      <w:b w:val="0"/>
                      <w:bCs w:val="0"/>
                      <w:color w:val="auto"/>
                      <w:sz w:val="21"/>
                      <w:szCs w:val="21"/>
                      <w:highlight w:val="none"/>
                      <w:shd w:val="clear" w:color="auto" w:fill="FFFFFF"/>
                      <w:vertAlign w:val="subscript"/>
                      <w:lang w:val="en-US" w:eastAsia="zh-CN"/>
                    </w:rPr>
                    <w:t>50-</w:t>
                  </w:r>
                  <w:r>
                    <w:rPr>
                      <w:rFonts w:hint="eastAsia" w:ascii="Times New Roman" w:hAnsi="Times New Roman" w:eastAsia="宋体" w:cs="Times New Roman"/>
                      <w:b w:val="0"/>
                      <w:bCs w:val="0"/>
                      <w:color w:val="auto"/>
                      <w:sz w:val="21"/>
                      <w:szCs w:val="21"/>
                      <w:highlight w:val="none"/>
                      <w:shd w:val="clear" w:color="auto" w:fill="FFFFFF"/>
                      <w:vertAlign w:val="baseline"/>
                      <w:lang w:val="en-US" w:eastAsia="zh-CN"/>
                    </w:rPr>
                    <w:t>大鼠吸入-雄性和雌性-4h-131.25mg/L</w:t>
                  </w:r>
                </w:p>
              </w:tc>
            </w:tr>
            <w:tr w14:paraId="7BE22F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1362" w:hRule="atLeast"/>
                <w:jc w:val="center"/>
              </w:trPr>
              <w:tc>
                <w:tcPr>
                  <w:tcW w:w="957" w:type="pct"/>
                  <w:tcBorders>
                    <w:top w:val="single" w:color="auto" w:sz="4" w:space="0"/>
                    <w:bottom w:val="single" w:color="auto" w:sz="4" w:space="0"/>
                    <w:right w:val="single" w:color="auto" w:sz="6" w:space="0"/>
                  </w:tcBorders>
                  <w:noWrap w:val="0"/>
                  <w:tcMar>
                    <w:top w:w="0" w:type="dxa"/>
                    <w:left w:w="0" w:type="dxa"/>
                    <w:bottom w:w="0" w:type="dxa"/>
                    <w:right w:w="0" w:type="dxa"/>
                  </w:tcMar>
                  <w:vAlign w:val="center"/>
                </w:tcPr>
                <w:p w14:paraId="6E7E19C8">
                  <w:pPr>
                    <w:keepNext w:val="0"/>
                    <w:keepLines w:val="0"/>
                    <w:pageBreakBefore w:val="0"/>
                    <w:suppressLineNumbers w:val="0"/>
                    <w:wordWrap/>
                    <w:bidi w:val="0"/>
                    <w:adjustRightInd w:val="0"/>
                    <w:snapToGrid w:val="0"/>
                    <w:spacing w:before="0" w:beforeAutospacing="0" w:after="0" w:afterAutospacing="0"/>
                    <w:ind w:left="0" w:right="0"/>
                    <w:jc w:val="center"/>
                    <w:rPr>
                      <w:rFonts w:hint="eastAsia" w:ascii="Times New Roman" w:hAnsi="Times New Roman" w:eastAsia="宋体" w:cs="仿宋"/>
                      <w:i w:val="0"/>
                      <w:iCs w:val="0"/>
                      <w:color w:val="000000"/>
                      <w:kern w:val="0"/>
                      <w:sz w:val="21"/>
                      <w:szCs w:val="21"/>
                      <w:highlight w:val="none"/>
                      <w:u w:val="none"/>
                      <w:lang w:val="en-US" w:eastAsia="zh-CN" w:bidi="ar"/>
                    </w:rPr>
                  </w:pPr>
                  <w:r>
                    <w:rPr>
                      <w:rFonts w:hint="eastAsia" w:ascii="Times New Roman" w:hAnsi="Times New Roman" w:eastAsia="宋体" w:cs="仿宋"/>
                      <w:i w:val="0"/>
                      <w:iCs w:val="0"/>
                      <w:color w:val="000000"/>
                      <w:kern w:val="0"/>
                      <w:sz w:val="21"/>
                      <w:szCs w:val="22"/>
                      <w:highlight w:val="none"/>
                      <w:u w:val="none"/>
                      <w:lang w:val="en-US" w:eastAsia="zh-CN" w:bidi="ar"/>
                    </w:rPr>
                    <w:t>氯化钠</w:t>
                  </w:r>
                </w:p>
              </w:tc>
              <w:tc>
                <w:tcPr>
                  <w:tcW w:w="2121"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E1E8162">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eastAsia" w:ascii="Times New Roman" w:hAnsi="Times New Roman" w:eastAsia="宋体" w:cs="Times New Roman"/>
                      <w:b w:val="0"/>
                      <w:bCs w:val="0"/>
                      <w:color w:val="auto"/>
                      <w:sz w:val="21"/>
                      <w:szCs w:val="21"/>
                      <w:highlight w:val="none"/>
                      <w:shd w:val="clear" w:color="auto" w:fill="FFFFFF"/>
                      <w:lang w:val="en-US" w:eastAsia="zh-CN"/>
                    </w:rPr>
                    <w:t>纯品，分子式：ClNa，分子量：58.44g/mol，CAS号：7647-14-15，外观：无色固体，熔点：801℃；沸点：1413摄氏度；蒸气压：1.00mmHg在865℃，相对密度：2.1650g/cm</w:t>
                  </w:r>
                  <w:r>
                    <w:rPr>
                      <w:rFonts w:hint="eastAsia" w:ascii="Times New Roman" w:hAnsi="Times New Roman" w:eastAsia="宋体" w:cs="Times New Roman"/>
                      <w:b w:val="0"/>
                      <w:bCs w:val="0"/>
                      <w:color w:val="auto"/>
                      <w:sz w:val="21"/>
                      <w:szCs w:val="21"/>
                      <w:highlight w:val="none"/>
                      <w:shd w:val="clear" w:color="auto" w:fill="FFFFFF"/>
                      <w:vertAlign w:val="superscript"/>
                      <w:lang w:val="en-US" w:eastAsia="zh-CN"/>
                    </w:rPr>
                    <w:t>3</w:t>
                  </w:r>
                </w:p>
              </w:tc>
              <w:tc>
                <w:tcPr>
                  <w:tcW w:w="863"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43780943">
                  <w:pPr>
                    <w:keepNext w:val="0"/>
                    <w:keepLines w:val="0"/>
                    <w:pageBreakBefore w:val="0"/>
                    <w:widowControl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无资料</w:t>
                  </w:r>
                </w:p>
              </w:tc>
              <w:tc>
                <w:tcPr>
                  <w:tcW w:w="1058" w:type="pct"/>
                  <w:tcBorders>
                    <w:top w:val="single" w:color="auto" w:sz="6" w:space="0"/>
                    <w:left w:val="single" w:color="auto" w:sz="6" w:space="0"/>
                    <w:bottom w:val="single" w:color="auto" w:sz="6" w:space="0"/>
                  </w:tcBorders>
                  <w:noWrap w:val="0"/>
                  <w:tcMar>
                    <w:top w:w="0" w:type="dxa"/>
                    <w:left w:w="0" w:type="dxa"/>
                    <w:bottom w:w="0" w:type="dxa"/>
                    <w:right w:w="0" w:type="dxa"/>
                  </w:tcMar>
                  <w:vAlign w:val="center"/>
                </w:tcPr>
                <w:p w14:paraId="22611104">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shd w:val="clear" w:color="auto" w:fill="FFFFFF"/>
                      <w:lang w:val="en-US" w:eastAsia="zh-CN"/>
                    </w:rPr>
                  </w:pPr>
                  <w:r>
                    <w:rPr>
                      <w:rFonts w:hint="default" w:ascii="Times New Roman" w:hAnsi="Times New Roman" w:eastAsia="宋体" w:cs="Times New Roman"/>
                      <w:color w:val="auto"/>
                      <w:sz w:val="21"/>
                      <w:szCs w:val="21"/>
                      <w:highlight w:val="none"/>
                      <w:shd w:val="clear" w:color="auto" w:fill="FFFFFF"/>
                    </w:rPr>
                    <w:t>LD</w:t>
                  </w:r>
                  <w:r>
                    <w:rPr>
                      <w:rFonts w:hint="default" w:ascii="Times New Roman" w:hAnsi="Times New Roman" w:eastAsia="宋体" w:cs="Times New Roman"/>
                      <w:color w:val="auto"/>
                      <w:sz w:val="21"/>
                      <w:szCs w:val="21"/>
                      <w:highlight w:val="none"/>
                      <w:shd w:val="clear" w:color="auto" w:fill="FFFFFF"/>
                      <w:vertAlign w:val="subscript"/>
                    </w:rPr>
                    <w:t>50</w:t>
                  </w:r>
                  <w:r>
                    <w:rPr>
                      <w:rFonts w:hint="default" w:ascii="Times New Roman" w:hAnsi="Times New Roman" w:eastAsia="宋体" w:cs="Times New Roman"/>
                      <w:color w:val="auto"/>
                      <w:sz w:val="21"/>
                      <w:szCs w:val="21"/>
                      <w:highlight w:val="none"/>
                      <w:shd w:val="clear" w:color="auto" w:fill="FFFFFF"/>
                    </w:rPr>
                    <w:t>：</w:t>
                  </w:r>
                  <w:r>
                    <w:rPr>
                      <w:rFonts w:hint="eastAsia" w:ascii="Times New Roman" w:hAnsi="Times New Roman" w:eastAsia="宋体" w:cs="Times New Roman"/>
                      <w:color w:val="auto"/>
                      <w:sz w:val="21"/>
                      <w:szCs w:val="21"/>
                      <w:highlight w:val="none"/>
                      <w:shd w:val="clear" w:color="auto" w:fill="FFFFFF"/>
                      <w:lang w:val="en-US" w:eastAsia="zh-CN"/>
                    </w:rPr>
                    <w:t>大鼠经口-3550mg/kg</w:t>
                  </w:r>
                </w:p>
                <w:p w14:paraId="1B33A000">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shd w:val="clear" w:color="auto" w:fill="FFFFFF"/>
                      <w:lang w:val="en-US" w:eastAsia="zh-CN"/>
                    </w:rPr>
                  </w:pPr>
                  <w:r>
                    <w:rPr>
                      <w:rFonts w:hint="default" w:ascii="Times New Roman" w:hAnsi="Times New Roman" w:eastAsia="宋体" w:cs="Times New Roman"/>
                      <w:color w:val="auto"/>
                      <w:sz w:val="21"/>
                      <w:szCs w:val="21"/>
                      <w:highlight w:val="none"/>
                      <w:shd w:val="clear" w:color="auto" w:fill="FFFFFF"/>
                    </w:rPr>
                    <w:t>LC</w:t>
                  </w:r>
                  <w:r>
                    <w:rPr>
                      <w:rFonts w:hint="eastAsia" w:ascii="Times New Roman" w:hAnsi="Times New Roman" w:eastAsia="宋体" w:cs="Times New Roman"/>
                      <w:color w:val="auto"/>
                      <w:sz w:val="21"/>
                      <w:szCs w:val="21"/>
                      <w:highlight w:val="none"/>
                      <w:shd w:val="clear" w:color="auto" w:fill="FFFFFF"/>
                      <w:vertAlign w:val="subscript"/>
                      <w:lang w:val="en-US" w:eastAsia="zh-CN"/>
                    </w:rPr>
                    <w:t>0</w:t>
                  </w:r>
                  <w:r>
                    <w:rPr>
                      <w:rFonts w:hint="default" w:ascii="Times New Roman" w:hAnsi="Times New Roman" w:eastAsia="宋体" w:cs="Times New Roman"/>
                      <w:color w:val="auto"/>
                      <w:sz w:val="21"/>
                      <w:szCs w:val="21"/>
                      <w:highlight w:val="none"/>
                      <w:shd w:val="clear" w:color="auto" w:fill="FFFFFF"/>
                    </w:rPr>
                    <w:t>：</w:t>
                  </w:r>
                  <w:r>
                    <w:rPr>
                      <w:rFonts w:hint="eastAsia" w:ascii="Times New Roman" w:hAnsi="Times New Roman" w:eastAsia="宋体" w:cs="Times New Roman"/>
                      <w:color w:val="auto"/>
                      <w:sz w:val="21"/>
                      <w:szCs w:val="21"/>
                      <w:highlight w:val="none"/>
                      <w:shd w:val="clear" w:color="auto" w:fill="FFFFFF"/>
                      <w:lang w:val="en-US" w:eastAsia="zh-CN"/>
                    </w:rPr>
                    <w:t>大鼠吸入-4h-＞4200mg/cm</w:t>
                  </w:r>
                  <w:r>
                    <w:rPr>
                      <w:rFonts w:hint="eastAsia" w:ascii="Times New Roman" w:hAnsi="Times New Roman" w:eastAsia="宋体" w:cs="Times New Roman"/>
                      <w:color w:val="auto"/>
                      <w:sz w:val="21"/>
                      <w:szCs w:val="21"/>
                      <w:highlight w:val="none"/>
                      <w:shd w:val="clear" w:color="auto" w:fill="FFFFFF"/>
                      <w:vertAlign w:val="superscript"/>
                      <w:lang w:val="en-US" w:eastAsia="zh-CN"/>
                    </w:rPr>
                    <w:t>3</w:t>
                  </w:r>
                </w:p>
                <w:p w14:paraId="14CE62C5">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shd w:val="clear" w:color="auto" w:fill="FFFFFF"/>
                    </w:rPr>
                  </w:pPr>
                  <w:r>
                    <w:rPr>
                      <w:rFonts w:hint="eastAsia" w:ascii="Times New Roman" w:hAnsi="Times New Roman" w:eastAsia="宋体" w:cs="Times New Roman"/>
                      <w:color w:val="auto"/>
                      <w:sz w:val="21"/>
                      <w:szCs w:val="21"/>
                      <w:highlight w:val="none"/>
                      <w:shd w:val="clear" w:color="auto" w:fill="FFFFFF"/>
                      <w:lang w:val="en-US" w:eastAsia="zh-CN"/>
                    </w:rPr>
                    <w:t>LD</w:t>
                  </w:r>
                  <w:r>
                    <w:rPr>
                      <w:rFonts w:hint="eastAsia" w:ascii="Times New Roman" w:hAnsi="Times New Roman" w:eastAsia="宋体" w:cs="Times New Roman"/>
                      <w:color w:val="auto"/>
                      <w:sz w:val="21"/>
                      <w:szCs w:val="21"/>
                      <w:highlight w:val="none"/>
                      <w:shd w:val="clear" w:color="auto" w:fill="FFFFFF"/>
                      <w:vertAlign w:val="subscript"/>
                      <w:lang w:val="en-US" w:eastAsia="zh-CN"/>
                    </w:rPr>
                    <w:t>50</w:t>
                  </w:r>
                  <w:r>
                    <w:rPr>
                      <w:rFonts w:hint="eastAsia" w:ascii="Times New Roman" w:hAnsi="Times New Roman" w:eastAsia="宋体" w:cs="Times New Roman"/>
                      <w:color w:val="auto"/>
                      <w:sz w:val="21"/>
                      <w:szCs w:val="21"/>
                      <w:highlight w:val="none"/>
                      <w:shd w:val="clear" w:color="auto" w:fill="FFFFFF"/>
                      <w:vertAlign w:val="baseline"/>
                      <w:lang w:val="en-US" w:eastAsia="zh-CN"/>
                    </w:rPr>
                    <w:t>家兔经皮＞10000mg/kg</w:t>
                  </w:r>
                </w:p>
              </w:tc>
            </w:tr>
            <w:tr w14:paraId="4E497B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1817" w:hRule="atLeast"/>
                <w:jc w:val="center"/>
              </w:trPr>
              <w:tc>
                <w:tcPr>
                  <w:tcW w:w="957" w:type="pct"/>
                  <w:tcBorders>
                    <w:top w:val="single" w:color="auto" w:sz="4" w:space="0"/>
                    <w:bottom w:val="single" w:color="auto" w:sz="4" w:space="0"/>
                    <w:right w:val="single" w:color="auto" w:sz="6" w:space="0"/>
                  </w:tcBorders>
                  <w:noWrap w:val="0"/>
                  <w:tcMar>
                    <w:top w:w="0" w:type="dxa"/>
                    <w:left w:w="0" w:type="dxa"/>
                    <w:bottom w:w="0" w:type="dxa"/>
                    <w:right w:w="0" w:type="dxa"/>
                  </w:tcMar>
                  <w:vAlign w:val="center"/>
                </w:tcPr>
                <w:p w14:paraId="3A5A7994">
                  <w:pPr>
                    <w:keepNext w:val="0"/>
                    <w:keepLines w:val="0"/>
                    <w:pageBreakBefore w:val="0"/>
                    <w:suppressLineNumbers w:val="0"/>
                    <w:wordWrap/>
                    <w:bidi w:val="0"/>
                    <w:adjustRightInd w:val="0"/>
                    <w:snapToGrid w:val="0"/>
                    <w:spacing w:before="0" w:beforeAutospacing="0" w:after="0" w:afterAutospacing="0"/>
                    <w:ind w:left="0" w:right="0"/>
                    <w:jc w:val="center"/>
                    <w:rPr>
                      <w:rFonts w:hint="eastAsia" w:ascii="Times New Roman" w:hAnsi="Times New Roman" w:eastAsia="宋体" w:cs="仿宋"/>
                      <w:i w:val="0"/>
                      <w:iCs w:val="0"/>
                      <w:color w:val="000000"/>
                      <w:kern w:val="0"/>
                      <w:sz w:val="21"/>
                      <w:szCs w:val="22"/>
                      <w:highlight w:val="none"/>
                      <w:u w:val="none"/>
                      <w:lang w:val="en-US" w:eastAsia="zh-CN" w:bidi="ar"/>
                    </w:rPr>
                  </w:pPr>
                  <w:r>
                    <w:rPr>
                      <w:rFonts w:hint="eastAsia" w:ascii="Times New Roman" w:hAnsi="Times New Roman" w:eastAsia="宋体" w:cs="仿宋"/>
                      <w:i w:val="0"/>
                      <w:iCs w:val="0"/>
                      <w:color w:val="000000"/>
                      <w:kern w:val="0"/>
                      <w:sz w:val="21"/>
                      <w:szCs w:val="21"/>
                      <w:highlight w:val="none"/>
                      <w:u w:val="none"/>
                      <w:lang w:val="en-US" w:eastAsia="zh-CN" w:bidi="ar"/>
                    </w:rPr>
                    <w:t>无水乙醇</w:t>
                  </w:r>
                </w:p>
              </w:tc>
              <w:tc>
                <w:tcPr>
                  <w:tcW w:w="2121"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EEDA392">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eastAsia" w:ascii="Times New Roman" w:hAnsi="Times New Roman" w:eastAsia="宋体" w:cs="Times New Roman"/>
                      <w:b w:val="0"/>
                      <w:bCs w:val="0"/>
                      <w:color w:val="auto"/>
                      <w:sz w:val="21"/>
                      <w:szCs w:val="21"/>
                      <w:highlight w:val="none"/>
                      <w:shd w:val="clear" w:color="auto" w:fill="FFFFFF"/>
                      <w:lang w:val="en-US" w:eastAsia="zh-CN"/>
                    </w:rPr>
                    <w:t>俗名：Ethyl alcohol，分子式：C</w:t>
                  </w:r>
                  <w:r>
                    <w:rPr>
                      <w:rFonts w:hint="eastAsia" w:ascii="Times New Roman" w:hAnsi="Times New Roman" w:eastAsia="宋体" w:cs="Times New Roman"/>
                      <w:b w:val="0"/>
                      <w:bCs w:val="0"/>
                      <w:color w:val="auto"/>
                      <w:sz w:val="21"/>
                      <w:szCs w:val="21"/>
                      <w:highlight w:val="none"/>
                      <w:shd w:val="clear" w:color="auto" w:fill="FFFFFF"/>
                      <w:vertAlign w:val="subscript"/>
                      <w:lang w:val="en-US" w:eastAsia="zh-CN"/>
                    </w:rPr>
                    <w:t>2</w:t>
                  </w:r>
                  <w:r>
                    <w:rPr>
                      <w:rFonts w:hint="eastAsia" w:ascii="Times New Roman" w:hAnsi="Times New Roman" w:eastAsia="宋体" w:cs="Times New Roman"/>
                      <w:b w:val="0"/>
                      <w:bCs w:val="0"/>
                      <w:color w:val="auto"/>
                      <w:sz w:val="21"/>
                      <w:szCs w:val="21"/>
                      <w:highlight w:val="none"/>
                      <w:shd w:val="clear" w:color="auto" w:fill="FFFFFF"/>
                      <w:lang w:val="en-US" w:eastAsia="zh-CN"/>
                    </w:rPr>
                    <w:t>H</w:t>
                  </w:r>
                  <w:r>
                    <w:rPr>
                      <w:rFonts w:hint="eastAsia" w:ascii="Times New Roman" w:hAnsi="Times New Roman" w:eastAsia="宋体" w:cs="Times New Roman"/>
                      <w:b w:val="0"/>
                      <w:bCs w:val="0"/>
                      <w:color w:val="auto"/>
                      <w:sz w:val="21"/>
                      <w:szCs w:val="21"/>
                      <w:highlight w:val="none"/>
                      <w:shd w:val="clear" w:color="auto" w:fill="FFFFFF"/>
                      <w:vertAlign w:val="subscript"/>
                      <w:lang w:val="en-US" w:eastAsia="zh-CN"/>
                    </w:rPr>
                    <w:t>6</w:t>
                  </w:r>
                  <w:r>
                    <w:rPr>
                      <w:rFonts w:hint="eastAsia" w:ascii="Times New Roman" w:hAnsi="Times New Roman" w:eastAsia="宋体" w:cs="Times New Roman"/>
                      <w:b w:val="0"/>
                      <w:bCs w:val="0"/>
                      <w:color w:val="auto"/>
                      <w:sz w:val="21"/>
                      <w:szCs w:val="21"/>
                      <w:highlight w:val="none"/>
                      <w:shd w:val="clear" w:color="auto" w:fill="FFFFFF"/>
                      <w:lang w:val="en-US" w:eastAsia="zh-CN"/>
                    </w:rPr>
                    <w:t>O，分子量：46.07g/mol；CAS号：64-17-5；外观：无色液体；具有刺激性气味；熔点：-114℃；沸点78℃；蒸汽密度1.6;密度/相对密度 0.789 g/mL 在 25℃</w:t>
                  </w:r>
                </w:p>
              </w:tc>
              <w:tc>
                <w:tcPr>
                  <w:tcW w:w="863"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4D4D1F1B">
                  <w:pPr>
                    <w:keepNext w:val="0"/>
                    <w:keepLines w:val="0"/>
                    <w:pageBreakBefore w:val="0"/>
                    <w:widowControl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易燃</w:t>
                  </w:r>
                </w:p>
              </w:tc>
              <w:tc>
                <w:tcPr>
                  <w:tcW w:w="1058" w:type="pct"/>
                  <w:tcBorders>
                    <w:top w:val="single" w:color="auto" w:sz="6" w:space="0"/>
                    <w:left w:val="single" w:color="auto" w:sz="6" w:space="0"/>
                    <w:bottom w:val="single" w:color="auto" w:sz="6" w:space="0"/>
                  </w:tcBorders>
                  <w:noWrap w:val="0"/>
                  <w:tcMar>
                    <w:top w:w="0" w:type="dxa"/>
                    <w:left w:w="0" w:type="dxa"/>
                    <w:bottom w:w="0" w:type="dxa"/>
                    <w:right w:w="0" w:type="dxa"/>
                  </w:tcMar>
                  <w:vAlign w:val="center"/>
                </w:tcPr>
                <w:p w14:paraId="45C634C7">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shd w:val="clear" w:color="auto" w:fill="FFFFFF"/>
                      <w:lang w:val="en-US" w:eastAsia="zh-CN"/>
                    </w:rPr>
                  </w:pPr>
                  <w:r>
                    <w:rPr>
                      <w:rFonts w:hint="default" w:ascii="Times New Roman" w:hAnsi="Times New Roman" w:eastAsia="宋体" w:cs="Times New Roman"/>
                      <w:color w:val="auto"/>
                      <w:sz w:val="21"/>
                      <w:szCs w:val="21"/>
                      <w:highlight w:val="none"/>
                      <w:shd w:val="clear" w:color="auto" w:fill="FFFFFF"/>
                    </w:rPr>
                    <w:t>LD</w:t>
                  </w:r>
                  <w:r>
                    <w:rPr>
                      <w:rFonts w:hint="default" w:ascii="Times New Roman" w:hAnsi="Times New Roman" w:eastAsia="宋体" w:cs="Times New Roman"/>
                      <w:color w:val="auto"/>
                      <w:sz w:val="21"/>
                      <w:szCs w:val="21"/>
                      <w:highlight w:val="none"/>
                      <w:shd w:val="clear" w:color="auto" w:fill="FFFFFF"/>
                      <w:vertAlign w:val="subscript"/>
                    </w:rPr>
                    <w:t>50</w:t>
                  </w:r>
                  <w:r>
                    <w:rPr>
                      <w:rFonts w:hint="default" w:ascii="Times New Roman" w:hAnsi="Times New Roman" w:eastAsia="宋体" w:cs="Times New Roman"/>
                      <w:color w:val="auto"/>
                      <w:sz w:val="21"/>
                      <w:szCs w:val="21"/>
                      <w:highlight w:val="none"/>
                      <w:shd w:val="clear" w:color="auto" w:fill="FFFFFF"/>
                    </w:rPr>
                    <w:t>：</w:t>
                  </w:r>
                  <w:r>
                    <w:rPr>
                      <w:rFonts w:hint="eastAsia" w:ascii="Times New Roman" w:hAnsi="Times New Roman" w:eastAsia="宋体" w:cs="Times New Roman"/>
                      <w:color w:val="auto"/>
                      <w:sz w:val="21"/>
                      <w:szCs w:val="21"/>
                      <w:highlight w:val="none"/>
                      <w:shd w:val="clear" w:color="auto" w:fill="FFFFFF"/>
                      <w:lang w:val="en-US" w:eastAsia="zh-CN"/>
                    </w:rPr>
                    <w:t>大鼠经口-雄性和雌性-10470mg/kg</w:t>
                  </w:r>
                </w:p>
                <w:p w14:paraId="442CA4C3">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color w:val="auto"/>
                      <w:sz w:val="21"/>
                      <w:szCs w:val="21"/>
                      <w:highlight w:val="none"/>
                      <w:shd w:val="clear" w:color="auto" w:fill="FFFFFF"/>
                    </w:rPr>
                    <w:t>LC</w:t>
                  </w:r>
                  <w:r>
                    <w:rPr>
                      <w:rFonts w:hint="eastAsia" w:ascii="Times New Roman" w:hAnsi="Times New Roman" w:eastAsia="宋体" w:cs="Times New Roman"/>
                      <w:color w:val="auto"/>
                      <w:sz w:val="21"/>
                      <w:szCs w:val="21"/>
                      <w:highlight w:val="none"/>
                      <w:shd w:val="clear" w:color="auto" w:fill="FFFFFF"/>
                      <w:vertAlign w:val="subscript"/>
                      <w:lang w:val="en-US" w:eastAsia="zh-CN"/>
                    </w:rPr>
                    <w:t>0</w:t>
                  </w:r>
                  <w:r>
                    <w:rPr>
                      <w:rFonts w:hint="default" w:ascii="Times New Roman" w:hAnsi="Times New Roman" w:eastAsia="宋体" w:cs="Times New Roman"/>
                      <w:color w:val="auto"/>
                      <w:sz w:val="21"/>
                      <w:szCs w:val="21"/>
                      <w:highlight w:val="none"/>
                      <w:shd w:val="clear" w:color="auto" w:fill="FFFFFF"/>
                    </w:rPr>
                    <w:t>：</w:t>
                  </w:r>
                  <w:r>
                    <w:rPr>
                      <w:rFonts w:hint="eastAsia" w:ascii="Times New Roman" w:hAnsi="Times New Roman" w:eastAsia="宋体" w:cs="Times New Roman"/>
                      <w:color w:val="auto"/>
                      <w:sz w:val="21"/>
                      <w:szCs w:val="21"/>
                      <w:highlight w:val="none"/>
                      <w:shd w:val="clear" w:color="auto" w:fill="FFFFFF"/>
                      <w:lang w:val="en-US" w:eastAsia="zh-CN"/>
                    </w:rPr>
                    <w:t>大鼠吸入-雌性和雄性-4h-＞124.7mg/L</w:t>
                  </w:r>
                </w:p>
              </w:tc>
            </w:tr>
            <w:tr w14:paraId="225D18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1817" w:hRule="atLeast"/>
                <w:jc w:val="center"/>
              </w:trPr>
              <w:tc>
                <w:tcPr>
                  <w:tcW w:w="957" w:type="pct"/>
                  <w:tcBorders>
                    <w:top w:val="single" w:color="auto" w:sz="4" w:space="0"/>
                    <w:bottom w:val="single" w:color="auto" w:sz="4" w:space="0"/>
                    <w:right w:val="single" w:color="auto" w:sz="6" w:space="0"/>
                  </w:tcBorders>
                  <w:noWrap w:val="0"/>
                  <w:tcMar>
                    <w:top w:w="0" w:type="dxa"/>
                    <w:left w:w="0" w:type="dxa"/>
                    <w:bottom w:w="0" w:type="dxa"/>
                    <w:right w:w="0" w:type="dxa"/>
                  </w:tcMar>
                  <w:vAlign w:val="center"/>
                </w:tcPr>
                <w:p w14:paraId="1A72E10F">
                  <w:pPr>
                    <w:keepNext w:val="0"/>
                    <w:keepLines w:val="0"/>
                    <w:pageBreakBefore w:val="0"/>
                    <w:suppressLineNumbers w:val="0"/>
                    <w:wordWrap/>
                    <w:bidi w:val="0"/>
                    <w:adjustRightInd w:val="0"/>
                    <w:snapToGrid w:val="0"/>
                    <w:spacing w:before="0" w:beforeAutospacing="0" w:after="0" w:afterAutospacing="0"/>
                    <w:ind w:left="0" w:right="0"/>
                    <w:jc w:val="center"/>
                    <w:rPr>
                      <w:rFonts w:hint="eastAsia" w:ascii="Times New Roman" w:hAnsi="Times New Roman" w:eastAsia="宋体" w:cs="仿宋"/>
                      <w:i w:val="0"/>
                      <w:iCs w:val="0"/>
                      <w:color w:val="000000"/>
                      <w:kern w:val="0"/>
                      <w:sz w:val="21"/>
                      <w:szCs w:val="21"/>
                      <w:highlight w:val="none"/>
                      <w:u w:val="none"/>
                      <w:lang w:val="en-US" w:eastAsia="zh-CN" w:bidi="ar"/>
                    </w:rPr>
                  </w:pPr>
                  <w:r>
                    <w:rPr>
                      <w:rFonts w:hint="eastAsia" w:ascii="Times New Roman" w:hAnsi="Times New Roman" w:eastAsia="宋体" w:cs="仿宋"/>
                      <w:i w:val="0"/>
                      <w:iCs w:val="0"/>
                      <w:color w:val="000000"/>
                      <w:kern w:val="0"/>
                      <w:sz w:val="21"/>
                      <w:szCs w:val="21"/>
                      <w:highlight w:val="none"/>
                      <w:u w:val="none"/>
                      <w:lang w:val="en-US" w:eastAsia="zh-CN" w:bidi="ar"/>
                    </w:rPr>
                    <w:t>液氮</w:t>
                  </w:r>
                </w:p>
              </w:tc>
              <w:tc>
                <w:tcPr>
                  <w:tcW w:w="2121"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B6486D2">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eastAsia" w:ascii="Times New Roman" w:hAnsi="Times New Roman" w:eastAsia="宋体" w:cs="Times New Roman"/>
                      <w:b w:val="0"/>
                      <w:bCs w:val="0"/>
                      <w:color w:val="auto"/>
                      <w:sz w:val="21"/>
                      <w:szCs w:val="21"/>
                      <w:highlight w:val="none"/>
                      <w:shd w:val="clear" w:color="auto" w:fill="FFFFFF"/>
                      <w:lang w:val="en-US" w:eastAsia="zh-CN"/>
                    </w:rPr>
                    <w:t>纯品，分子式：28.01g/mol，CAS号：7727-37-9；外观：无色压缩气体，熔点：-209.99摄氏度；沸点：-195.79摄氏度；密度0.97g/cm</w:t>
                  </w:r>
                  <w:r>
                    <w:rPr>
                      <w:rFonts w:hint="eastAsia" w:ascii="Times New Roman" w:hAnsi="Times New Roman" w:eastAsia="宋体" w:cs="Times New Roman"/>
                      <w:b w:val="0"/>
                      <w:bCs w:val="0"/>
                      <w:color w:val="auto"/>
                      <w:sz w:val="21"/>
                      <w:szCs w:val="21"/>
                      <w:highlight w:val="none"/>
                      <w:shd w:val="clear" w:color="auto" w:fill="FFFFFF"/>
                      <w:vertAlign w:val="superscript"/>
                      <w:lang w:val="en-US" w:eastAsia="zh-CN"/>
                    </w:rPr>
                    <w:t>3</w:t>
                  </w:r>
                </w:p>
              </w:tc>
              <w:tc>
                <w:tcPr>
                  <w:tcW w:w="863"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AC2A154">
                  <w:pPr>
                    <w:keepNext w:val="0"/>
                    <w:keepLines w:val="0"/>
                    <w:pageBreakBefore w:val="0"/>
                    <w:widowControl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不可燃</w:t>
                  </w:r>
                </w:p>
              </w:tc>
              <w:tc>
                <w:tcPr>
                  <w:tcW w:w="1058" w:type="pct"/>
                  <w:tcBorders>
                    <w:top w:val="single" w:color="auto" w:sz="6" w:space="0"/>
                    <w:left w:val="single" w:color="auto" w:sz="6" w:space="0"/>
                    <w:bottom w:val="single" w:color="auto" w:sz="6" w:space="0"/>
                  </w:tcBorders>
                  <w:noWrap w:val="0"/>
                  <w:tcMar>
                    <w:top w:w="0" w:type="dxa"/>
                    <w:left w:w="0" w:type="dxa"/>
                    <w:bottom w:w="0" w:type="dxa"/>
                    <w:right w:w="0" w:type="dxa"/>
                  </w:tcMar>
                  <w:vAlign w:val="center"/>
                </w:tcPr>
                <w:p w14:paraId="3C942C16">
                  <w:pPr>
                    <w:keepNext w:val="0"/>
                    <w:keepLines w:val="0"/>
                    <w:pageBreakBefore w:val="0"/>
                    <w:suppressLineNumbers w:val="0"/>
                    <w:wordWrap/>
                    <w:bidi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auto"/>
                      <w:sz w:val="21"/>
                      <w:szCs w:val="21"/>
                      <w:highlight w:val="none"/>
                      <w:shd w:val="clear" w:color="auto" w:fill="FFFFFF"/>
                      <w:lang w:val="en-US" w:eastAsia="zh-CN"/>
                    </w:rPr>
                  </w:pPr>
                  <w:r>
                    <w:rPr>
                      <w:rFonts w:hint="eastAsia" w:ascii="Times New Roman" w:hAnsi="Times New Roman" w:eastAsia="宋体" w:cs="Times New Roman"/>
                      <w:b w:val="0"/>
                      <w:bCs w:val="0"/>
                      <w:color w:val="auto"/>
                      <w:sz w:val="21"/>
                      <w:szCs w:val="21"/>
                      <w:highlight w:val="none"/>
                      <w:shd w:val="clear" w:color="auto" w:fill="FFFFFF"/>
                      <w:lang w:val="en-US" w:eastAsia="zh-CN"/>
                    </w:rPr>
                    <w:t>无资料</w:t>
                  </w:r>
                </w:p>
              </w:tc>
            </w:tr>
            <w:tr w14:paraId="1DF2B9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1817" w:hRule="atLeast"/>
                <w:jc w:val="center"/>
              </w:trPr>
              <w:tc>
                <w:tcPr>
                  <w:tcW w:w="957" w:type="pct"/>
                  <w:tcBorders>
                    <w:top w:val="single" w:color="auto" w:sz="4" w:space="0"/>
                    <w:bottom w:val="single" w:color="auto" w:sz="4" w:space="0"/>
                    <w:right w:val="single" w:color="auto" w:sz="6" w:space="0"/>
                  </w:tcBorders>
                  <w:noWrap w:val="0"/>
                  <w:tcMar>
                    <w:top w:w="0" w:type="dxa"/>
                    <w:left w:w="0" w:type="dxa"/>
                    <w:bottom w:w="0" w:type="dxa"/>
                    <w:right w:w="0" w:type="dxa"/>
                  </w:tcMar>
                  <w:vAlign w:val="center"/>
                </w:tcPr>
                <w:p w14:paraId="667F7FD1">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仿宋"/>
                      <w:i w:val="0"/>
                      <w:iCs w:val="0"/>
                      <w:color w:val="000000"/>
                      <w:kern w:val="0"/>
                      <w:sz w:val="21"/>
                      <w:szCs w:val="21"/>
                      <w:highlight w:val="none"/>
                      <w:u w:val="none"/>
                      <w:lang w:val="en-US" w:eastAsia="zh-CN" w:bidi="ar"/>
                    </w:rPr>
                  </w:pPr>
                  <w:r>
                    <w:rPr>
                      <w:rFonts w:hint="eastAsia" w:ascii="Times New Roman" w:hAnsi="Times New Roman" w:eastAsia="宋体" w:cs="仿宋"/>
                      <w:i w:val="0"/>
                      <w:iCs w:val="0"/>
                      <w:color w:val="000000"/>
                      <w:kern w:val="0"/>
                      <w:sz w:val="21"/>
                      <w:szCs w:val="21"/>
                      <w:highlight w:val="none"/>
                      <w:u w:val="none"/>
                      <w:lang w:val="en-US" w:eastAsia="zh-CN" w:bidi="ar"/>
                    </w:rPr>
                    <w:t>异丙醇</w:t>
                  </w:r>
                </w:p>
              </w:tc>
              <w:tc>
                <w:tcPr>
                  <w:tcW w:w="2121"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FCDC432">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eastAsia" w:ascii="Times New Roman" w:hAnsi="Times New Roman" w:eastAsia="宋体" w:cs="Times New Roman"/>
                      <w:b w:val="0"/>
                      <w:bCs w:val="0"/>
                      <w:color w:val="auto"/>
                      <w:sz w:val="21"/>
                      <w:szCs w:val="21"/>
                      <w:highlight w:val="none"/>
                      <w:shd w:val="clear" w:color="auto" w:fill="FFFFFF"/>
                      <w:lang w:val="en-US" w:eastAsia="zh-CN"/>
                    </w:rPr>
                    <w:t>俗名：sec-Propyl alcohol；分子式：C</w:t>
                  </w:r>
                  <w:r>
                    <w:rPr>
                      <w:rFonts w:hint="eastAsia" w:ascii="Times New Roman" w:hAnsi="Times New Roman" w:eastAsia="宋体" w:cs="Times New Roman"/>
                      <w:b w:val="0"/>
                      <w:bCs w:val="0"/>
                      <w:color w:val="auto"/>
                      <w:sz w:val="21"/>
                      <w:szCs w:val="21"/>
                      <w:highlight w:val="none"/>
                      <w:shd w:val="clear" w:color="auto" w:fill="FFFFFF"/>
                      <w:vertAlign w:val="subscript"/>
                      <w:lang w:val="en-US" w:eastAsia="zh-CN"/>
                    </w:rPr>
                    <w:t>3</w:t>
                  </w:r>
                  <w:r>
                    <w:rPr>
                      <w:rFonts w:hint="eastAsia" w:ascii="Times New Roman" w:hAnsi="Times New Roman" w:eastAsia="宋体" w:cs="Times New Roman"/>
                      <w:b w:val="0"/>
                      <w:bCs w:val="0"/>
                      <w:color w:val="auto"/>
                      <w:sz w:val="21"/>
                      <w:szCs w:val="21"/>
                      <w:highlight w:val="none"/>
                      <w:shd w:val="clear" w:color="auto" w:fill="FFFFFF"/>
                      <w:lang w:val="en-US" w:eastAsia="zh-CN"/>
                    </w:rPr>
                    <w:t>H</w:t>
                  </w:r>
                  <w:r>
                    <w:rPr>
                      <w:rFonts w:hint="eastAsia" w:ascii="Times New Roman" w:hAnsi="Times New Roman" w:eastAsia="宋体" w:cs="Times New Roman"/>
                      <w:b w:val="0"/>
                      <w:bCs w:val="0"/>
                      <w:color w:val="auto"/>
                      <w:sz w:val="21"/>
                      <w:szCs w:val="21"/>
                      <w:highlight w:val="none"/>
                      <w:shd w:val="clear" w:color="auto" w:fill="FFFFFF"/>
                      <w:vertAlign w:val="subscript"/>
                      <w:lang w:val="en-US" w:eastAsia="zh-CN"/>
                    </w:rPr>
                    <w:t>8</w:t>
                  </w:r>
                  <w:r>
                    <w:rPr>
                      <w:rFonts w:hint="eastAsia" w:ascii="Times New Roman" w:hAnsi="Times New Roman" w:eastAsia="宋体" w:cs="Times New Roman"/>
                      <w:b w:val="0"/>
                      <w:bCs w:val="0"/>
                      <w:color w:val="auto"/>
                      <w:sz w:val="21"/>
                      <w:szCs w:val="21"/>
                      <w:highlight w:val="none"/>
                      <w:shd w:val="clear" w:color="auto" w:fill="FFFFFF"/>
                      <w:lang w:val="en-US" w:eastAsia="zh-CN"/>
                    </w:rPr>
                    <w:t>O；分子量：60.10 g/mol；CAS号：67-63-0；外观：无色液体；气味：酒精样气味；熔点：-89.5摄氏度；沸点：82℃；蒸气压43百帕在20摄氏度；密度/相对密度0.785 g/mL在25摄氏度</w:t>
                  </w:r>
                </w:p>
              </w:tc>
              <w:tc>
                <w:tcPr>
                  <w:tcW w:w="863"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4927E8D8">
                  <w:pPr>
                    <w:keepNext w:val="0"/>
                    <w:keepLines w:val="0"/>
                    <w:pageBreakBefore w:val="0"/>
                    <w:widowControl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可燃</w:t>
                  </w:r>
                </w:p>
              </w:tc>
              <w:tc>
                <w:tcPr>
                  <w:tcW w:w="1058" w:type="pct"/>
                  <w:tcBorders>
                    <w:top w:val="single" w:color="auto" w:sz="6" w:space="0"/>
                    <w:left w:val="single" w:color="auto" w:sz="6" w:space="0"/>
                    <w:bottom w:val="single" w:color="auto" w:sz="6" w:space="0"/>
                  </w:tcBorders>
                  <w:noWrap w:val="0"/>
                  <w:tcMar>
                    <w:top w:w="0" w:type="dxa"/>
                    <w:left w:w="0" w:type="dxa"/>
                    <w:bottom w:w="0" w:type="dxa"/>
                    <w:right w:w="0" w:type="dxa"/>
                  </w:tcMar>
                  <w:vAlign w:val="center"/>
                </w:tcPr>
                <w:p w14:paraId="45984189">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shd w:val="clear" w:color="auto" w:fill="FFFFFF"/>
                      <w:lang w:val="en-US" w:eastAsia="zh-CN"/>
                    </w:rPr>
                  </w:pPr>
                  <w:r>
                    <w:rPr>
                      <w:rFonts w:hint="default" w:ascii="Times New Roman" w:hAnsi="Times New Roman" w:eastAsia="宋体" w:cs="Times New Roman"/>
                      <w:color w:val="auto"/>
                      <w:sz w:val="21"/>
                      <w:szCs w:val="21"/>
                      <w:highlight w:val="none"/>
                      <w:shd w:val="clear" w:color="auto" w:fill="FFFFFF"/>
                    </w:rPr>
                    <w:t>LD</w:t>
                  </w:r>
                  <w:r>
                    <w:rPr>
                      <w:rFonts w:hint="default" w:ascii="Times New Roman" w:hAnsi="Times New Roman" w:eastAsia="宋体" w:cs="Times New Roman"/>
                      <w:color w:val="auto"/>
                      <w:sz w:val="21"/>
                      <w:szCs w:val="21"/>
                      <w:highlight w:val="none"/>
                      <w:shd w:val="clear" w:color="auto" w:fill="FFFFFF"/>
                      <w:vertAlign w:val="subscript"/>
                    </w:rPr>
                    <w:t>50</w:t>
                  </w:r>
                  <w:r>
                    <w:rPr>
                      <w:rFonts w:hint="default" w:ascii="Times New Roman" w:hAnsi="Times New Roman" w:eastAsia="宋体" w:cs="Times New Roman"/>
                      <w:color w:val="auto"/>
                      <w:sz w:val="21"/>
                      <w:szCs w:val="21"/>
                      <w:highlight w:val="none"/>
                      <w:shd w:val="clear" w:color="auto" w:fill="FFFFFF"/>
                    </w:rPr>
                    <w:t>：</w:t>
                  </w:r>
                  <w:r>
                    <w:rPr>
                      <w:rFonts w:hint="eastAsia" w:ascii="Times New Roman" w:hAnsi="Times New Roman" w:eastAsia="宋体" w:cs="Times New Roman"/>
                      <w:color w:val="auto"/>
                      <w:sz w:val="21"/>
                      <w:szCs w:val="21"/>
                      <w:highlight w:val="none"/>
                      <w:shd w:val="clear" w:color="auto" w:fill="FFFFFF"/>
                      <w:lang w:val="en-US" w:eastAsia="zh-CN"/>
                    </w:rPr>
                    <w:t>大鼠经口-5840mg/kg</w:t>
                  </w:r>
                </w:p>
                <w:p w14:paraId="57E5DA1D">
                  <w:pPr>
                    <w:keepNext w:val="0"/>
                    <w:keepLines w:val="0"/>
                    <w:pageBreakBefore w:val="0"/>
                    <w:suppressLineNumbers w:val="0"/>
                    <w:wordWrap/>
                    <w:bidi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shd w:val="clear" w:color="auto" w:fill="FFFFFF"/>
                      <w:lang w:val="en-US" w:eastAsia="zh-CN"/>
                    </w:rPr>
                  </w:pPr>
                  <w:r>
                    <w:rPr>
                      <w:rFonts w:hint="default" w:ascii="Times New Roman" w:hAnsi="Times New Roman" w:eastAsia="宋体" w:cs="Times New Roman"/>
                      <w:color w:val="auto"/>
                      <w:sz w:val="21"/>
                      <w:szCs w:val="21"/>
                      <w:highlight w:val="none"/>
                      <w:shd w:val="clear" w:color="auto" w:fill="FFFFFF"/>
                    </w:rPr>
                    <w:t>LC</w:t>
                  </w:r>
                  <w:r>
                    <w:rPr>
                      <w:rFonts w:hint="eastAsia" w:cs="Times New Roman"/>
                      <w:color w:val="auto"/>
                      <w:sz w:val="21"/>
                      <w:szCs w:val="21"/>
                      <w:highlight w:val="none"/>
                      <w:shd w:val="clear" w:color="auto" w:fill="FFFFFF"/>
                      <w:vertAlign w:val="subscript"/>
                      <w:lang w:val="en-US" w:eastAsia="zh-CN"/>
                    </w:rPr>
                    <w:t>50</w:t>
                  </w:r>
                  <w:r>
                    <w:rPr>
                      <w:rFonts w:hint="default" w:ascii="Times New Roman" w:hAnsi="Times New Roman" w:eastAsia="宋体" w:cs="Times New Roman"/>
                      <w:color w:val="auto"/>
                      <w:sz w:val="21"/>
                      <w:szCs w:val="21"/>
                      <w:highlight w:val="none"/>
                      <w:shd w:val="clear" w:color="auto" w:fill="FFFFFF"/>
                    </w:rPr>
                    <w:t>：</w:t>
                  </w:r>
                  <w:r>
                    <w:rPr>
                      <w:rFonts w:hint="eastAsia" w:ascii="Times New Roman" w:hAnsi="Times New Roman" w:eastAsia="宋体" w:cs="Times New Roman"/>
                      <w:color w:val="auto"/>
                      <w:sz w:val="21"/>
                      <w:szCs w:val="21"/>
                      <w:highlight w:val="none"/>
                      <w:shd w:val="clear" w:color="auto" w:fill="FFFFFF"/>
                      <w:lang w:val="en-US" w:eastAsia="zh-CN"/>
                    </w:rPr>
                    <w:t>大鼠吸入-雌性和雄性-4h-＞37.5mg/L</w:t>
                  </w:r>
                </w:p>
                <w:p w14:paraId="3BC9C63A">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shd w:val="clear" w:color="auto" w:fill="FFFFFF"/>
                    </w:rPr>
                  </w:pPr>
                  <w:r>
                    <w:rPr>
                      <w:rFonts w:hint="eastAsia" w:ascii="Times New Roman" w:hAnsi="Times New Roman" w:eastAsia="宋体" w:cs="Times New Roman"/>
                      <w:color w:val="auto"/>
                      <w:sz w:val="21"/>
                      <w:szCs w:val="21"/>
                      <w:highlight w:val="none"/>
                      <w:shd w:val="clear" w:color="auto" w:fill="FFFFFF"/>
                      <w:lang w:val="en-US" w:eastAsia="zh-CN"/>
                    </w:rPr>
                    <w:t>LD</w:t>
                  </w:r>
                  <w:r>
                    <w:rPr>
                      <w:rFonts w:hint="eastAsia" w:ascii="Times New Roman" w:hAnsi="Times New Roman" w:eastAsia="宋体" w:cs="Times New Roman"/>
                      <w:color w:val="auto"/>
                      <w:sz w:val="21"/>
                      <w:szCs w:val="21"/>
                      <w:highlight w:val="none"/>
                      <w:shd w:val="clear" w:color="auto" w:fill="FFFFFF"/>
                      <w:vertAlign w:val="subscript"/>
                      <w:lang w:val="en-US" w:eastAsia="zh-CN"/>
                    </w:rPr>
                    <w:t>50</w:t>
                  </w:r>
                  <w:r>
                    <w:rPr>
                      <w:rFonts w:hint="eastAsia" w:ascii="Times New Roman" w:hAnsi="Times New Roman" w:eastAsia="宋体" w:cs="Times New Roman"/>
                      <w:color w:val="auto"/>
                      <w:sz w:val="21"/>
                      <w:szCs w:val="21"/>
                      <w:highlight w:val="none"/>
                      <w:shd w:val="clear" w:color="auto" w:fill="FFFFFF"/>
                      <w:vertAlign w:val="baseline"/>
                      <w:lang w:val="en-US" w:eastAsia="zh-CN"/>
                    </w:rPr>
                    <w:t>家兔经皮-12800mg/kg</w:t>
                  </w:r>
                </w:p>
              </w:tc>
            </w:tr>
            <w:tr w14:paraId="322CD3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1817" w:hRule="atLeast"/>
                <w:jc w:val="center"/>
              </w:trPr>
              <w:tc>
                <w:tcPr>
                  <w:tcW w:w="957" w:type="pct"/>
                  <w:tcBorders>
                    <w:top w:val="single" w:color="auto" w:sz="4" w:space="0"/>
                    <w:bottom w:val="single" w:color="auto" w:sz="4" w:space="0"/>
                    <w:right w:val="single" w:color="auto" w:sz="6" w:space="0"/>
                  </w:tcBorders>
                  <w:noWrap w:val="0"/>
                  <w:tcMar>
                    <w:top w:w="0" w:type="dxa"/>
                    <w:left w:w="0" w:type="dxa"/>
                    <w:bottom w:w="0" w:type="dxa"/>
                    <w:right w:w="0" w:type="dxa"/>
                  </w:tcMar>
                  <w:vAlign w:val="center"/>
                </w:tcPr>
                <w:p w14:paraId="075B76F3">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仿宋"/>
                      <w:i w:val="0"/>
                      <w:iCs w:val="0"/>
                      <w:color w:val="000000"/>
                      <w:kern w:val="0"/>
                      <w:sz w:val="21"/>
                      <w:szCs w:val="21"/>
                      <w:highlight w:val="none"/>
                      <w:u w:val="none"/>
                      <w:lang w:val="en-US" w:eastAsia="zh-CN" w:bidi="ar"/>
                    </w:rPr>
                  </w:pPr>
                  <w:r>
                    <w:rPr>
                      <w:rFonts w:hint="eastAsia" w:ascii="Times New Roman" w:hAnsi="Times New Roman" w:eastAsia="宋体" w:cs="仿宋"/>
                      <w:i w:val="0"/>
                      <w:iCs w:val="0"/>
                      <w:color w:val="000000"/>
                      <w:kern w:val="0"/>
                      <w:sz w:val="21"/>
                      <w:szCs w:val="21"/>
                      <w:highlight w:val="none"/>
                      <w:u w:val="none"/>
                      <w:lang w:val="en-US" w:eastAsia="zh-CN" w:bidi="ar"/>
                    </w:rPr>
                    <w:t>盐酸</w:t>
                  </w:r>
                </w:p>
              </w:tc>
              <w:tc>
                <w:tcPr>
                  <w:tcW w:w="2121"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33B4925">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rPr>
                    <w:t>中文别名：盐酸；氯化氢，水溶液；氢氯酸</w:t>
                  </w:r>
                  <w:r>
                    <w:rPr>
                      <w:rFonts w:hint="eastAsia" w:ascii="Times New Roman" w:hAnsi="Times New Roman" w:eastAsia="宋体" w:cs="Times New Roman"/>
                      <w:b w:val="0"/>
                      <w:bCs w:val="0"/>
                      <w:color w:val="auto"/>
                      <w:sz w:val="21"/>
                      <w:szCs w:val="21"/>
                      <w:highlight w:val="none"/>
                      <w:shd w:val="clear" w:color="auto" w:fill="FFFFFF"/>
                      <w:lang w:eastAsia="zh-CN"/>
                    </w:rPr>
                    <w:t>；</w:t>
                  </w:r>
                  <w:r>
                    <w:rPr>
                      <w:rFonts w:hint="eastAsia" w:ascii="Times New Roman" w:hAnsi="Times New Roman" w:eastAsia="宋体" w:cs="Times New Roman"/>
                      <w:b w:val="0"/>
                      <w:bCs w:val="0"/>
                      <w:color w:val="auto"/>
                      <w:sz w:val="21"/>
                      <w:szCs w:val="21"/>
                      <w:highlight w:val="none"/>
                      <w:shd w:val="clear" w:color="auto" w:fill="FFFFFF"/>
                      <w:lang w:val="en-US" w:eastAsia="zh-CN"/>
                    </w:rPr>
                    <w:t>主要成分：盐酸36-38%；次要成分：62-64%；外观气味：外观与性状：无色或淡黄色透明的氯化氢水溶液，在空气中冒烟，有强烈刺鼻的酸味；熔点：-28摄氏度；密度/相对密度(水=1)：ρ(20)1.18-1.19g/mL(37%) 蒸汽密度(空气=1)：1.26；蒸汽压(kPa)：30.66（21℃）</w:t>
                  </w:r>
                </w:p>
                <w:p w14:paraId="2ED72369">
                  <w:pPr>
                    <w:keepNext w:val="0"/>
                    <w:keepLines w:val="0"/>
                    <w:pageBreakBefore w:val="0"/>
                    <w:suppressLineNumbers w:val="0"/>
                    <w:wordWrap/>
                    <w:bidi w:val="0"/>
                    <w:adjustRightInd w:val="0"/>
                    <w:snapToGrid w:val="0"/>
                    <w:spacing w:before="0" w:beforeAutospacing="0" w:after="0" w:afterAutospacing="0"/>
                    <w:ind w:left="0" w:right="0"/>
                    <w:jc w:val="both"/>
                    <w:rPr>
                      <w:rFonts w:hint="default" w:ascii="Times New Roman" w:hAnsi="Times New Roman" w:eastAsia="宋体" w:cs="Times New Roman"/>
                      <w:b w:val="0"/>
                      <w:bCs w:val="0"/>
                      <w:color w:val="auto"/>
                      <w:sz w:val="21"/>
                      <w:szCs w:val="21"/>
                      <w:highlight w:val="none"/>
                      <w:shd w:val="clear" w:color="auto" w:fill="FFFFFF"/>
                      <w:lang w:val="en-US" w:eastAsia="zh-CN"/>
                    </w:rPr>
                  </w:pPr>
                </w:p>
              </w:tc>
              <w:tc>
                <w:tcPr>
                  <w:tcW w:w="863"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CF8BC5C">
                  <w:pPr>
                    <w:keepNext w:val="0"/>
                    <w:keepLines w:val="0"/>
                    <w:pageBreakBefore w:val="0"/>
                    <w:widowControl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不可燃</w:t>
                  </w:r>
                </w:p>
              </w:tc>
              <w:tc>
                <w:tcPr>
                  <w:tcW w:w="1058" w:type="pct"/>
                  <w:tcBorders>
                    <w:top w:val="single" w:color="auto" w:sz="6" w:space="0"/>
                    <w:left w:val="single" w:color="auto" w:sz="6" w:space="0"/>
                    <w:bottom w:val="single" w:color="auto" w:sz="6" w:space="0"/>
                  </w:tcBorders>
                  <w:noWrap w:val="0"/>
                  <w:tcMar>
                    <w:top w:w="0" w:type="dxa"/>
                    <w:left w:w="0" w:type="dxa"/>
                    <w:bottom w:w="0" w:type="dxa"/>
                    <w:right w:w="0" w:type="dxa"/>
                  </w:tcMar>
                  <w:vAlign w:val="center"/>
                </w:tcPr>
                <w:p w14:paraId="32EA01AE">
                  <w:pPr>
                    <w:keepNext w:val="0"/>
                    <w:keepLines w:val="0"/>
                    <w:pageBreakBefore w:val="0"/>
                    <w:suppressLineNumbers w:val="0"/>
                    <w:wordWrap/>
                    <w:bidi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auto"/>
                      <w:sz w:val="21"/>
                      <w:szCs w:val="21"/>
                      <w:highlight w:val="none"/>
                      <w:shd w:val="clear" w:color="auto" w:fill="FFFFFF"/>
                      <w:lang w:val="en-US" w:eastAsia="zh-CN"/>
                    </w:rPr>
                  </w:pPr>
                  <w:r>
                    <w:rPr>
                      <w:rFonts w:hint="eastAsia" w:ascii="Times New Roman" w:hAnsi="Times New Roman" w:eastAsia="宋体" w:cs="Times New Roman"/>
                      <w:b w:val="0"/>
                      <w:bCs w:val="0"/>
                      <w:color w:val="auto"/>
                      <w:sz w:val="21"/>
                      <w:szCs w:val="21"/>
                      <w:highlight w:val="none"/>
                      <w:shd w:val="clear" w:color="auto" w:fill="FFFFFF"/>
                      <w:lang w:val="en-US" w:eastAsia="zh-CN"/>
                    </w:rPr>
                    <w:t>无资料</w:t>
                  </w:r>
                </w:p>
              </w:tc>
            </w:tr>
            <w:tr w14:paraId="2B7DBA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1817" w:hRule="atLeast"/>
                <w:jc w:val="center"/>
              </w:trPr>
              <w:tc>
                <w:tcPr>
                  <w:tcW w:w="957" w:type="pct"/>
                  <w:tcBorders>
                    <w:top w:val="single" w:color="auto" w:sz="4" w:space="0"/>
                    <w:bottom w:val="single" w:color="auto" w:sz="6" w:space="0"/>
                    <w:right w:val="single" w:color="auto" w:sz="6" w:space="0"/>
                  </w:tcBorders>
                  <w:noWrap w:val="0"/>
                  <w:tcMar>
                    <w:top w:w="0" w:type="dxa"/>
                    <w:left w:w="0" w:type="dxa"/>
                    <w:bottom w:w="0" w:type="dxa"/>
                    <w:right w:w="0" w:type="dxa"/>
                  </w:tcMar>
                  <w:vAlign w:val="center"/>
                </w:tcPr>
                <w:p w14:paraId="4A800AED">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仿宋"/>
                      <w:i w:val="0"/>
                      <w:iCs w:val="0"/>
                      <w:color w:val="000000"/>
                      <w:kern w:val="0"/>
                      <w:sz w:val="21"/>
                      <w:szCs w:val="21"/>
                      <w:highlight w:val="none"/>
                      <w:u w:val="none"/>
                      <w:lang w:val="en-US" w:eastAsia="zh-CN" w:bidi="ar"/>
                    </w:rPr>
                  </w:pPr>
                  <w:r>
                    <w:rPr>
                      <w:rFonts w:hint="eastAsia" w:cs="仿宋"/>
                      <w:i w:val="0"/>
                      <w:iCs w:val="0"/>
                      <w:color w:val="000000"/>
                      <w:kern w:val="0"/>
                      <w:sz w:val="21"/>
                      <w:szCs w:val="21"/>
                      <w:highlight w:val="none"/>
                      <w:u w:val="none"/>
                      <w:lang w:val="en-US" w:eastAsia="zh-CN" w:bidi="ar"/>
                    </w:rPr>
                    <w:t>75%消毒酒精</w:t>
                  </w:r>
                </w:p>
              </w:tc>
              <w:tc>
                <w:tcPr>
                  <w:tcW w:w="2121"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163206AB">
                  <w:pPr>
                    <w:keepNext w:val="0"/>
                    <w:keepLines w:val="0"/>
                    <w:pageBreakBefore w:val="0"/>
                    <w:suppressLineNumbers w:val="0"/>
                    <w:wordWrap/>
                    <w:bidi w:val="0"/>
                    <w:adjustRightInd w:val="0"/>
                    <w:snapToGrid w:val="0"/>
                    <w:spacing w:before="0" w:beforeAutospacing="0" w:after="0" w:afterAutospacing="0"/>
                    <w:ind w:left="0" w:right="0"/>
                    <w:jc w:val="both"/>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eastAsia" w:cs="Times New Roman"/>
                      <w:b w:val="0"/>
                      <w:bCs w:val="0"/>
                      <w:color w:val="auto"/>
                      <w:sz w:val="21"/>
                      <w:szCs w:val="21"/>
                      <w:highlight w:val="none"/>
                      <w:shd w:val="clear" w:color="auto" w:fill="FFFFFF"/>
                      <w:lang w:val="en-US" w:eastAsia="zh-CN"/>
                    </w:rPr>
                    <w:t>CAS号：64-17-5，外观与形状：液体；pH值：7.0（20°C，10g/L），沸点：79℃；熔点：-117℃，闪点：13℃；蒸气压：5.8kPa；相对密度(水=1) 0.79（20°C）</w:t>
                  </w:r>
                </w:p>
              </w:tc>
              <w:tc>
                <w:tcPr>
                  <w:tcW w:w="863"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064D02B">
                  <w:pPr>
                    <w:keepNext w:val="0"/>
                    <w:keepLines w:val="0"/>
                    <w:pageBreakBefore w:val="0"/>
                    <w:widowControl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易燃</w:t>
                  </w:r>
                </w:p>
              </w:tc>
              <w:tc>
                <w:tcPr>
                  <w:tcW w:w="1058" w:type="pct"/>
                  <w:tcBorders>
                    <w:top w:val="single" w:color="auto" w:sz="6" w:space="0"/>
                    <w:left w:val="single" w:color="auto" w:sz="6" w:space="0"/>
                    <w:bottom w:val="single" w:color="auto" w:sz="6" w:space="0"/>
                  </w:tcBorders>
                  <w:noWrap w:val="0"/>
                  <w:tcMar>
                    <w:top w:w="0" w:type="dxa"/>
                    <w:left w:w="0" w:type="dxa"/>
                    <w:bottom w:w="0" w:type="dxa"/>
                    <w:right w:w="0" w:type="dxa"/>
                  </w:tcMar>
                  <w:vAlign w:val="center"/>
                </w:tcPr>
                <w:p w14:paraId="38445E81">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shd w:val="clear" w:color="auto" w:fill="FFFFFF"/>
                      <w:lang w:val="en-US" w:eastAsia="zh-CN"/>
                    </w:rPr>
                  </w:pPr>
                  <w:r>
                    <w:rPr>
                      <w:rFonts w:hint="default" w:ascii="Times New Roman" w:hAnsi="Times New Roman" w:eastAsia="宋体" w:cs="Times New Roman"/>
                      <w:color w:val="auto"/>
                      <w:sz w:val="21"/>
                      <w:szCs w:val="21"/>
                      <w:highlight w:val="none"/>
                      <w:shd w:val="clear" w:color="auto" w:fill="FFFFFF"/>
                    </w:rPr>
                    <w:t>LD</w:t>
                  </w:r>
                  <w:r>
                    <w:rPr>
                      <w:rFonts w:hint="default" w:ascii="Times New Roman" w:hAnsi="Times New Roman" w:eastAsia="宋体" w:cs="Times New Roman"/>
                      <w:color w:val="auto"/>
                      <w:sz w:val="21"/>
                      <w:szCs w:val="21"/>
                      <w:highlight w:val="none"/>
                      <w:shd w:val="clear" w:color="auto" w:fill="FFFFFF"/>
                      <w:vertAlign w:val="subscript"/>
                    </w:rPr>
                    <w:t>50</w:t>
                  </w:r>
                  <w:r>
                    <w:rPr>
                      <w:rFonts w:hint="default" w:ascii="Times New Roman" w:hAnsi="Times New Roman" w:eastAsia="宋体" w:cs="Times New Roman"/>
                      <w:color w:val="auto"/>
                      <w:sz w:val="21"/>
                      <w:szCs w:val="21"/>
                      <w:highlight w:val="none"/>
                      <w:shd w:val="clear" w:color="auto" w:fill="FFFFFF"/>
                    </w:rPr>
                    <w:t>：</w:t>
                  </w:r>
                  <w:r>
                    <w:rPr>
                      <w:rFonts w:hint="eastAsia" w:ascii="Times New Roman" w:hAnsi="Times New Roman" w:eastAsia="宋体" w:cs="Times New Roman"/>
                      <w:color w:val="auto"/>
                      <w:sz w:val="21"/>
                      <w:szCs w:val="21"/>
                      <w:highlight w:val="none"/>
                      <w:shd w:val="clear" w:color="auto" w:fill="FFFFFF"/>
                      <w:lang w:val="en-US" w:eastAsia="zh-CN"/>
                    </w:rPr>
                    <w:t>大鼠经口-7060mg/kg</w:t>
                  </w:r>
                </w:p>
                <w:p w14:paraId="7541E9CC">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shd w:val="clear" w:color="auto" w:fill="FFFFFF"/>
                      <w:lang w:val="en-US" w:eastAsia="zh-CN"/>
                    </w:rPr>
                  </w:pPr>
                  <w:r>
                    <w:rPr>
                      <w:rFonts w:hint="default" w:ascii="Times New Roman" w:hAnsi="Times New Roman" w:eastAsia="宋体" w:cs="Times New Roman"/>
                      <w:color w:val="auto"/>
                      <w:sz w:val="21"/>
                      <w:szCs w:val="21"/>
                      <w:highlight w:val="none"/>
                      <w:shd w:val="clear" w:color="auto" w:fill="FFFFFF"/>
                    </w:rPr>
                    <w:t>L</w:t>
                  </w:r>
                  <w:r>
                    <w:rPr>
                      <w:rFonts w:hint="eastAsia" w:ascii="Times New Roman" w:hAnsi="Times New Roman" w:eastAsia="宋体" w:cs="Times New Roman"/>
                      <w:color w:val="auto"/>
                      <w:sz w:val="21"/>
                      <w:szCs w:val="21"/>
                      <w:highlight w:val="none"/>
                      <w:shd w:val="clear" w:color="auto" w:fill="FFFFFF"/>
                      <w:lang w:val="en-US" w:eastAsia="zh-CN"/>
                    </w:rPr>
                    <w:t>D</w:t>
                  </w:r>
                  <w:r>
                    <w:rPr>
                      <w:rFonts w:hint="eastAsia" w:ascii="Times New Roman" w:hAnsi="Times New Roman" w:eastAsia="宋体" w:cs="Times New Roman"/>
                      <w:color w:val="auto"/>
                      <w:sz w:val="21"/>
                      <w:szCs w:val="21"/>
                      <w:highlight w:val="none"/>
                      <w:shd w:val="clear" w:color="auto" w:fill="FFFFFF"/>
                      <w:vertAlign w:val="subscript"/>
                      <w:lang w:val="en-US" w:eastAsia="zh-CN"/>
                    </w:rPr>
                    <w:t>50</w:t>
                  </w:r>
                  <w:r>
                    <w:rPr>
                      <w:rFonts w:hint="default" w:ascii="Times New Roman" w:hAnsi="Times New Roman" w:eastAsia="宋体" w:cs="Times New Roman"/>
                      <w:color w:val="auto"/>
                      <w:sz w:val="21"/>
                      <w:szCs w:val="21"/>
                      <w:highlight w:val="none"/>
                      <w:shd w:val="clear" w:color="auto" w:fill="FFFFFF"/>
                    </w:rPr>
                    <w:t>：</w:t>
                  </w:r>
                  <w:r>
                    <w:rPr>
                      <w:rFonts w:hint="eastAsia" w:ascii="Times New Roman" w:hAnsi="Times New Roman" w:eastAsia="宋体" w:cs="Times New Roman"/>
                      <w:color w:val="auto"/>
                      <w:sz w:val="21"/>
                      <w:szCs w:val="21"/>
                      <w:highlight w:val="none"/>
                      <w:shd w:val="clear" w:color="auto" w:fill="FFFFFF"/>
                      <w:lang w:val="en-US" w:eastAsia="zh-CN"/>
                    </w:rPr>
                    <w:t>经皮肤（无资料）</w:t>
                  </w:r>
                </w:p>
                <w:p w14:paraId="367971DC">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eastAsia" w:ascii="Times New Roman" w:hAnsi="Times New Roman" w:eastAsia="宋体" w:cs="Times New Roman"/>
                      <w:color w:val="auto"/>
                      <w:sz w:val="21"/>
                      <w:szCs w:val="21"/>
                      <w:highlight w:val="none"/>
                      <w:shd w:val="clear" w:color="auto" w:fill="FFFFFF"/>
                      <w:lang w:val="en-US" w:eastAsia="zh-CN"/>
                    </w:rPr>
                    <w:t>LC</w:t>
                  </w:r>
                  <w:r>
                    <w:rPr>
                      <w:rFonts w:hint="eastAsia" w:ascii="Times New Roman" w:hAnsi="Times New Roman" w:eastAsia="宋体" w:cs="Times New Roman"/>
                      <w:color w:val="auto"/>
                      <w:sz w:val="21"/>
                      <w:szCs w:val="21"/>
                      <w:highlight w:val="none"/>
                      <w:shd w:val="clear" w:color="auto" w:fill="FFFFFF"/>
                      <w:vertAlign w:val="subscript"/>
                      <w:lang w:val="en-US" w:eastAsia="zh-CN"/>
                    </w:rPr>
                    <w:t>50</w:t>
                  </w:r>
                  <w:r>
                    <w:rPr>
                      <w:rFonts w:hint="eastAsia" w:ascii="Times New Roman" w:hAnsi="Times New Roman" w:eastAsia="宋体" w:cs="Times New Roman"/>
                      <w:color w:val="auto"/>
                      <w:sz w:val="21"/>
                      <w:szCs w:val="21"/>
                      <w:highlight w:val="none"/>
                      <w:shd w:val="clear" w:color="auto" w:fill="FFFFFF"/>
                      <w:vertAlign w:val="baseline"/>
                      <w:lang w:val="en-US" w:eastAsia="zh-CN"/>
                    </w:rPr>
                    <w:t>：小鼠吸入-39mg/L</w:t>
                  </w:r>
                </w:p>
              </w:tc>
            </w:tr>
          </w:tbl>
          <w:p w14:paraId="332A050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b w:val="0"/>
                <w:bCs w:val="0"/>
                <w:color w:val="auto"/>
                <w:kern w:val="2"/>
                <w:sz w:val="24"/>
                <w:szCs w:val="32"/>
                <w:lang w:val="en-US" w:eastAsia="zh-CN" w:bidi="ar-SA"/>
              </w:rPr>
            </w:pPr>
            <w:r>
              <w:rPr>
                <w:rFonts w:hint="eastAsia" w:ascii="Times New Roman" w:hAnsi="Times New Roman" w:eastAsia="宋体" w:cs="Times New Roman"/>
                <w:b w:val="0"/>
                <w:bCs w:val="0"/>
                <w:color w:val="auto"/>
                <w:kern w:val="2"/>
                <w:sz w:val="24"/>
                <w:szCs w:val="32"/>
                <w:lang w:val="en-US" w:eastAsia="zh-CN" w:bidi="ar-SA"/>
              </w:rPr>
              <w:t>根据江苏省《大气污染物综合排放标准》(DB32/4041-2021)中挥发性有机物 VOCs 的定义：“在标准大气压（101.325 kPa）下，沸点低于或等于250℃，或者20℃时蒸气压大于或等于10 Pa的有机化合物，或在工业生产条件下具有相应挥发性的有机化合物（甲烷除外）。”本项目使用的原材料 VOCs 判定情况如下表所示：</w:t>
            </w:r>
          </w:p>
          <w:p w14:paraId="149F4407">
            <w:pPr>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kern w:val="2"/>
                <w:sz w:val="24"/>
                <w:szCs w:val="24"/>
                <w:highlight w:val="none"/>
                <w:lang w:val="en-US" w:eastAsia="zh-CN" w:bidi="ar-SA"/>
              </w:rPr>
              <w:t>表2-</w:t>
            </w:r>
            <w:r>
              <w:rPr>
                <w:rFonts w:hint="eastAsia" w:ascii="Times New Roman" w:hAnsi="Times New Roman" w:eastAsia="宋体" w:cs="Times New Roman"/>
                <w:b/>
                <w:bCs/>
                <w:color w:val="auto"/>
                <w:kern w:val="2"/>
                <w:sz w:val="24"/>
                <w:szCs w:val="24"/>
                <w:highlight w:val="none"/>
                <w:lang w:val="en-US" w:eastAsia="zh-CN" w:bidi="ar-SA"/>
              </w:rPr>
              <w:t>6本项目 VOCs物质判定</w:t>
            </w:r>
            <w:r>
              <w:rPr>
                <w:rFonts w:hint="default" w:ascii="Times New Roman" w:hAnsi="Times New Roman" w:eastAsia="宋体" w:cs="Times New Roman"/>
                <w:b/>
                <w:bCs/>
                <w:color w:val="auto"/>
                <w:sz w:val="24"/>
                <w:szCs w:val="24"/>
                <w:highlight w:val="none"/>
              </w:rPr>
              <w:t xml:space="preserve">表  </w:t>
            </w:r>
            <w:r>
              <w:rPr>
                <w:rFonts w:hint="default" w:ascii="Times New Roman" w:hAnsi="Times New Roman" w:eastAsia="宋体" w:cs="Times New Roman"/>
                <w:b/>
                <w:bCs/>
                <w:color w:val="auto"/>
                <w:sz w:val="24"/>
                <w:highlight w:val="none"/>
              </w:rPr>
              <w:t xml:space="preserve"> </w:t>
            </w:r>
          </w:p>
          <w:tbl>
            <w:tblPr>
              <w:tblStyle w:val="25"/>
              <w:tblW w:w="866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610"/>
              <w:gridCol w:w="985"/>
              <w:gridCol w:w="1215"/>
              <w:gridCol w:w="1170"/>
              <w:gridCol w:w="1155"/>
              <w:gridCol w:w="1020"/>
              <w:gridCol w:w="932"/>
            </w:tblGrid>
            <w:tr w14:paraId="1B891F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3DD64DF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929" w:type="pct"/>
                  <w:noWrap w:val="0"/>
                  <w:vAlign w:val="center"/>
                </w:tcPr>
                <w:p w14:paraId="0D2CC02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568" w:type="pct"/>
                  <w:tcBorders>
                    <w:left w:val="single" w:color="auto" w:sz="4" w:space="0"/>
                  </w:tcBorders>
                  <w:noWrap w:val="0"/>
                  <w:vAlign w:val="center"/>
                </w:tcPr>
                <w:p w14:paraId="36752FA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沸点（℃）</w:t>
                  </w:r>
                </w:p>
              </w:tc>
              <w:tc>
                <w:tcPr>
                  <w:tcW w:w="701" w:type="pct"/>
                  <w:tcBorders>
                    <w:left w:val="single" w:color="auto" w:sz="4" w:space="0"/>
                  </w:tcBorders>
                  <w:noWrap w:val="0"/>
                  <w:vAlign w:val="center"/>
                </w:tcPr>
                <w:p w14:paraId="685BE63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饱和蒸气压（Pa）</w:t>
                  </w:r>
                </w:p>
              </w:tc>
              <w:tc>
                <w:tcPr>
                  <w:tcW w:w="675" w:type="pct"/>
                  <w:tcBorders>
                    <w:left w:val="single" w:color="auto" w:sz="4" w:space="0"/>
                  </w:tcBorders>
                  <w:noWrap w:val="0"/>
                  <w:vAlign w:val="center"/>
                </w:tcPr>
                <w:p w14:paraId="518F6E9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是否属于VOCs</w:t>
                  </w:r>
                </w:p>
              </w:tc>
              <w:tc>
                <w:tcPr>
                  <w:tcW w:w="666" w:type="pct"/>
                  <w:tcBorders>
                    <w:left w:val="single" w:color="auto" w:sz="4" w:space="0"/>
                  </w:tcBorders>
                  <w:noWrap w:val="0"/>
                  <w:vAlign w:val="center"/>
                </w:tcPr>
                <w:p w14:paraId="714E514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原辅材料年用量</w:t>
                  </w:r>
                </w:p>
              </w:tc>
              <w:tc>
                <w:tcPr>
                  <w:tcW w:w="588" w:type="pct"/>
                  <w:noWrap w:val="0"/>
                  <w:vAlign w:val="center"/>
                </w:tcPr>
                <w:p w14:paraId="4506F6C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挥发性成分年用量</w:t>
                  </w:r>
                </w:p>
              </w:tc>
              <w:tc>
                <w:tcPr>
                  <w:tcW w:w="537" w:type="pct"/>
                  <w:noWrap w:val="0"/>
                  <w:vAlign w:val="center"/>
                </w:tcPr>
                <w:p w14:paraId="149C7CE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储存位置</w:t>
                  </w:r>
                </w:p>
              </w:tc>
            </w:tr>
            <w:tr w14:paraId="37E8D2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75E50F0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929" w:type="pct"/>
                  <w:noWrap w:val="0"/>
                  <w:vAlign w:val="center"/>
                </w:tcPr>
                <w:p w14:paraId="4D03B45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sz w:val="21"/>
                      <w:szCs w:val="21"/>
                      <w:highlight w:val="none"/>
                      <w:lang w:val="en-US" w:eastAsia="zh-CN"/>
                    </w:rPr>
                  </w:pPr>
                  <w:r>
                    <w:rPr>
                      <w:rStyle w:val="54"/>
                      <w:rFonts w:ascii="Times New Roman" w:hAnsi="Times New Roman" w:eastAsia="宋体"/>
                      <w:sz w:val="21"/>
                      <w:highlight w:val="none"/>
                      <w:lang w:val="en-US" w:eastAsia="zh-CN" w:bidi="ar"/>
                    </w:rPr>
                    <w:t>75%消毒酒精</w:t>
                  </w:r>
                </w:p>
              </w:tc>
              <w:tc>
                <w:tcPr>
                  <w:tcW w:w="568" w:type="pct"/>
                  <w:tcBorders>
                    <w:left w:val="single" w:color="auto" w:sz="4" w:space="0"/>
                  </w:tcBorders>
                  <w:noWrap w:val="0"/>
                  <w:vAlign w:val="center"/>
                </w:tcPr>
                <w:p w14:paraId="3EF39295">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sz w:val="21"/>
                      <w:highlight w:val="none"/>
                      <w:lang w:val="en-US" w:eastAsia="zh-CN"/>
                    </w:rPr>
                  </w:pPr>
                  <w:r>
                    <w:rPr>
                      <w:rFonts w:hint="default" w:ascii="Times New Roman" w:hAnsi="Times New Roman" w:eastAsia="宋体"/>
                      <w:sz w:val="21"/>
                      <w:highlight w:val="none"/>
                      <w:lang w:val="en-US" w:eastAsia="zh-CN"/>
                    </w:rPr>
                    <w:t>80-8</w:t>
                  </w:r>
                  <w:r>
                    <w:rPr>
                      <w:rFonts w:hint="eastAsia" w:ascii="Times New Roman" w:hAnsi="Times New Roman" w:eastAsia="宋体"/>
                      <w:sz w:val="21"/>
                      <w:highlight w:val="none"/>
                      <w:lang w:val="en-US" w:eastAsia="zh-CN"/>
                    </w:rPr>
                    <w:t>2</w:t>
                  </w:r>
                </w:p>
              </w:tc>
              <w:tc>
                <w:tcPr>
                  <w:tcW w:w="701" w:type="pct"/>
                  <w:tcBorders>
                    <w:left w:val="single" w:color="auto" w:sz="4" w:space="0"/>
                    <w:right w:val="single" w:color="auto" w:sz="4" w:space="0"/>
                  </w:tcBorders>
                  <w:noWrap w:val="0"/>
                  <w:vAlign w:val="center"/>
                </w:tcPr>
                <w:p w14:paraId="33108B47">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3500</w:t>
                  </w:r>
                </w:p>
              </w:tc>
              <w:tc>
                <w:tcPr>
                  <w:tcW w:w="675" w:type="pct"/>
                  <w:tcBorders>
                    <w:left w:val="single" w:color="auto" w:sz="4" w:space="0"/>
                    <w:right w:val="single" w:color="auto" w:sz="4" w:space="0"/>
                  </w:tcBorders>
                  <w:noWrap w:val="0"/>
                  <w:vAlign w:val="center"/>
                </w:tcPr>
                <w:p w14:paraId="208B06C6">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是</w:t>
                  </w:r>
                </w:p>
              </w:tc>
              <w:tc>
                <w:tcPr>
                  <w:tcW w:w="666" w:type="pct"/>
                  <w:tcBorders>
                    <w:left w:val="single" w:color="auto" w:sz="4" w:space="0"/>
                    <w:right w:val="single" w:color="auto" w:sz="4" w:space="0"/>
                  </w:tcBorders>
                  <w:noWrap w:val="0"/>
                  <w:vAlign w:val="center"/>
                </w:tcPr>
                <w:p w14:paraId="620F40E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60</w:t>
                  </w:r>
                  <w:r>
                    <w:rPr>
                      <w:rFonts w:hint="eastAsia" w:ascii="Times New Roman" w:hAnsi="Times New Roman" w:eastAsia="宋体" w:cs="Times New Roman"/>
                      <w:i w:val="0"/>
                      <w:iCs w:val="0"/>
                      <w:color w:val="000000"/>
                      <w:kern w:val="0"/>
                      <w:sz w:val="21"/>
                      <w:szCs w:val="21"/>
                      <w:highlight w:val="none"/>
                      <w:u w:val="none"/>
                      <w:lang w:val="en-US" w:eastAsia="zh-CN" w:bidi="ar"/>
                    </w:rPr>
                    <w:t>L/a</w:t>
                  </w:r>
                </w:p>
              </w:tc>
              <w:tc>
                <w:tcPr>
                  <w:tcW w:w="588" w:type="pct"/>
                  <w:noWrap w:val="0"/>
                  <w:vAlign w:val="center"/>
                </w:tcPr>
                <w:p w14:paraId="6A95373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35.5kg/a</w:t>
                  </w:r>
                </w:p>
              </w:tc>
              <w:tc>
                <w:tcPr>
                  <w:tcW w:w="537" w:type="pct"/>
                  <w:noWrap w:val="0"/>
                  <w:vAlign w:val="center"/>
                </w:tcPr>
                <w:p w14:paraId="6337A32D">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防爆柜</w:t>
                  </w:r>
                </w:p>
              </w:tc>
            </w:tr>
            <w:tr w14:paraId="0BA1D2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32072FB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929" w:type="pct"/>
                  <w:noWrap w:val="0"/>
                  <w:vAlign w:val="center"/>
                </w:tcPr>
                <w:p w14:paraId="3ECFE7B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仿宋"/>
                      <w:i w:val="0"/>
                      <w:iCs w:val="0"/>
                      <w:color w:val="000000"/>
                      <w:kern w:val="0"/>
                      <w:sz w:val="21"/>
                      <w:szCs w:val="21"/>
                      <w:highlight w:val="none"/>
                      <w:u w:val="none"/>
                      <w:lang w:val="en-US" w:eastAsia="zh-CN" w:bidi="ar"/>
                    </w:rPr>
                    <w:t>二甲基亚砜</w:t>
                  </w:r>
                </w:p>
              </w:tc>
              <w:tc>
                <w:tcPr>
                  <w:tcW w:w="568" w:type="pct"/>
                  <w:tcBorders>
                    <w:left w:val="single" w:color="auto" w:sz="4" w:space="0"/>
                  </w:tcBorders>
                  <w:noWrap w:val="0"/>
                  <w:vAlign w:val="center"/>
                </w:tcPr>
                <w:p w14:paraId="4F7D9446">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189</w:t>
                  </w:r>
                </w:p>
              </w:tc>
              <w:tc>
                <w:tcPr>
                  <w:tcW w:w="701" w:type="pct"/>
                  <w:tcBorders>
                    <w:left w:val="single" w:color="auto" w:sz="4" w:space="0"/>
                    <w:right w:val="single" w:color="auto" w:sz="4" w:space="0"/>
                  </w:tcBorders>
                  <w:noWrap w:val="0"/>
                  <w:vAlign w:val="center"/>
                </w:tcPr>
                <w:p w14:paraId="38823940">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74</w:t>
                  </w:r>
                </w:p>
              </w:tc>
              <w:tc>
                <w:tcPr>
                  <w:tcW w:w="675" w:type="pct"/>
                  <w:tcBorders>
                    <w:left w:val="single" w:color="auto" w:sz="4" w:space="0"/>
                    <w:right w:val="single" w:color="auto" w:sz="4" w:space="0"/>
                  </w:tcBorders>
                  <w:noWrap w:val="0"/>
                  <w:vAlign w:val="center"/>
                </w:tcPr>
                <w:p w14:paraId="33F52247">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是</w:t>
                  </w:r>
                </w:p>
              </w:tc>
              <w:tc>
                <w:tcPr>
                  <w:tcW w:w="666" w:type="pct"/>
                  <w:tcBorders>
                    <w:left w:val="single" w:color="auto" w:sz="4" w:space="0"/>
                    <w:right w:val="single" w:color="auto" w:sz="4" w:space="0"/>
                  </w:tcBorders>
                  <w:noWrap w:val="0"/>
                  <w:vAlign w:val="center"/>
                </w:tcPr>
                <w:p w14:paraId="1CE74D8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15L/a</w:t>
                  </w:r>
                </w:p>
              </w:tc>
              <w:tc>
                <w:tcPr>
                  <w:tcW w:w="588" w:type="pct"/>
                  <w:noWrap w:val="0"/>
                  <w:vAlign w:val="center"/>
                </w:tcPr>
                <w:p w14:paraId="085BF63F">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16.5kg/a</w:t>
                  </w:r>
                </w:p>
              </w:tc>
              <w:tc>
                <w:tcPr>
                  <w:tcW w:w="537" w:type="pct"/>
                  <w:noWrap w:val="0"/>
                  <w:vAlign w:val="center"/>
                </w:tcPr>
                <w:p w14:paraId="55FF5645">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防爆柜</w:t>
                  </w:r>
                </w:p>
              </w:tc>
            </w:tr>
            <w:tr w14:paraId="305A79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09D7808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929" w:type="pct"/>
                  <w:noWrap w:val="0"/>
                  <w:vAlign w:val="center"/>
                </w:tcPr>
                <w:p w14:paraId="0717A97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仿宋"/>
                      <w:i w:val="0"/>
                      <w:iCs w:val="0"/>
                      <w:color w:val="000000"/>
                      <w:kern w:val="0"/>
                      <w:sz w:val="21"/>
                      <w:szCs w:val="21"/>
                      <w:highlight w:val="none"/>
                      <w:u w:val="none"/>
                      <w:lang w:val="en-US" w:eastAsia="zh-CN" w:bidi="ar"/>
                    </w:rPr>
                    <w:t>甲醇</w:t>
                  </w:r>
                </w:p>
              </w:tc>
              <w:tc>
                <w:tcPr>
                  <w:tcW w:w="568" w:type="pct"/>
                  <w:tcBorders>
                    <w:left w:val="single" w:color="auto" w:sz="4" w:space="0"/>
                  </w:tcBorders>
                  <w:noWrap w:val="0"/>
                  <w:vAlign w:val="center"/>
                </w:tcPr>
                <w:p w14:paraId="54A146EB">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64.7</w:t>
                  </w:r>
                </w:p>
              </w:tc>
              <w:tc>
                <w:tcPr>
                  <w:tcW w:w="701" w:type="pct"/>
                  <w:tcBorders>
                    <w:left w:val="single" w:color="auto" w:sz="4" w:space="0"/>
                    <w:right w:val="single" w:color="auto" w:sz="4" w:space="0"/>
                  </w:tcBorders>
                  <w:noWrap w:val="0"/>
                  <w:vAlign w:val="center"/>
                </w:tcPr>
                <w:p w14:paraId="3CFBE93C">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12900</w:t>
                  </w:r>
                </w:p>
              </w:tc>
              <w:tc>
                <w:tcPr>
                  <w:tcW w:w="675" w:type="pct"/>
                  <w:tcBorders>
                    <w:left w:val="single" w:color="auto" w:sz="4" w:space="0"/>
                    <w:right w:val="single" w:color="auto" w:sz="4" w:space="0"/>
                  </w:tcBorders>
                  <w:noWrap w:val="0"/>
                  <w:vAlign w:val="center"/>
                </w:tcPr>
                <w:p w14:paraId="1F8C4E56">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是</w:t>
                  </w:r>
                </w:p>
              </w:tc>
              <w:tc>
                <w:tcPr>
                  <w:tcW w:w="666" w:type="pct"/>
                  <w:tcBorders>
                    <w:left w:val="single" w:color="auto" w:sz="4" w:space="0"/>
                    <w:right w:val="single" w:color="auto" w:sz="4" w:space="0"/>
                  </w:tcBorders>
                  <w:noWrap w:val="0"/>
                  <w:vAlign w:val="center"/>
                </w:tcPr>
                <w:p w14:paraId="4D0C116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20L/a</w:t>
                  </w:r>
                </w:p>
              </w:tc>
              <w:tc>
                <w:tcPr>
                  <w:tcW w:w="588" w:type="pct"/>
                  <w:noWrap w:val="0"/>
                  <w:vAlign w:val="center"/>
                </w:tcPr>
                <w:p w14:paraId="6DC39087">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15.8kg/a</w:t>
                  </w:r>
                </w:p>
              </w:tc>
              <w:tc>
                <w:tcPr>
                  <w:tcW w:w="537" w:type="pct"/>
                  <w:noWrap w:val="0"/>
                  <w:vAlign w:val="center"/>
                </w:tcPr>
                <w:p w14:paraId="1EC5B22C">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防爆柜</w:t>
                  </w:r>
                </w:p>
              </w:tc>
            </w:tr>
            <w:tr w14:paraId="2FFBFF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2D08ADD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929" w:type="pct"/>
                  <w:noWrap w:val="0"/>
                  <w:vAlign w:val="center"/>
                </w:tcPr>
                <w:p w14:paraId="0397D0C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shd w:val="clear" w:color="auto" w:fill="FFFFFF"/>
                      <w:lang w:eastAsia="zh-CN"/>
                    </w:rPr>
                  </w:pPr>
                  <w:r>
                    <w:rPr>
                      <w:rFonts w:hint="eastAsia" w:ascii="Times New Roman" w:hAnsi="Times New Roman" w:eastAsia="宋体" w:cs="仿宋"/>
                      <w:i w:val="0"/>
                      <w:iCs w:val="0"/>
                      <w:color w:val="000000"/>
                      <w:kern w:val="0"/>
                      <w:sz w:val="21"/>
                      <w:szCs w:val="21"/>
                      <w:highlight w:val="none"/>
                      <w:u w:val="none"/>
                      <w:lang w:val="en-US" w:eastAsia="zh-CN" w:bidi="ar"/>
                    </w:rPr>
                    <w:t>三羟甲基氨基甲烷</w:t>
                  </w:r>
                </w:p>
              </w:tc>
              <w:tc>
                <w:tcPr>
                  <w:tcW w:w="568" w:type="pct"/>
                  <w:tcBorders>
                    <w:left w:val="single" w:color="auto" w:sz="4" w:space="0"/>
                  </w:tcBorders>
                  <w:noWrap w:val="0"/>
                  <w:vAlign w:val="center"/>
                </w:tcPr>
                <w:p w14:paraId="55D6C01E">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219</w:t>
                  </w:r>
                </w:p>
              </w:tc>
              <w:tc>
                <w:tcPr>
                  <w:tcW w:w="701" w:type="pct"/>
                  <w:tcBorders>
                    <w:left w:val="single" w:color="auto" w:sz="4" w:space="0"/>
                    <w:right w:val="single" w:color="auto" w:sz="4" w:space="0"/>
                  </w:tcBorders>
                  <w:noWrap w:val="0"/>
                  <w:vAlign w:val="center"/>
                </w:tcPr>
                <w:p w14:paraId="6CB414D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w:t>
                  </w:r>
                </w:p>
              </w:tc>
              <w:tc>
                <w:tcPr>
                  <w:tcW w:w="675" w:type="pct"/>
                  <w:tcBorders>
                    <w:left w:val="single" w:color="auto" w:sz="4" w:space="0"/>
                    <w:right w:val="single" w:color="auto" w:sz="4" w:space="0"/>
                  </w:tcBorders>
                  <w:noWrap w:val="0"/>
                  <w:vAlign w:val="center"/>
                </w:tcPr>
                <w:p w14:paraId="7EEC6DE0">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否</w:t>
                  </w:r>
                </w:p>
              </w:tc>
              <w:tc>
                <w:tcPr>
                  <w:tcW w:w="666" w:type="pct"/>
                  <w:tcBorders>
                    <w:left w:val="single" w:color="auto" w:sz="4" w:space="0"/>
                    <w:right w:val="single" w:color="auto" w:sz="4" w:space="0"/>
                  </w:tcBorders>
                  <w:noWrap w:val="0"/>
                  <w:vAlign w:val="center"/>
                </w:tcPr>
                <w:p w14:paraId="4241DEF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2"/>
                      <w:highlight w:val="none"/>
                      <w:u w:val="none"/>
                      <w:lang w:val="en-US" w:eastAsia="zh-CN" w:bidi="ar"/>
                    </w:rPr>
                    <w:t>5kg</w:t>
                  </w:r>
                  <w:r>
                    <w:rPr>
                      <w:rFonts w:hint="default" w:ascii="Times New Roman" w:hAnsi="Times New Roman" w:eastAsia="宋体" w:cs="Times New Roman"/>
                      <w:i w:val="0"/>
                      <w:iCs w:val="0"/>
                      <w:color w:val="000000"/>
                      <w:kern w:val="0"/>
                      <w:sz w:val="21"/>
                      <w:szCs w:val="21"/>
                      <w:highlight w:val="none"/>
                      <w:u w:val="none"/>
                      <w:lang w:val="en-US" w:eastAsia="zh-CN" w:bidi="ar"/>
                    </w:rPr>
                    <w:t>/a</w:t>
                  </w:r>
                </w:p>
              </w:tc>
              <w:tc>
                <w:tcPr>
                  <w:tcW w:w="588" w:type="pct"/>
                  <w:noWrap w:val="0"/>
                  <w:vAlign w:val="center"/>
                </w:tcPr>
                <w:p w14:paraId="26A6AC4B">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537" w:type="pct"/>
                  <w:noWrap w:val="0"/>
                  <w:vAlign w:val="center"/>
                </w:tcPr>
                <w:p w14:paraId="19755FC5">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冰箱</w:t>
                  </w:r>
                </w:p>
              </w:tc>
            </w:tr>
            <w:tr w14:paraId="424A2E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3CD151A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929" w:type="pct"/>
                  <w:noWrap w:val="0"/>
                  <w:vAlign w:val="center"/>
                </w:tcPr>
                <w:p w14:paraId="574242E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shd w:val="clear" w:color="auto" w:fill="FFFFFF"/>
                      <w:lang w:eastAsia="zh-CN"/>
                    </w:rPr>
                  </w:pPr>
                  <w:r>
                    <w:rPr>
                      <w:rFonts w:hint="eastAsia" w:ascii="Times New Roman" w:hAnsi="Times New Roman" w:eastAsia="宋体" w:cs="仿宋"/>
                      <w:i w:val="0"/>
                      <w:iCs w:val="0"/>
                      <w:color w:val="000000"/>
                      <w:kern w:val="0"/>
                      <w:sz w:val="21"/>
                      <w:szCs w:val="21"/>
                      <w:highlight w:val="none"/>
                      <w:u w:val="none"/>
                      <w:lang w:val="en-US" w:eastAsia="zh-CN" w:bidi="ar"/>
                    </w:rPr>
                    <w:t>无水乙醇</w:t>
                  </w:r>
                </w:p>
              </w:tc>
              <w:tc>
                <w:tcPr>
                  <w:tcW w:w="568" w:type="pct"/>
                  <w:tcBorders>
                    <w:left w:val="single" w:color="auto" w:sz="4" w:space="0"/>
                  </w:tcBorders>
                  <w:noWrap w:val="0"/>
                  <w:vAlign w:val="center"/>
                </w:tcPr>
                <w:p w14:paraId="232771F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78</w:t>
                  </w:r>
                </w:p>
              </w:tc>
              <w:tc>
                <w:tcPr>
                  <w:tcW w:w="701" w:type="pct"/>
                  <w:tcBorders>
                    <w:left w:val="single" w:color="auto" w:sz="4" w:space="0"/>
                    <w:right w:val="single" w:color="auto" w:sz="4" w:space="0"/>
                  </w:tcBorders>
                  <w:noWrap w:val="0"/>
                  <w:vAlign w:val="center"/>
                </w:tcPr>
                <w:p w14:paraId="060B6857">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5800</w:t>
                  </w:r>
                </w:p>
              </w:tc>
              <w:tc>
                <w:tcPr>
                  <w:tcW w:w="675" w:type="pct"/>
                  <w:tcBorders>
                    <w:left w:val="single" w:color="auto" w:sz="4" w:space="0"/>
                    <w:right w:val="single" w:color="auto" w:sz="4" w:space="0"/>
                  </w:tcBorders>
                  <w:noWrap w:val="0"/>
                  <w:vAlign w:val="center"/>
                </w:tcPr>
                <w:p w14:paraId="2DCCE2F6">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是</w:t>
                  </w:r>
                </w:p>
              </w:tc>
              <w:tc>
                <w:tcPr>
                  <w:tcW w:w="666" w:type="pct"/>
                  <w:tcBorders>
                    <w:left w:val="single" w:color="auto" w:sz="4" w:space="0"/>
                    <w:right w:val="single" w:color="auto" w:sz="4" w:space="0"/>
                  </w:tcBorders>
                  <w:noWrap w:val="0"/>
                  <w:vAlign w:val="center"/>
                </w:tcPr>
                <w:p w14:paraId="59FE0D6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8L/a</w:t>
                  </w:r>
                </w:p>
              </w:tc>
              <w:tc>
                <w:tcPr>
                  <w:tcW w:w="588" w:type="pct"/>
                  <w:noWrap w:val="0"/>
                  <w:vAlign w:val="center"/>
                </w:tcPr>
                <w:p w14:paraId="0D3D6444">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6.3kg/a</w:t>
                  </w:r>
                </w:p>
              </w:tc>
              <w:tc>
                <w:tcPr>
                  <w:tcW w:w="537" w:type="pct"/>
                  <w:noWrap w:val="0"/>
                  <w:vAlign w:val="center"/>
                </w:tcPr>
                <w:p w14:paraId="7B11894B">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防爆柜</w:t>
                  </w:r>
                </w:p>
              </w:tc>
            </w:tr>
            <w:tr w14:paraId="706255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noWrap w:val="0"/>
                  <w:vAlign w:val="center"/>
                </w:tcPr>
                <w:p w14:paraId="3102D17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929" w:type="pct"/>
                  <w:noWrap w:val="0"/>
                  <w:vAlign w:val="center"/>
                </w:tcPr>
                <w:p w14:paraId="74E21C3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shd w:val="clear" w:color="auto" w:fill="FFFFFF"/>
                      <w:lang w:eastAsia="zh-CN"/>
                    </w:rPr>
                  </w:pPr>
                  <w:r>
                    <w:rPr>
                      <w:rFonts w:hint="eastAsia" w:ascii="Times New Roman" w:hAnsi="Times New Roman" w:eastAsia="宋体" w:cs="仿宋"/>
                      <w:i w:val="0"/>
                      <w:iCs w:val="0"/>
                      <w:color w:val="000000"/>
                      <w:kern w:val="0"/>
                      <w:sz w:val="21"/>
                      <w:szCs w:val="21"/>
                      <w:highlight w:val="none"/>
                      <w:u w:val="none"/>
                      <w:lang w:val="en-US" w:eastAsia="zh-CN" w:bidi="ar"/>
                    </w:rPr>
                    <w:t>异丙醇</w:t>
                  </w:r>
                </w:p>
              </w:tc>
              <w:tc>
                <w:tcPr>
                  <w:tcW w:w="568" w:type="pct"/>
                  <w:tcBorders>
                    <w:left w:val="single" w:color="auto" w:sz="4" w:space="0"/>
                  </w:tcBorders>
                  <w:noWrap w:val="0"/>
                  <w:vAlign w:val="center"/>
                </w:tcPr>
                <w:p w14:paraId="56F70C7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82</w:t>
                  </w:r>
                </w:p>
              </w:tc>
              <w:tc>
                <w:tcPr>
                  <w:tcW w:w="701" w:type="pct"/>
                  <w:tcBorders>
                    <w:left w:val="single" w:color="auto" w:sz="4" w:space="0"/>
                    <w:right w:val="single" w:color="auto" w:sz="4" w:space="0"/>
                  </w:tcBorders>
                  <w:noWrap w:val="0"/>
                  <w:vAlign w:val="center"/>
                </w:tcPr>
                <w:p w14:paraId="0B0394BC">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4400</w:t>
                  </w:r>
                </w:p>
              </w:tc>
              <w:tc>
                <w:tcPr>
                  <w:tcW w:w="675" w:type="pct"/>
                  <w:tcBorders>
                    <w:left w:val="single" w:color="auto" w:sz="4" w:space="0"/>
                    <w:right w:val="single" w:color="auto" w:sz="4" w:space="0"/>
                  </w:tcBorders>
                  <w:noWrap w:val="0"/>
                  <w:vAlign w:val="center"/>
                </w:tcPr>
                <w:p w14:paraId="38DE5E6C">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是</w:t>
                  </w:r>
                </w:p>
              </w:tc>
              <w:tc>
                <w:tcPr>
                  <w:tcW w:w="666" w:type="pct"/>
                  <w:tcBorders>
                    <w:left w:val="single" w:color="auto" w:sz="4" w:space="0"/>
                    <w:right w:val="single" w:color="auto" w:sz="4" w:space="0"/>
                  </w:tcBorders>
                  <w:noWrap w:val="0"/>
                  <w:vAlign w:val="center"/>
                </w:tcPr>
                <w:p w14:paraId="46775ED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30L/a</w:t>
                  </w:r>
                </w:p>
              </w:tc>
              <w:tc>
                <w:tcPr>
                  <w:tcW w:w="588" w:type="pct"/>
                  <w:noWrap w:val="0"/>
                  <w:vAlign w:val="center"/>
                </w:tcPr>
                <w:p w14:paraId="5A6C3DD4">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23.6kg/a</w:t>
                  </w:r>
                </w:p>
              </w:tc>
              <w:tc>
                <w:tcPr>
                  <w:tcW w:w="537" w:type="pct"/>
                  <w:noWrap w:val="0"/>
                  <w:vAlign w:val="center"/>
                </w:tcPr>
                <w:p w14:paraId="69F0A25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防爆柜</w:t>
                  </w:r>
                </w:p>
              </w:tc>
            </w:tr>
          </w:tbl>
          <w:p w14:paraId="2D40A05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2" w:firstLineChars="200"/>
              <w:jc w:val="left"/>
              <w:textAlignment w:val="auto"/>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注：75%消毒酒精：仅计算乙醇部分的挥发性（占75%体积），水（25%）不计入VOCs。其他物质：DMSO、甲醇、无水乙醇、异丙醇均为纯物质，挥发性成分年用量直接按密度转换。</w:t>
            </w:r>
          </w:p>
          <w:p w14:paraId="1B15F9F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b w:val="0"/>
                <w:bCs w:val="0"/>
                <w:color w:val="auto"/>
                <w:kern w:val="2"/>
                <w:sz w:val="24"/>
                <w:szCs w:val="32"/>
                <w:highlight w:val="none"/>
                <w:lang w:val="en-US" w:eastAsia="zh-CN" w:bidi="ar-SA"/>
              </w:rPr>
            </w:pPr>
            <w:r>
              <w:rPr>
                <w:rFonts w:hint="default" w:ascii="Times New Roman" w:hAnsi="Times New Roman" w:eastAsia="宋体" w:cs="Times New Roman"/>
                <w:b w:val="0"/>
                <w:bCs w:val="0"/>
                <w:color w:val="auto"/>
                <w:kern w:val="2"/>
                <w:sz w:val="24"/>
                <w:szCs w:val="32"/>
                <w:highlight w:val="none"/>
                <w:lang w:val="en-US" w:eastAsia="zh-CN" w:bidi="ar-SA"/>
              </w:rPr>
              <w:t>经上表辨识可知，本项目使用的原辅材料中，属于 VOCs 的物质包括：75%消毒酒精、二甲基亚砜、甲醇、无水乙醇、异丙醇，上述物质均以综合性指标</w:t>
            </w:r>
            <w:r>
              <w:rPr>
                <w:rFonts w:hint="default" w:ascii="Times New Roman" w:hAnsi="Times New Roman" w:eastAsia="宋体" w:cs="Times New Roman"/>
                <w:b/>
                <w:bCs/>
                <w:color w:val="auto"/>
                <w:kern w:val="2"/>
                <w:sz w:val="24"/>
                <w:szCs w:val="32"/>
                <w:highlight w:val="none"/>
                <w:lang w:val="en-US" w:eastAsia="zh-CN" w:bidi="ar-SA"/>
              </w:rPr>
              <w:t>非甲烷总烃</w:t>
            </w:r>
            <w:r>
              <w:rPr>
                <w:rFonts w:hint="default" w:ascii="Times New Roman" w:hAnsi="Times New Roman" w:eastAsia="宋体" w:cs="Times New Roman"/>
                <w:b w:val="0"/>
                <w:bCs w:val="0"/>
                <w:color w:val="auto"/>
                <w:kern w:val="2"/>
                <w:sz w:val="24"/>
                <w:szCs w:val="32"/>
                <w:highlight w:val="none"/>
                <w:lang w:val="en-US" w:eastAsia="zh-CN" w:bidi="ar-SA"/>
              </w:rPr>
              <w:t>进行表征。</w:t>
            </w:r>
          </w:p>
          <w:p w14:paraId="73D5D7DF">
            <w:pPr>
              <w:keepNext w:val="0"/>
              <w:keepLines w:val="0"/>
              <w:numPr>
                <w:ilvl w:val="0"/>
                <w:numId w:val="0"/>
              </w:numPr>
              <w:suppressLineNumbers w:val="0"/>
              <w:spacing w:before="0" w:beforeAutospacing="0" w:after="0" w:afterAutospacing="0" w:line="360" w:lineRule="auto"/>
              <w:ind w:left="0" w:leftChars="0" w:right="0" w:rightChars="0"/>
              <w:jc w:val="left"/>
              <w:rPr>
                <w:rFonts w:hint="default" w:ascii="Times New Roman" w:hAnsi="Times New Roman" w:eastAsia="宋体" w:cs="Times New Roman"/>
                <w:b/>
                <w:bCs/>
                <w:color w:val="auto"/>
                <w:sz w:val="24"/>
                <w:szCs w:val="32"/>
                <w:highlight w:val="none"/>
              </w:rPr>
            </w:pPr>
            <w:r>
              <w:rPr>
                <w:rFonts w:hint="default" w:ascii="Times New Roman" w:hAnsi="Times New Roman" w:eastAsia="宋体" w:cs="Times New Roman"/>
                <w:b/>
                <w:bCs/>
                <w:color w:val="auto"/>
                <w:kern w:val="2"/>
                <w:sz w:val="24"/>
                <w:szCs w:val="32"/>
                <w:lang w:val="en-US" w:eastAsia="zh-CN" w:bidi="ar-SA"/>
              </w:rPr>
              <w:t>6、</w:t>
            </w:r>
            <w:r>
              <w:rPr>
                <w:rFonts w:hint="default" w:ascii="Times New Roman" w:hAnsi="Times New Roman" w:eastAsia="宋体" w:cs="Times New Roman"/>
                <w:b/>
                <w:bCs/>
                <w:color w:val="auto"/>
                <w:sz w:val="24"/>
                <w:szCs w:val="32"/>
                <w:highlight w:val="none"/>
              </w:rPr>
              <w:t>主要生产单元、主要工艺及生产设施名称一览表</w:t>
            </w:r>
          </w:p>
          <w:p w14:paraId="3B69B2D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kern w:val="2"/>
                <w:sz w:val="24"/>
                <w:szCs w:val="24"/>
                <w:lang w:val="en-US" w:eastAsia="zh-CN" w:bidi="ar-SA"/>
              </w:rPr>
              <w:t>表2-3</w:t>
            </w:r>
            <w:r>
              <w:rPr>
                <w:rFonts w:hint="default" w:ascii="Times New Roman" w:hAnsi="Times New Roman" w:eastAsia="宋体" w:cs="Times New Roman"/>
                <w:b/>
                <w:bCs/>
                <w:color w:val="auto"/>
                <w:sz w:val="24"/>
                <w:szCs w:val="24"/>
                <w:highlight w:val="none"/>
              </w:rPr>
              <w:t>建设项目主要生产单元、主要工艺及生产设施名称一览表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1"/>
              <w:gridCol w:w="2041"/>
              <w:gridCol w:w="1875"/>
              <w:gridCol w:w="1904"/>
              <w:gridCol w:w="1134"/>
              <w:gridCol w:w="1005"/>
            </w:tblGrid>
            <w:tr w14:paraId="072579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23" w:type="pct"/>
                  <w:noWrap w:val="0"/>
                  <w:vAlign w:val="center"/>
                </w:tcPr>
                <w:p w14:paraId="7A5C42D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序号</w:t>
                  </w:r>
                </w:p>
              </w:tc>
              <w:tc>
                <w:tcPr>
                  <w:tcW w:w="1199" w:type="pct"/>
                  <w:noWrap w:val="0"/>
                  <w:vAlign w:val="center"/>
                </w:tcPr>
                <w:p w14:paraId="5779F9A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使用位置</w:t>
                  </w:r>
                </w:p>
              </w:tc>
              <w:tc>
                <w:tcPr>
                  <w:tcW w:w="1101" w:type="pct"/>
                  <w:noWrap w:val="0"/>
                  <w:vAlign w:val="center"/>
                </w:tcPr>
                <w:p w14:paraId="6EE2DD2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设施名称</w:t>
                  </w:r>
                </w:p>
              </w:tc>
              <w:tc>
                <w:tcPr>
                  <w:tcW w:w="1118" w:type="pct"/>
                  <w:noWrap w:val="0"/>
                  <w:vAlign w:val="center"/>
                </w:tcPr>
                <w:p w14:paraId="575570D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设施</w:t>
                  </w:r>
                  <w:r>
                    <w:rPr>
                      <w:rFonts w:hint="eastAsia" w:ascii="Times New Roman" w:hAnsi="Times New Roman" w:eastAsia="宋体" w:cs="Times New Roman"/>
                      <w:b/>
                      <w:bCs/>
                      <w:color w:val="auto"/>
                      <w:sz w:val="21"/>
                      <w:szCs w:val="21"/>
                      <w:highlight w:val="none"/>
                      <w:lang w:val="en-US" w:eastAsia="zh-CN"/>
                    </w:rPr>
                    <w:t>规格/型号</w:t>
                  </w:r>
                </w:p>
              </w:tc>
              <w:tc>
                <w:tcPr>
                  <w:tcW w:w="666" w:type="pct"/>
                  <w:noWrap w:val="0"/>
                  <w:vAlign w:val="center"/>
                </w:tcPr>
                <w:p w14:paraId="524A64C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数量（台/套）</w:t>
                  </w:r>
                </w:p>
              </w:tc>
              <w:tc>
                <w:tcPr>
                  <w:tcW w:w="590" w:type="pct"/>
                  <w:noWrap w:val="0"/>
                  <w:vAlign w:val="center"/>
                </w:tcPr>
                <w:p w14:paraId="6E0423B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国别</w:t>
                  </w:r>
                </w:p>
              </w:tc>
            </w:tr>
            <w:tr w14:paraId="12EA86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noWrap w:val="0"/>
                  <w:vAlign w:val="center"/>
                </w:tcPr>
                <w:p w14:paraId="3491074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1199" w:type="pct"/>
                  <w:noWrap w:val="0"/>
                  <w:vAlign w:val="center"/>
                </w:tcPr>
                <w:p w14:paraId="7EA490E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szCs w:val="21"/>
                      <w:highlight w:val="none"/>
                    </w:rPr>
                    <w:t>普通生物实验室、细胞房</w:t>
                  </w:r>
                </w:p>
              </w:tc>
              <w:tc>
                <w:tcPr>
                  <w:tcW w:w="1101" w:type="pct"/>
                  <w:noWrap w:val="0"/>
                  <w:vAlign w:val="center"/>
                </w:tcPr>
                <w:p w14:paraId="37AD168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olor w:val="000000"/>
                      <w:sz w:val="21"/>
                      <w:szCs w:val="21"/>
                    </w:rPr>
                    <w:t>2-8度冰箱</w:t>
                  </w:r>
                </w:p>
              </w:tc>
              <w:tc>
                <w:tcPr>
                  <w:tcW w:w="1118" w:type="pct"/>
                  <w:noWrap w:val="0"/>
                  <w:vAlign w:val="center"/>
                </w:tcPr>
                <w:p w14:paraId="24C9D93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olor w:val="000000"/>
                      <w:sz w:val="21"/>
                      <w:szCs w:val="22"/>
                    </w:rPr>
                    <w:t>HYC-650</w:t>
                  </w:r>
                </w:p>
              </w:tc>
              <w:tc>
                <w:tcPr>
                  <w:tcW w:w="666" w:type="pct"/>
                  <w:noWrap w:val="0"/>
                  <w:vAlign w:val="center"/>
                </w:tcPr>
                <w:p w14:paraId="2196A1B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olor w:val="000000"/>
                      <w:sz w:val="21"/>
                      <w:szCs w:val="21"/>
                    </w:rPr>
                    <w:t>4</w:t>
                  </w:r>
                </w:p>
              </w:tc>
              <w:tc>
                <w:tcPr>
                  <w:tcW w:w="590" w:type="pct"/>
                  <w:noWrap w:val="0"/>
                  <w:vAlign w:val="center"/>
                </w:tcPr>
                <w:p w14:paraId="7670914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sz w:val="21"/>
                    </w:rPr>
                    <w:t>中国</w:t>
                  </w:r>
                </w:p>
              </w:tc>
            </w:tr>
            <w:tr w14:paraId="3274F6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noWrap w:val="0"/>
                  <w:vAlign w:val="center"/>
                </w:tcPr>
                <w:p w14:paraId="0C2ACC1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1199" w:type="pct"/>
                  <w:noWrap w:val="0"/>
                  <w:vAlign w:val="center"/>
                </w:tcPr>
                <w:p w14:paraId="7010976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szCs w:val="21"/>
                      <w:highlight w:val="none"/>
                    </w:rPr>
                    <w:t>冰箱间、液氮间</w:t>
                  </w:r>
                </w:p>
              </w:tc>
              <w:tc>
                <w:tcPr>
                  <w:tcW w:w="1101" w:type="pct"/>
                  <w:noWrap w:val="0"/>
                  <w:vAlign w:val="center"/>
                </w:tcPr>
                <w:p w14:paraId="0175BFE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olor w:val="000000"/>
                      <w:sz w:val="21"/>
                      <w:szCs w:val="21"/>
                    </w:rPr>
                    <w:t>负80冰箱</w:t>
                  </w:r>
                </w:p>
              </w:tc>
              <w:tc>
                <w:tcPr>
                  <w:tcW w:w="1118" w:type="pct"/>
                  <w:noWrap w:val="0"/>
                  <w:vAlign w:val="center"/>
                </w:tcPr>
                <w:p w14:paraId="140E37A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olor w:val="000000"/>
                      <w:sz w:val="21"/>
                      <w:szCs w:val="22"/>
                    </w:rPr>
                    <w:t>905GP-ULTS</w:t>
                  </w:r>
                </w:p>
              </w:tc>
              <w:tc>
                <w:tcPr>
                  <w:tcW w:w="666" w:type="pct"/>
                  <w:noWrap w:val="0"/>
                  <w:vAlign w:val="center"/>
                </w:tcPr>
                <w:p w14:paraId="70C847C1">
                  <w:pPr>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000000"/>
                      <w:sz w:val="21"/>
                      <w:szCs w:val="21"/>
                    </w:rPr>
                    <w:t>2</w:t>
                  </w:r>
                </w:p>
              </w:tc>
              <w:tc>
                <w:tcPr>
                  <w:tcW w:w="590" w:type="pct"/>
                  <w:noWrap w:val="0"/>
                  <w:vAlign w:val="center"/>
                </w:tcPr>
                <w:p w14:paraId="3FD4DB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sz w:val="21"/>
                    </w:rPr>
                    <w:t>美国</w:t>
                  </w:r>
                </w:p>
              </w:tc>
            </w:tr>
            <w:tr w14:paraId="4B4AD6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noWrap w:val="0"/>
                  <w:vAlign w:val="center"/>
                </w:tcPr>
                <w:p w14:paraId="656036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1199" w:type="pct"/>
                  <w:noWrap w:val="0"/>
                  <w:vAlign w:val="center"/>
                </w:tcPr>
                <w:p w14:paraId="5BA4594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szCs w:val="21"/>
                      <w:highlight w:val="none"/>
                    </w:rPr>
                    <w:t>普通生物实验室、细胞房</w:t>
                  </w:r>
                </w:p>
              </w:tc>
              <w:tc>
                <w:tcPr>
                  <w:tcW w:w="1101" w:type="pct"/>
                  <w:noWrap w:val="0"/>
                  <w:vAlign w:val="center"/>
                </w:tcPr>
                <w:p w14:paraId="2785AED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textAlignment w:val="auto"/>
                    <w:rPr>
                      <w:rFonts w:hint="eastAsia" w:ascii="Times New Roman" w:hAnsi="Times New Roman" w:eastAsia="宋体" w:cs="Times New Roman"/>
                      <w:color w:val="FF0000"/>
                      <w:sz w:val="21"/>
                      <w:szCs w:val="21"/>
                      <w:highlight w:val="none"/>
                      <w:lang w:val="en-US" w:eastAsia="zh-CN"/>
                    </w:rPr>
                  </w:pPr>
                  <w:r>
                    <w:rPr>
                      <w:rFonts w:hint="default" w:ascii="Times New Roman" w:hAnsi="Times New Roman" w:eastAsia="宋体"/>
                      <w:color w:val="000000"/>
                      <w:sz w:val="21"/>
                      <w:szCs w:val="21"/>
                    </w:rPr>
                    <w:t>负20冰箱</w:t>
                  </w:r>
                </w:p>
              </w:tc>
              <w:tc>
                <w:tcPr>
                  <w:tcW w:w="1118" w:type="pct"/>
                  <w:noWrap w:val="0"/>
                  <w:vAlign w:val="center"/>
                </w:tcPr>
                <w:p w14:paraId="5EC7349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olor w:val="000000"/>
                      <w:sz w:val="21"/>
                      <w:szCs w:val="22"/>
                    </w:rPr>
                    <w:t>DW-30L278</w:t>
                  </w:r>
                </w:p>
              </w:tc>
              <w:tc>
                <w:tcPr>
                  <w:tcW w:w="666" w:type="pct"/>
                  <w:noWrap w:val="0"/>
                  <w:vAlign w:val="center"/>
                </w:tcPr>
                <w:p w14:paraId="41B6C342">
                  <w:pPr>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szCs w:val="21"/>
                      <w:highlight w:val="none"/>
                      <w:lang w:eastAsia="zh-CN"/>
                    </w:rPr>
                  </w:pPr>
                  <w:r>
                    <w:rPr>
                      <w:rFonts w:hint="eastAsia" w:ascii="Times New Roman" w:hAnsi="Times New Roman" w:eastAsia="宋体"/>
                      <w:color w:val="000000"/>
                      <w:sz w:val="21"/>
                      <w:szCs w:val="21"/>
                    </w:rPr>
                    <w:t>4</w:t>
                  </w:r>
                </w:p>
              </w:tc>
              <w:tc>
                <w:tcPr>
                  <w:tcW w:w="590" w:type="pct"/>
                  <w:noWrap w:val="0"/>
                  <w:vAlign w:val="center"/>
                </w:tcPr>
                <w:p w14:paraId="4BE8751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sz w:val="21"/>
                    </w:rPr>
                    <w:t>中国</w:t>
                  </w:r>
                </w:p>
              </w:tc>
            </w:tr>
            <w:tr w14:paraId="0F676D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noWrap w:val="0"/>
                  <w:vAlign w:val="center"/>
                </w:tcPr>
                <w:p w14:paraId="0D09A64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1199" w:type="pct"/>
                  <w:noWrap w:val="0"/>
                  <w:vAlign w:val="center"/>
                </w:tcPr>
                <w:p w14:paraId="780D13D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szCs w:val="21"/>
                      <w:highlight w:val="none"/>
                    </w:rPr>
                    <w:t>细胞房</w:t>
                  </w:r>
                </w:p>
              </w:tc>
              <w:tc>
                <w:tcPr>
                  <w:tcW w:w="1101" w:type="pct"/>
                  <w:noWrap w:val="0"/>
                  <w:vAlign w:val="center"/>
                </w:tcPr>
                <w:p w14:paraId="3513C1F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olor w:val="000000"/>
                      <w:sz w:val="21"/>
                      <w:szCs w:val="21"/>
                    </w:rPr>
                    <w:t>显微镜</w:t>
                  </w:r>
                </w:p>
              </w:tc>
              <w:tc>
                <w:tcPr>
                  <w:tcW w:w="1118" w:type="pct"/>
                  <w:noWrap w:val="0"/>
                  <w:vAlign w:val="center"/>
                </w:tcPr>
                <w:p w14:paraId="7CC8F25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olor w:val="000000"/>
                      <w:sz w:val="21"/>
                      <w:szCs w:val="22"/>
                    </w:rPr>
                    <w:t>SM218</w:t>
                  </w:r>
                </w:p>
              </w:tc>
              <w:tc>
                <w:tcPr>
                  <w:tcW w:w="666" w:type="pct"/>
                  <w:noWrap w:val="0"/>
                  <w:vAlign w:val="center"/>
                </w:tcPr>
                <w:p w14:paraId="7E6EB3D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olor w:val="000000"/>
                      <w:sz w:val="21"/>
                      <w:szCs w:val="21"/>
                    </w:rPr>
                    <w:t>1</w:t>
                  </w:r>
                </w:p>
              </w:tc>
              <w:tc>
                <w:tcPr>
                  <w:tcW w:w="590" w:type="pct"/>
                  <w:noWrap w:val="0"/>
                  <w:vAlign w:val="center"/>
                </w:tcPr>
                <w:p w14:paraId="32116A2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sz w:val="21"/>
                    </w:rPr>
                    <w:t>日本</w:t>
                  </w:r>
                </w:p>
              </w:tc>
            </w:tr>
            <w:tr w14:paraId="25B594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noWrap w:val="0"/>
                  <w:vAlign w:val="center"/>
                </w:tcPr>
                <w:p w14:paraId="46BCB30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5</w:t>
                  </w:r>
                </w:p>
              </w:tc>
              <w:tc>
                <w:tcPr>
                  <w:tcW w:w="1199" w:type="pct"/>
                  <w:noWrap w:val="0"/>
                  <w:vAlign w:val="center"/>
                </w:tcPr>
                <w:p w14:paraId="7E43DC8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szCs w:val="21"/>
                      <w:highlight w:val="none"/>
                    </w:rPr>
                    <w:t>普通生物实验室、细胞房</w:t>
                  </w:r>
                </w:p>
              </w:tc>
              <w:tc>
                <w:tcPr>
                  <w:tcW w:w="1101" w:type="pct"/>
                  <w:noWrap w:val="0"/>
                  <w:vAlign w:val="center"/>
                </w:tcPr>
                <w:p w14:paraId="6D3F625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olor w:val="000000"/>
                      <w:sz w:val="21"/>
                      <w:szCs w:val="21"/>
                    </w:rPr>
                    <w:t>离心机</w:t>
                  </w:r>
                </w:p>
              </w:tc>
              <w:tc>
                <w:tcPr>
                  <w:tcW w:w="1118" w:type="pct"/>
                  <w:noWrap w:val="0"/>
                  <w:vAlign w:val="center"/>
                </w:tcPr>
                <w:p w14:paraId="4E3BA84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olor w:val="000000"/>
                      <w:sz w:val="21"/>
                      <w:szCs w:val="22"/>
                    </w:rPr>
                    <w:t>5810R</w:t>
                  </w:r>
                </w:p>
              </w:tc>
              <w:tc>
                <w:tcPr>
                  <w:tcW w:w="666" w:type="pct"/>
                  <w:noWrap w:val="0"/>
                  <w:vAlign w:val="center"/>
                </w:tcPr>
                <w:p w14:paraId="78975D7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olor w:val="000000"/>
                      <w:sz w:val="21"/>
                      <w:szCs w:val="21"/>
                    </w:rPr>
                    <w:t>1</w:t>
                  </w:r>
                </w:p>
              </w:tc>
              <w:tc>
                <w:tcPr>
                  <w:tcW w:w="590" w:type="pct"/>
                  <w:noWrap w:val="0"/>
                  <w:vAlign w:val="center"/>
                </w:tcPr>
                <w:p w14:paraId="45DEE6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sz w:val="21"/>
                    </w:rPr>
                    <w:t>美国</w:t>
                  </w:r>
                </w:p>
              </w:tc>
            </w:tr>
            <w:tr w14:paraId="602591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noWrap w:val="0"/>
                  <w:vAlign w:val="center"/>
                </w:tcPr>
                <w:p w14:paraId="2E5F9E6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w:t>
                  </w:r>
                </w:p>
              </w:tc>
              <w:tc>
                <w:tcPr>
                  <w:tcW w:w="1199" w:type="pct"/>
                  <w:noWrap w:val="0"/>
                  <w:vAlign w:val="center"/>
                </w:tcPr>
                <w:p w14:paraId="657E1A7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szCs w:val="21"/>
                      <w:highlight w:val="none"/>
                    </w:rPr>
                    <w:t>AI高通量筛选实验室</w:t>
                  </w:r>
                </w:p>
              </w:tc>
              <w:tc>
                <w:tcPr>
                  <w:tcW w:w="1101" w:type="pct"/>
                  <w:noWrap w:val="0"/>
                  <w:vAlign w:val="center"/>
                </w:tcPr>
                <w:p w14:paraId="045E1FA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olor w:val="000000"/>
                      <w:sz w:val="21"/>
                      <w:szCs w:val="21"/>
                    </w:rPr>
                    <w:t>自动化</w:t>
                  </w:r>
                  <w:r>
                    <w:rPr>
                      <w:rFonts w:hint="eastAsia" w:ascii="Times New Roman" w:hAnsi="Times New Roman" w:eastAsia="宋体"/>
                      <w:color w:val="000000"/>
                      <w:sz w:val="21"/>
                      <w:szCs w:val="21"/>
                    </w:rPr>
                    <w:t>工作站</w:t>
                  </w:r>
                </w:p>
              </w:tc>
              <w:tc>
                <w:tcPr>
                  <w:tcW w:w="1118" w:type="pct"/>
                  <w:noWrap w:val="0"/>
                  <w:vAlign w:val="center"/>
                </w:tcPr>
                <w:p w14:paraId="53FC511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olor w:val="000000"/>
                      <w:sz w:val="21"/>
                      <w:szCs w:val="22"/>
                    </w:rPr>
                    <w:t>instrument Fluent 780</w:t>
                  </w:r>
                </w:p>
              </w:tc>
              <w:tc>
                <w:tcPr>
                  <w:tcW w:w="666" w:type="pct"/>
                  <w:noWrap w:val="0"/>
                  <w:vAlign w:val="center"/>
                </w:tcPr>
                <w:p w14:paraId="1580A1C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olor w:val="000000"/>
                      <w:sz w:val="21"/>
                      <w:szCs w:val="21"/>
                    </w:rPr>
                    <w:t>1</w:t>
                  </w:r>
                </w:p>
              </w:tc>
              <w:tc>
                <w:tcPr>
                  <w:tcW w:w="590" w:type="pct"/>
                  <w:noWrap w:val="0"/>
                  <w:vAlign w:val="center"/>
                </w:tcPr>
                <w:p w14:paraId="129D0FD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sz w:val="21"/>
                    </w:rPr>
                    <w:t>瑞士</w:t>
                  </w:r>
                </w:p>
              </w:tc>
            </w:tr>
            <w:tr w14:paraId="376481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3" w:type="pct"/>
                  <w:noWrap w:val="0"/>
                  <w:vAlign w:val="center"/>
                </w:tcPr>
                <w:p w14:paraId="074272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w:t>
                  </w:r>
                </w:p>
              </w:tc>
              <w:tc>
                <w:tcPr>
                  <w:tcW w:w="1199" w:type="pct"/>
                  <w:noWrap w:val="0"/>
                  <w:vAlign w:val="center"/>
                </w:tcPr>
                <w:p w14:paraId="2F67754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szCs w:val="21"/>
                      <w:highlight w:val="none"/>
                    </w:rPr>
                    <w:t>普通生物实验室</w:t>
                  </w:r>
                </w:p>
              </w:tc>
              <w:tc>
                <w:tcPr>
                  <w:tcW w:w="1101" w:type="pct"/>
                  <w:noWrap w:val="0"/>
                  <w:vAlign w:val="center"/>
                </w:tcPr>
                <w:p w14:paraId="38C9884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olor w:val="000000"/>
                      <w:sz w:val="21"/>
                      <w:szCs w:val="21"/>
                    </w:rPr>
                    <w:t>天平</w:t>
                  </w:r>
                </w:p>
              </w:tc>
              <w:tc>
                <w:tcPr>
                  <w:tcW w:w="1118" w:type="pct"/>
                  <w:noWrap w:val="0"/>
                  <w:vAlign w:val="center"/>
                </w:tcPr>
                <w:p w14:paraId="49EEF42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olor w:val="000000"/>
                      <w:sz w:val="21"/>
                      <w:szCs w:val="22"/>
                    </w:rPr>
                    <w:t>ME 403 102</w:t>
                  </w:r>
                </w:p>
              </w:tc>
              <w:tc>
                <w:tcPr>
                  <w:tcW w:w="666" w:type="pct"/>
                  <w:noWrap w:val="0"/>
                  <w:vAlign w:val="center"/>
                </w:tcPr>
                <w:p w14:paraId="254E319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olor w:val="000000"/>
                      <w:sz w:val="21"/>
                      <w:szCs w:val="21"/>
                    </w:rPr>
                    <w:t>1</w:t>
                  </w:r>
                </w:p>
              </w:tc>
              <w:tc>
                <w:tcPr>
                  <w:tcW w:w="590" w:type="pct"/>
                  <w:noWrap w:val="0"/>
                  <w:vAlign w:val="center"/>
                </w:tcPr>
                <w:p w14:paraId="5CC8FB7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sz w:val="21"/>
                    </w:rPr>
                    <w:t>美国</w:t>
                  </w:r>
                </w:p>
              </w:tc>
            </w:tr>
            <w:tr w14:paraId="402F80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noWrap w:val="0"/>
                  <w:vAlign w:val="center"/>
                </w:tcPr>
                <w:p w14:paraId="4FE0E52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w:t>
                  </w:r>
                </w:p>
              </w:tc>
              <w:tc>
                <w:tcPr>
                  <w:tcW w:w="1199" w:type="pct"/>
                  <w:noWrap w:val="0"/>
                  <w:vAlign w:val="center"/>
                </w:tcPr>
                <w:p w14:paraId="7393D61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szCs w:val="21"/>
                      <w:highlight w:val="none"/>
                    </w:rPr>
                    <w:t>普通生物实验室</w:t>
                  </w:r>
                </w:p>
              </w:tc>
              <w:tc>
                <w:tcPr>
                  <w:tcW w:w="1101" w:type="pct"/>
                  <w:noWrap w:val="0"/>
                  <w:vAlign w:val="center"/>
                </w:tcPr>
                <w:p w14:paraId="400F048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olor w:val="000000"/>
                      <w:sz w:val="21"/>
                      <w:szCs w:val="21"/>
                    </w:rPr>
                    <w:t>通风橱</w:t>
                  </w:r>
                </w:p>
              </w:tc>
              <w:tc>
                <w:tcPr>
                  <w:tcW w:w="1118" w:type="pct"/>
                  <w:noWrap w:val="0"/>
                  <w:vAlign w:val="center"/>
                </w:tcPr>
                <w:p w14:paraId="4C8BA28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olor w:val="000000"/>
                      <w:sz w:val="21"/>
                      <w:szCs w:val="22"/>
                    </w:rPr>
                    <w:t>L</w:t>
                  </w:r>
                  <w:r>
                    <w:rPr>
                      <w:rFonts w:hint="eastAsia" w:ascii="Times New Roman" w:hAnsi="Times New Roman" w:eastAsia="宋体"/>
                      <w:color w:val="000000"/>
                      <w:sz w:val="21"/>
                      <w:szCs w:val="22"/>
                    </w:rPr>
                    <w:t>ocal</w:t>
                  </w:r>
                </w:p>
              </w:tc>
              <w:tc>
                <w:tcPr>
                  <w:tcW w:w="666" w:type="pct"/>
                  <w:noWrap w:val="0"/>
                  <w:vAlign w:val="center"/>
                </w:tcPr>
                <w:p w14:paraId="0924696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olor w:val="000000"/>
                      <w:sz w:val="21"/>
                      <w:szCs w:val="21"/>
                    </w:rPr>
                    <w:t>1</w:t>
                  </w:r>
                </w:p>
              </w:tc>
              <w:tc>
                <w:tcPr>
                  <w:tcW w:w="590" w:type="pct"/>
                  <w:noWrap w:val="0"/>
                  <w:vAlign w:val="center"/>
                </w:tcPr>
                <w:p w14:paraId="407642B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sz w:val="21"/>
                    </w:rPr>
                    <w:t>中国</w:t>
                  </w:r>
                </w:p>
              </w:tc>
            </w:tr>
            <w:tr w14:paraId="7BEA5B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noWrap w:val="0"/>
                  <w:vAlign w:val="center"/>
                </w:tcPr>
                <w:p w14:paraId="3346699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w:t>
                  </w:r>
                </w:p>
              </w:tc>
              <w:tc>
                <w:tcPr>
                  <w:tcW w:w="1199" w:type="pct"/>
                  <w:noWrap w:val="0"/>
                  <w:vAlign w:val="center"/>
                </w:tcPr>
                <w:p w14:paraId="61FA632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szCs w:val="21"/>
                      <w:highlight w:val="none"/>
                    </w:rPr>
                    <w:t>细胞房</w:t>
                  </w:r>
                </w:p>
              </w:tc>
              <w:tc>
                <w:tcPr>
                  <w:tcW w:w="1101" w:type="pct"/>
                  <w:noWrap w:val="0"/>
                  <w:vAlign w:val="center"/>
                </w:tcPr>
                <w:p w14:paraId="7FAD041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olor w:val="000000"/>
                      <w:sz w:val="21"/>
                      <w:szCs w:val="21"/>
                    </w:rPr>
                    <w:t>生物安全柜</w:t>
                  </w:r>
                </w:p>
              </w:tc>
              <w:tc>
                <w:tcPr>
                  <w:tcW w:w="1118" w:type="pct"/>
                  <w:noWrap w:val="0"/>
                  <w:vAlign w:val="center"/>
                </w:tcPr>
                <w:p w14:paraId="047E709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olor w:val="000000"/>
                      <w:sz w:val="21"/>
                      <w:szCs w:val="22"/>
                    </w:rPr>
                    <w:t>1004IIA2</w:t>
                  </w:r>
                </w:p>
              </w:tc>
              <w:tc>
                <w:tcPr>
                  <w:tcW w:w="666" w:type="pct"/>
                  <w:noWrap w:val="0"/>
                  <w:vAlign w:val="center"/>
                </w:tcPr>
                <w:p w14:paraId="5508FC9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olor w:val="000000"/>
                      <w:sz w:val="21"/>
                      <w:szCs w:val="21"/>
                    </w:rPr>
                    <w:t>4</w:t>
                  </w:r>
                </w:p>
              </w:tc>
              <w:tc>
                <w:tcPr>
                  <w:tcW w:w="590" w:type="pct"/>
                  <w:noWrap w:val="0"/>
                  <w:vAlign w:val="center"/>
                </w:tcPr>
                <w:p w14:paraId="2F33AA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sz w:val="21"/>
                    </w:rPr>
                    <w:t>中国</w:t>
                  </w:r>
                </w:p>
              </w:tc>
            </w:tr>
            <w:tr w14:paraId="46EF40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noWrap w:val="0"/>
                  <w:vAlign w:val="center"/>
                </w:tcPr>
                <w:p w14:paraId="756E816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w:t>
                  </w:r>
                </w:p>
              </w:tc>
              <w:tc>
                <w:tcPr>
                  <w:tcW w:w="1199" w:type="pct"/>
                  <w:noWrap w:val="0"/>
                  <w:vAlign w:val="center"/>
                </w:tcPr>
                <w:p w14:paraId="5011126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szCs w:val="21"/>
                      <w:highlight w:val="none"/>
                    </w:rPr>
                    <w:t>细胞房</w:t>
                  </w:r>
                </w:p>
              </w:tc>
              <w:tc>
                <w:tcPr>
                  <w:tcW w:w="1101" w:type="pct"/>
                  <w:noWrap w:val="0"/>
                  <w:vAlign w:val="center"/>
                </w:tcPr>
                <w:p w14:paraId="37BCA6A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olor w:val="000000"/>
                      <w:sz w:val="21"/>
                      <w:szCs w:val="21"/>
                    </w:rPr>
                    <w:t>水浴</w:t>
                  </w:r>
                  <w:r>
                    <w:rPr>
                      <w:rFonts w:hint="eastAsia" w:ascii="Times New Roman" w:hAnsi="Times New Roman" w:eastAsia="宋体"/>
                      <w:color w:val="000000"/>
                      <w:sz w:val="21"/>
                      <w:szCs w:val="21"/>
                    </w:rPr>
                    <w:t>锅</w:t>
                  </w:r>
                </w:p>
              </w:tc>
              <w:tc>
                <w:tcPr>
                  <w:tcW w:w="1118" w:type="pct"/>
                  <w:noWrap w:val="0"/>
                  <w:vAlign w:val="center"/>
                </w:tcPr>
                <w:p w14:paraId="063B84B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olor w:val="000000"/>
                      <w:sz w:val="21"/>
                      <w:szCs w:val="22"/>
                    </w:rPr>
                    <w:t>DKB-8A</w:t>
                  </w:r>
                </w:p>
              </w:tc>
              <w:tc>
                <w:tcPr>
                  <w:tcW w:w="666" w:type="pct"/>
                  <w:noWrap w:val="0"/>
                  <w:vAlign w:val="center"/>
                </w:tcPr>
                <w:p w14:paraId="7E8A9F1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olor w:val="000000"/>
                      <w:sz w:val="21"/>
                      <w:szCs w:val="21"/>
                    </w:rPr>
                    <w:t>1</w:t>
                  </w:r>
                </w:p>
              </w:tc>
              <w:tc>
                <w:tcPr>
                  <w:tcW w:w="590" w:type="pct"/>
                  <w:noWrap w:val="0"/>
                  <w:vAlign w:val="center"/>
                </w:tcPr>
                <w:p w14:paraId="472A7B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sz w:val="21"/>
                    </w:rPr>
                    <w:t>中国</w:t>
                  </w:r>
                </w:p>
              </w:tc>
            </w:tr>
            <w:tr w14:paraId="22A748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3" w:type="pct"/>
                  <w:noWrap w:val="0"/>
                  <w:vAlign w:val="center"/>
                </w:tcPr>
                <w:p w14:paraId="1BCF375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11</w:t>
                  </w:r>
                </w:p>
              </w:tc>
              <w:tc>
                <w:tcPr>
                  <w:tcW w:w="1199" w:type="pct"/>
                  <w:noWrap w:val="0"/>
                  <w:vAlign w:val="center"/>
                </w:tcPr>
                <w:p w14:paraId="6624195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szCs w:val="21"/>
                      <w:highlight w:val="none"/>
                    </w:rPr>
                    <w:t>细胞房</w:t>
                  </w:r>
                </w:p>
              </w:tc>
              <w:tc>
                <w:tcPr>
                  <w:tcW w:w="1101" w:type="pct"/>
                  <w:noWrap w:val="0"/>
                  <w:vAlign w:val="center"/>
                </w:tcPr>
                <w:p w14:paraId="11C87D4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olor w:val="000000"/>
                      <w:sz w:val="21"/>
                      <w:szCs w:val="21"/>
                    </w:rPr>
                    <w:t>细胞计数仪</w:t>
                  </w:r>
                </w:p>
              </w:tc>
              <w:tc>
                <w:tcPr>
                  <w:tcW w:w="1118" w:type="pct"/>
                  <w:noWrap w:val="0"/>
                  <w:vAlign w:val="center"/>
                </w:tcPr>
                <w:p w14:paraId="43A9DEF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olor w:val="000000"/>
                      <w:sz w:val="21"/>
                      <w:szCs w:val="22"/>
                    </w:rPr>
                    <w:t>Countstar IC1000</w:t>
                  </w:r>
                </w:p>
              </w:tc>
              <w:tc>
                <w:tcPr>
                  <w:tcW w:w="666" w:type="pct"/>
                  <w:noWrap w:val="0"/>
                  <w:vAlign w:val="center"/>
                </w:tcPr>
                <w:p w14:paraId="2443D47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olor w:val="000000"/>
                      <w:sz w:val="21"/>
                      <w:szCs w:val="21"/>
                    </w:rPr>
                    <w:t>1</w:t>
                  </w:r>
                </w:p>
              </w:tc>
              <w:tc>
                <w:tcPr>
                  <w:tcW w:w="590" w:type="pct"/>
                  <w:noWrap w:val="0"/>
                  <w:vAlign w:val="center"/>
                </w:tcPr>
                <w:p w14:paraId="09EB600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sz w:val="21"/>
                    </w:rPr>
                    <w:t>中国</w:t>
                  </w:r>
                </w:p>
              </w:tc>
            </w:tr>
            <w:tr w14:paraId="5E145E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noWrap w:val="0"/>
                  <w:vAlign w:val="center"/>
                </w:tcPr>
                <w:p w14:paraId="6681611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w:t>
                  </w:r>
                </w:p>
              </w:tc>
              <w:tc>
                <w:tcPr>
                  <w:tcW w:w="1199" w:type="pct"/>
                  <w:noWrap w:val="0"/>
                  <w:vAlign w:val="center"/>
                </w:tcPr>
                <w:p w14:paraId="55CAB9C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szCs w:val="21"/>
                      <w:highlight w:val="none"/>
                    </w:rPr>
                    <w:t>细胞房</w:t>
                  </w:r>
                </w:p>
              </w:tc>
              <w:tc>
                <w:tcPr>
                  <w:tcW w:w="1101" w:type="pct"/>
                  <w:noWrap w:val="0"/>
                  <w:vAlign w:val="center"/>
                </w:tcPr>
                <w:p w14:paraId="21B3304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olor w:val="000000"/>
                      <w:sz w:val="21"/>
                      <w:szCs w:val="21"/>
                    </w:rPr>
                    <w:t>二氧化碳培养箱</w:t>
                  </w:r>
                </w:p>
              </w:tc>
              <w:tc>
                <w:tcPr>
                  <w:tcW w:w="1118" w:type="pct"/>
                  <w:noWrap w:val="0"/>
                  <w:vAlign w:val="center"/>
                </w:tcPr>
                <w:p w14:paraId="4A935D5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olor w:val="000000"/>
                      <w:sz w:val="21"/>
                      <w:szCs w:val="22"/>
                    </w:rPr>
                    <w:t>311</w:t>
                  </w:r>
                </w:p>
              </w:tc>
              <w:tc>
                <w:tcPr>
                  <w:tcW w:w="666" w:type="pct"/>
                  <w:noWrap w:val="0"/>
                  <w:vAlign w:val="center"/>
                </w:tcPr>
                <w:p w14:paraId="520DAEC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olor w:val="000000"/>
                      <w:sz w:val="21"/>
                      <w:szCs w:val="21"/>
                    </w:rPr>
                    <w:t>4</w:t>
                  </w:r>
                </w:p>
              </w:tc>
              <w:tc>
                <w:tcPr>
                  <w:tcW w:w="590" w:type="pct"/>
                  <w:noWrap w:val="0"/>
                  <w:vAlign w:val="center"/>
                </w:tcPr>
                <w:p w14:paraId="749342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sz w:val="21"/>
                    </w:rPr>
                    <w:t>美国</w:t>
                  </w:r>
                </w:p>
              </w:tc>
            </w:tr>
            <w:tr w14:paraId="0F6889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noWrap w:val="0"/>
                  <w:vAlign w:val="center"/>
                </w:tcPr>
                <w:p w14:paraId="7B6DAB5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13</w:t>
                  </w:r>
                </w:p>
              </w:tc>
              <w:tc>
                <w:tcPr>
                  <w:tcW w:w="1199" w:type="pct"/>
                  <w:noWrap w:val="0"/>
                  <w:vAlign w:val="center"/>
                </w:tcPr>
                <w:p w14:paraId="3F3EE9D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szCs w:val="21"/>
                      <w:highlight w:val="none"/>
                    </w:rPr>
                    <w:t>冰箱间、液氮间</w:t>
                  </w:r>
                </w:p>
              </w:tc>
              <w:tc>
                <w:tcPr>
                  <w:tcW w:w="1101" w:type="pct"/>
                  <w:noWrap w:val="0"/>
                  <w:vAlign w:val="center"/>
                </w:tcPr>
                <w:p w14:paraId="7DBAA11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olor w:val="000000"/>
                      <w:sz w:val="21"/>
                      <w:szCs w:val="21"/>
                    </w:rPr>
                    <w:t>液氮罐</w:t>
                  </w:r>
                </w:p>
              </w:tc>
              <w:tc>
                <w:tcPr>
                  <w:tcW w:w="1118" w:type="pct"/>
                  <w:noWrap w:val="0"/>
                  <w:vAlign w:val="center"/>
                </w:tcPr>
                <w:p w14:paraId="23E5657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olor w:val="000000"/>
                      <w:sz w:val="21"/>
                      <w:szCs w:val="22"/>
                    </w:rPr>
                    <w:t>YDS-30L</w:t>
                  </w:r>
                </w:p>
              </w:tc>
              <w:tc>
                <w:tcPr>
                  <w:tcW w:w="666" w:type="pct"/>
                  <w:noWrap w:val="0"/>
                  <w:vAlign w:val="center"/>
                </w:tcPr>
                <w:p w14:paraId="76910A1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olor w:val="000000"/>
                      <w:sz w:val="21"/>
                      <w:szCs w:val="21"/>
                    </w:rPr>
                    <w:t>2</w:t>
                  </w:r>
                </w:p>
              </w:tc>
              <w:tc>
                <w:tcPr>
                  <w:tcW w:w="590" w:type="pct"/>
                  <w:noWrap w:val="0"/>
                  <w:vAlign w:val="center"/>
                </w:tcPr>
                <w:p w14:paraId="28D9D6F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sz w:val="21"/>
                    </w:rPr>
                    <w:t>中国</w:t>
                  </w:r>
                </w:p>
              </w:tc>
            </w:tr>
            <w:tr w14:paraId="64BFBF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noWrap w:val="0"/>
                  <w:vAlign w:val="center"/>
                </w:tcPr>
                <w:p w14:paraId="5F19598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14</w:t>
                  </w:r>
                </w:p>
              </w:tc>
              <w:tc>
                <w:tcPr>
                  <w:tcW w:w="1199" w:type="pct"/>
                  <w:noWrap w:val="0"/>
                  <w:vAlign w:val="center"/>
                </w:tcPr>
                <w:p w14:paraId="3810F46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szCs w:val="21"/>
                      <w:highlight w:val="none"/>
                    </w:rPr>
                    <w:t>普通生物实验室</w:t>
                  </w:r>
                </w:p>
              </w:tc>
              <w:tc>
                <w:tcPr>
                  <w:tcW w:w="1101" w:type="pct"/>
                  <w:noWrap w:val="0"/>
                  <w:vAlign w:val="center"/>
                </w:tcPr>
                <w:p w14:paraId="6DB745F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olor w:val="000000"/>
                      <w:sz w:val="21"/>
                      <w:szCs w:val="21"/>
                    </w:rPr>
                    <w:t>制冰机</w:t>
                  </w:r>
                </w:p>
              </w:tc>
              <w:tc>
                <w:tcPr>
                  <w:tcW w:w="1118" w:type="pct"/>
                  <w:noWrap w:val="0"/>
                  <w:vAlign w:val="center"/>
                </w:tcPr>
                <w:p w14:paraId="6D75396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olor w:val="000000"/>
                      <w:sz w:val="21"/>
                      <w:szCs w:val="22"/>
                    </w:rPr>
                    <w:t>AF103AS</w:t>
                  </w:r>
                </w:p>
              </w:tc>
              <w:tc>
                <w:tcPr>
                  <w:tcW w:w="666" w:type="pct"/>
                  <w:noWrap w:val="0"/>
                  <w:vAlign w:val="center"/>
                </w:tcPr>
                <w:p w14:paraId="0A93FFD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olor w:val="000000"/>
                      <w:sz w:val="21"/>
                      <w:szCs w:val="21"/>
                    </w:rPr>
                    <w:t>1</w:t>
                  </w:r>
                </w:p>
              </w:tc>
              <w:tc>
                <w:tcPr>
                  <w:tcW w:w="590" w:type="pct"/>
                  <w:noWrap w:val="0"/>
                  <w:vAlign w:val="center"/>
                </w:tcPr>
                <w:p w14:paraId="42EE742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sz w:val="21"/>
                    </w:rPr>
                    <w:t>美国</w:t>
                  </w:r>
                </w:p>
              </w:tc>
            </w:tr>
            <w:tr w14:paraId="51AB9E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3" w:type="pct"/>
                  <w:noWrap w:val="0"/>
                  <w:vAlign w:val="center"/>
                </w:tcPr>
                <w:p w14:paraId="3B2C645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15</w:t>
                  </w:r>
                </w:p>
              </w:tc>
              <w:tc>
                <w:tcPr>
                  <w:tcW w:w="1199" w:type="pct"/>
                  <w:noWrap w:val="0"/>
                  <w:vAlign w:val="center"/>
                </w:tcPr>
                <w:p w14:paraId="3279390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szCs w:val="21"/>
                      <w:highlight w:val="none"/>
                    </w:rPr>
                    <w:t>普通生物实验室</w:t>
                  </w:r>
                </w:p>
              </w:tc>
              <w:tc>
                <w:tcPr>
                  <w:tcW w:w="1101" w:type="pct"/>
                  <w:noWrap w:val="0"/>
                  <w:vAlign w:val="center"/>
                </w:tcPr>
                <w:p w14:paraId="57AE0B2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olor w:val="000000"/>
                      <w:sz w:val="21"/>
                      <w:szCs w:val="21"/>
                    </w:rPr>
                    <w:t>纯水仪</w:t>
                  </w:r>
                </w:p>
              </w:tc>
              <w:tc>
                <w:tcPr>
                  <w:tcW w:w="1118" w:type="pct"/>
                  <w:noWrap w:val="0"/>
                  <w:vAlign w:val="center"/>
                </w:tcPr>
                <w:p w14:paraId="6131D4D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olor w:val="000000"/>
                      <w:sz w:val="21"/>
                      <w:szCs w:val="22"/>
                    </w:rPr>
                    <w:t>Milli-Q</w:t>
                  </w:r>
                </w:p>
              </w:tc>
              <w:tc>
                <w:tcPr>
                  <w:tcW w:w="666" w:type="pct"/>
                  <w:noWrap w:val="0"/>
                  <w:vAlign w:val="center"/>
                </w:tcPr>
                <w:p w14:paraId="7FC3270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olor w:val="000000"/>
                      <w:sz w:val="21"/>
                      <w:szCs w:val="21"/>
                    </w:rPr>
                    <w:t>1</w:t>
                  </w:r>
                </w:p>
              </w:tc>
              <w:tc>
                <w:tcPr>
                  <w:tcW w:w="590" w:type="pct"/>
                  <w:noWrap w:val="0"/>
                  <w:vAlign w:val="center"/>
                </w:tcPr>
                <w:p w14:paraId="1C9BA34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sz w:val="21"/>
                    </w:rPr>
                    <w:t>美国</w:t>
                  </w:r>
                </w:p>
              </w:tc>
            </w:tr>
            <w:tr w14:paraId="28183E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noWrap w:val="0"/>
                  <w:vAlign w:val="center"/>
                </w:tcPr>
                <w:p w14:paraId="0D57B0D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16</w:t>
                  </w:r>
                </w:p>
              </w:tc>
              <w:tc>
                <w:tcPr>
                  <w:tcW w:w="1199" w:type="pct"/>
                  <w:noWrap w:val="0"/>
                  <w:vAlign w:val="center"/>
                </w:tcPr>
                <w:p w14:paraId="794B12D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szCs w:val="21"/>
                      <w:highlight w:val="none"/>
                    </w:rPr>
                    <w:t>普通生物实验室</w:t>
                  </w:r>
                </w:p>
              </w:tc>
              <w:tc>
                <w:tcPr>
                  <w:tcW w:w="1101" w:type="pct"/>
                  <w:noWrap w:val="0"/>
                  <w:vAlign w:val="center"/>
                </w:tcPr>
                <w:p w14:paraId="0E96306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olor w:val="000000"/>
                      <w:sz w:val="21"/>
                      <w:szCs w:val="21"/>
                    </w:rPr>
                    <w:t>酶标仪</w:t>
                  </w:r>
                </w:p>
              </w:tc>
              <w:tc>
                <w:tcPr>
                  <w:tcW w:w="1118" w:type="pct"/>
                  <w:noWrap w:val="0"/>
                  <w:vAlign w:val="center"/>
                </w:tcPr>
                <w:p w14:paraId="10E9265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olor w:val="000000"/>
                      <w:sz w:val="21"/>
                      <w:szCs w:val="22"/>
                    </w:rPr>
                    <w:t>Envision</w:t>
                  </w:r>
                </w:p>
              </w:tc>
              <w:tc>
                <w:tcPr>
                  <w:tcW w:w="666" w:type="pct"/>
                  <w:noWrap w:val="0"/>
                  <w:vAlign w:val="center"/>
                </w:tcPr>
                <w:p w14:paraId="55A2E79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olor w:val="000000"/>
                      <w:sz w:val="21"/>
                      <w:szCs w:val="21"/>
                    </w:rPr>
                    <w:t>1</w:t>
                  </w:r>
                </w:p>
              </w:tc>
              <w:tc>
                <w:tcPr>
                  <w:tcW w:w="590" w:type="pct"/>
                  <w:noWrap w:val="0"/>
                  <w:vAlign w:val="center"/>
                </w:tcPr>
                <w:p w14:paraId="70677C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sz w:val="21"/>
                    </w:rPr>
                    <w:t>美国</w:t>
                  </w:r>
                </w:p>
              </w:tc>
            </w:tr>
            <w:tr w14:paraId="1936C6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noWrap w:val="0"/>
                  <w:vAlign w:val="center"/>
                </w:tcPr>
                <w:p w14:paraId="3D9428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17</w:t>
                  </w:r>
                </w:p>
              </w:tc>
              <w:tc>
                <w:tcPr>
                  <w:tcW w:w="1199" w:type="pct"/>
                  <w:noWrap w:val="0"/>
                  <w:vAlign w:val="center"/>
                </w:tcPr>
                <w:p w14:paraId="15EBE8D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szCs w:val="21"/>
                      <w:highlight w:val="none"/>
                    </w:rPr>
                    <w:t>细胞房</w:t>
                  </w:r>
                </w:p>
              </w:tc>
              <w:tc>
                <w:tcPr>
                  <w:tcW w:w="1101" w:type="pct"/>
                  <w:noWrap w:val="0"/>
                  <w:vAlign w:val="center"/>
                </w:tcPr>
                <w:p w14:paraId="5B8306E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olor w:val="000000"/>
                      <w:sz w:val="21"/>
                      <w:szCs w:val="21"/>
                    </w:rPr>
                    <w:t>共聚焦显微镜</w:t>
                  </w:r>
                </w:p>
              </w:tc>
              <w:tc>
                <w:tcPr>
                  <w:tcW w:w="1118" w:type="pct"/>
                  <w:noWrap w:val="0"/>
                  <w:vAlign w:val="center"/>
                </w:tcPr>
                <w:p w14:paraId="259BB33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olor w:val="000000"/>
                      <w:sz w:val="21"/>
                      <w:szCs w:val="22"/>
                    </w:rPr>
                    <w:t>THUNDER DMI8</w:t>
                  </w:r>
                </w:p>
              </w:tc>
              <w:tc>
                <w:tcPr>
                  <w:tcW w:w="666" w:type="pct"/>
                  <w:noWrap w:val="0"/>
                  <w:vAlign w:val="center"/>
                </w:tcPr>
                <w:p w14:paraId="5620876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olor w:val="000000"/>
                      <w:sz w:val="21"/>
                      <w:szCs w:val="21"/>
                    </w:rPr>
                    <w:t>1</w:t>
                  </w:r>
                </w:p>
              </w:tc>
              <w:tc>
                <w:tcPr>
                  <w:tcW w:w="590" w:type="pct"/>
                  <w:noWrap w:val="0"/>
                  <w:vAlign w:val="center"/>
                </w:tcPr>
                <w:p w14:paraId="278B352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sz w:val="21"/>
                    </w:rPr>
                    <w:t>美国</w:t>
                  </w:r>
                </w:p>
              </w:tc>
            </w:tr>
            <w:tr w14:paraId="7EE9AF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noWrap w:val="0"/>
                  <w:vAlign w:val="center"/>
                </w:tcPr>
                <w:p w14:paraId="31377F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18</w:t>
                  </w:r>
                </w:p>
              </w:tc>
              <w:tc>
                <w:tcPr>
                  <w:tcW w:w="1199" w:type="pct"/>
                  <w:noWrap w:val="0"/>
                  <w:vAlign w:val="center"/>
                </w:tcPr>
                <w:p w14:paraId="3D95018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szCs w:val="21"/>
                      <w:highlight w:val="none"/>
                    </w:rPr>
                    <w:t>废气处理</w:t>
                  </w:r>
                </w:p>
              </w:tc>
              <w:tc>
                <w:tcPr>
                  <w:tcW w:w="1101" w:type="pct"/>
                  <w:noWrap w:val="0"/>
                  <w:vAlign w:val="center"/>
                </w:tcPr>
                <w:p w14:paraId="174517B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二级活性炭吸附装置</w:t>
                  </w:r>
                </w:p>
              </w:tc>
              <w:tc>
                <w:tcPr>
                  <w:tcW w:w="1118" w:type="pct"/>
                  <w:noWrap w:val="0"/>
                  <w:vAlign w:val="center"/>
                </w:tcPr>
                <w:p w14:paraId="4B5E2A8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auto"/>
                    <w:rPr>
                      <w:rFonts w:hint="eastAsia" w:ascii="Times New Roman" w:hAnsi="Times New Roman" w:eastAsia="宋体"/>
                      <w:color w:val="000000"/>
                      <w:sz w:val="21"/>
                      <w:szCs w:val="22"/>
                      <w:highlight w:val="none"/>
                      <w:lang w:val="en-US" w:eastAsia="zh-CN"/>
                    </w:rPr>
                  </w:pPr>
                  <w:r>
                    <w:rPr>
                      <w:rFonts w:hint="eastAsia" w:ascii="Times New Roman" w:hAnsi="Times New Roman" w:eastAsia="宋体"/>
                      <w:color w:val="000000"/>
                      <w:sz w:val="21"/>
                      <w:szCs w:val="22"/>
                      <w:highlight w:val="none"/>
                      <w:lang w:val="en-US" w:eastAsia="zh-CN"/>
                    </w:rPr>
                    <w:t>定制</w:t>
                  </w:r>
                </w:p>
              </w:tc>
              <w:tc>
                <w:tcPr>
                  <w:tcW w:w="666" w:type="pct"/>
                  <w:noWrap w:val="0"/>
                  <w:vAlign w:val="center"/>
                </w:tcPr>
                <w:p w14:paraId="19D05FF5">
                  <w:pPr>
                    <w:keepNext w:val="0"/>
                    <w:keepLines w:val="0"/>
                    <w:widowControl/>
                    <w:suppressLineNumbers w:val="0"/>
                    <w:spacing w:before="0" w:beforeAutospacing="0" w:after="0" w:afterAutospacing="0"/>
                    <w:ind w:left="0" w:right="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w:t>
                  </w:r>
                </w:p>
              </w:tc>
              <w:tc>
                <w:tcPr>
                  <w:tcW w:w="590" w:type="pct"/>
                  <w:noWrap w:val="0"/>
                  <w:vAlign w:val="center"/>
                </w:tcPr>
                <w:p w14:paraId="61659CE2">
                  <w:pPr>
                    <w:keepNext w:val="0"/>
                    <w:keepLines w:val="0"/>
                    <w:suppressLineNumbers w:val="0"/>
                    <w:spacing w:before="0" w:beforeAutospacing="0" w:after="0" w:afterAutospacing="0"/>
                    <w:ind w:left="0" w:right="0"/>
                    <w:jc w:val="center"/>
                    <w:rPr>
                      <w:rFonts w:hint="default" w:ascii="Times New Roman" w:hAnsi="Times New Roman" w:eastAsia="宋体"/>
                      <w:sz w:val="21"/>
                      <w:lang w:val="en-US" w:eastAsia="zh-CN"/>
                    </w:rPr>
                  </w:pPr>
                  <w:r>
                    <w:rPr>
                      <w:rFonts w:hint="eastAsia" w:ascii="Times New Roman" w:hAnsi="Times New Roman" w:eastAsia="宋体"/>
                      <w:sz w:val="21"/>
                      <w:lang w:val="en-US" w:eastAsia="zh-CN"/>
                    </w:rPr>
                    <w:t>中国</w:t>
                  </w:r>
                </w:p>
              </w:tc>
            </w:tr>
          </w:tbl>
          <w:p w14:paraId="70192D4E">
            <w:pPr>
              <w:keepNext w:val="0"/>
              <w:keepLines w:val="0"/>
              <w:numPr>
                <w:ilvl w:val="0"/>
                <w:numId w:val="0"/>
              </w:numPr>
              <w:suppressLineNumbers w:val="0"/>
              <w:spacing w:before="0" w:beforeAutospacing="0" w:after="0" w:afterAutospacing="0" w:line="360" w:lineRule="auto"/>
              <w:ind w:left="0" w:leftChars="0" w:right="0" w:rightChars="0"/>
              <w:jc w:val="left"/>
              <w:rPr>
                <w:rFonts w:hint="default" w:ascii="Times New Roman" w:hAnsi="Times New Roman" w:eastAsia="宋体" w:cs="Times New Roman"/>
                <w:b/>
                <w:bCs/>
                <w:color w:val="auto"/>
                <w:sz w:val="24"/>
                <w:szCs w:val="32"/>
                <w:highlight w:val="none"/>
              </w:rPr>
            </w:pPr>
            <w:r>
              <w:rPr>
                <w:rFonts w:hint="eastAsia" w:ascii="Times New Roman" w:hAnsi="Times New Roman" w:eastAsia="宋体" w:cs="Times New Roman"/>
                <w:b/>
                <w:bCs/>
                <w:color w:val="auto"/>
                <w:kern w:val="2"/>
                <w:sz w:val="24"/>
                <w:szCs w:val="24"/>
                <w:highlight w:val="none"/>
                <w:lang w:val="en-US" w:eastAsia="zh-CN" w:bidi="ar-SA"/>
              </w:rPr>
              <w:t>7</w:t>
            </w:r>
            <w:r>
              <w:rPr>
                <w:rFonts w:hint="default" w:ascii="Times New Roman" w:hAnsi="Times New Roman" w:eastAsia="宋体" w:cs="Times New Roman"/>
                <w:b/>
                <w:bCs/>
                <w:color w:val="auto"/>
                <w:kern w:val="2"/>
                <w:sz w:val="24"/>
                <w:szCs w:val="24"/>
                <w:highlight w:val="none"/>
                <w:lang w:val="en-US" w:eastAsia="zh-CN" w:bidi="ar-SA"/>
              </w:rPr>
              <w:t>、</w:t>
            </w:r>
            <w:r>
              <w:rPr>
                <w:rFonts w:hint="default" w:ascii="Times New Roman" w:hAnsi="Times New Roman" w:eastAsia="宋体" w:cs="Times New Roman"/>
                <w:b/>
                <w:bCs/>
                <w:color w:val="auto"/>
                <w:sz w:val="24"/>
                <w:szCs w:val="32"/>
                <w:highlight w:val="none"/>
              </w:rPr>
              <w:t>项目用排水平衡</w:t>
            </w:r>
          </w:p>
          <w:p w14:paraId="7F4C85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本项目建成后，用水主要为员工生活用水</w:t>
            </w:r>
            <w:r>
              <w:rPr>
                <w:rFonts w:hint="eastAsia" w:cs="Times New Roman"/>
                <w:color w:val="auto"/>
                <w:sz w:val="24"/>
                <w:highlight w:val="none"/>
                <w:lang w:eastAsia="zh-CN"/>
              </w:rPr>
              <w:t>、</w:t>
            </w:r>
            <w:r>
              <w:rPr>
                <w:rFonts w:hint="eastAsia" w:cs="Times New Roman"/>
                <w:color w:val="auto"/>
                <w:sz w:val="24"/>
                <w:highlight w:val="none"/>
                <w:lang w:val="en-US" w:eastAsia="zh-CN"/>
              </w:rPr>
              <w:t>浴室用水</w:t>
            </w:r>
            <w:r>
              <w:rPr>
                <w:rFonts w:hint="eastAsia" w:ascii="Times New Roman" w:hAnsi="Times New Roman" w:eastAsia="宋体" w:cs="Times New Roman"/>
                <w:color w:val="auto"/>
                <w:sz w:val="24"/>
                <w:highlight w:val="none"/>
                <w:lang w:val="en-US" w:eastAsia="zh-CN"/>
              </w:rPr>
              <w:t>和生产用水</w:t>
            </w:r>
            <w:r>
              <w:rPr>
                <w:rFonts w:hint="eastAsia" w:ascii="Times New Roman" w:hAnsi="Times New Roman" w:eastAsia="宋体" w:cs="Times New Roman"/>
                <w:color w:val="auto"/>
                <w:sz w:val="24"/>
                <w:highlight w:val="none"/>
                <w:lang w:eastAsia="zh-CN"/>
              </w:rPr>
              <w:t>。</w:t>
            </w:r>
          </w:p>
          <w:p w14:paraId="2A7CB4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b/>
                <w:bCs/>
                <w:color w:val="auto"/>
                <w:sz w:val="24"/>
                <w:highlight w:val="none"/>
                <w:lang w:eastAsia="zh-CN"/>
              </w:rPr>
              <w:t>①生活用水：</w:t>
            </w:r>
            <w:r>
              <w:rPr>
                <w:rFonts w:hint="eastAsia" w:ascii="Times New Roman" w:hAnsi="Times New Roman" w:eastAsia="宋体" w:cs="Times New Roman"/>
                <w:color w:val="auto"/>
                <w:sz w:val="24"/>
                <w:highlight w:val="none"/>
                <w:lang w:eastAsia="zh-CN"/>
              </w:rPr>
              <w:t>参照《建筑给水排水设计标准》（GB50015-2019），职工用水定额为每人每班30~50L，本报告以50L/人·班计。本项目员工</w:t>
            </w:r>
            <w:r>
              <w:rPr>
                <w:rFonts w:hint="eastAsia" w:ascii="Times New Roman" w:hAnsi="Times New Roman" w:eastAsia="宋体" w:cs="Times New Roman"/>
                <w:color w:val="auto"/>
                <w:sz w:val="24"/>
                <w:highlight w:val="none"/>
                <w:lang w:val="en-US" w:eastAsia="zh-CN"/>
              </w:rPr>
              <w:t>10</w:t>
            </w:r>
            <w:r>
              <w:rPr>
                <w:rFonts w:hint="eastAsia" w:ascii="Times New Roman" w:hAnsi="Times New Roman" w:eastAsia="宋体" w:cs="Times New Roman"/>
                <w:color w:val="auto"/>
                <w:sz w:val="24"/>
                <w:highlight w:val="none"/>
                <w:lang w:eastAsia="zh-CN"/>
              </w:rPr>
              <w:t>人，</w:t>
            </w:r>
            <w:r>
              <w:rPr>
                <w:rFonts w:hint="eastAsia" w:ascii="Times New Roman" w:hAnsi="Times New Roman" w:eastAsia="宋体" w:cs="Times New Roman"/>
                <w:color w:val="auto"/>
                <w:sz w:val="24"/>
                <w:highlight w:val="none"/>
                <w:lang w:val="en-US" w:eastAsia="zh-CN"/>
              </w:rPr>
              <w:t>一</w:t>
            </w:r>
            <w:r>
              <w:rPr>
                <w:rFonts w:hint="eastAsia" w:ascii="Times New Roman" w:hAnsi="Times New Roman" w:eastAsia="宋体" w:cs="Times New Roman"/>
                <w:color w:val="auto"/>
                <w:sz w:val="24"/>
                <w:highlight w:val="none"/>
                <w:lang w:eastAsia="zh-CN"/>
              </w:rPr>
              <w:t>班制，每班8小时，全年工作</w:t>
            </w:r>
            <w:r>
              <w:rPr>
                <w:rFonts w:hint="eastAsia" w:ascii="Times New Roman" w:hAnsi="Times New Roman" w:eastAsia="宋体" w:cs="Times New Roman"/>
                <w:color w:val="auto"/>
                <w:sz w:val="24"/>
                <w:highlight w:val="none"/>
                <w:lang w:val="en-US" w:eastAsia="zh-CN"/>
              </w:rPr>
              <w:t>250</w:t>
            </w:r>
            <w:r>
              <w:rPr>
                <w:rFonts w:hint="eastAsia" w:ascii="Times New Roman" w:hAnsi="Times New Roman" w:eastAsia="宋体" w:cs="Times New Roman"/>
                <w:color w:val="auto"/>
                <w:sz w:val="24"/>
                <w:highlight w:val="none"/>
                <w:lang w:eastAsia="zh-CN"/>
              </w:rPr>
              <w:t>天。生活用水量</w:t>
            </w:r>
            <w:r>
              <w:rPr>
                <w:rFonts w:hint="eastAsia" w:ascii="Times New Roman" w:hAnsi="Times New Roman" w:eastAsia="宋体" w:cs="Times New Roman"/>
                <w:color w:val="auto"/>
                <w:sz w:val="24"/>
                <w:highlight w:val="none"/>
                <w:lang w:val="en-US" w:eastAsia="zh-CN"/>
              </w:rPr>
              <w:t>125t/a</w:t>
            </w:r>
            <w:r>
              <w:rPr>
                <w:rFonts w:hint="eastAsia" w:ascii="Times New Roman" w:hAnsi="Times New Roman" w:eastAsia="宋体" w:cs="Times New Roman"/>
                <w:color w:val="auto"/>
                <w:sz w:val="24"/>
                <w:highlight w:val="none"/>
                <w:lang w:eastAsia="zh-CN"/>
              </w:rPr>
              <w:t>，污水产生量按用水量的</w:t>
            </w:r>
            <w:r>
              <w:rPr>
                <w:rFonts w:hint="eastAsia" w:ascii="Times New Roman" w:hAnsi="Times New Roman" w:eastAsia="宋体" w:cs="Times New Roman"/>
                <w:color w:val="auto"/>
                <w:sz w:val="24"/>
                <w:highlight w:val="none"/>
                <w:lang w:val="en-US" w:eastAsia="zh-CN"/>
              </w:rPr>
              <w:t>90%</w:t>
            </w:r>
            <w:r>
              <w:rPr>
                <w:rFonts w:hint="eastAsia" w:ascii="Times New Roman" w:hAnsi="Times New Roman" w:eastAsia="宋体" w:cs="Times New Roman"/>
                <w:color w:val="auto"/>
                <w:sz w:val="24"/>
                <w:highlight w:val="none"/>
                <w:lang w:eastAsia="zh-CN"/>
              </w:rPr>
              <w:t>计，则生活污水产生量为</w:t>
            </w:r>
            <w:r>
              <w:rPr>
                <w:rFonts w:hint="eastAsia" w:ascii="Times New Roman" w:hAnsi="Times New Roman" w:eastAsia="宋体" w:cs="Times New Roman"/>
                <w:color w:val="auto"/>
                <w:sz w:val="24"/>
                <w:highlight w:val="none"/>
                <w:lang w:val="en-US" w:eastAsia="zh-CN"/>
              </w:rPr>
              <w:t>112.5</w:t>
            </w:r>
            <w:r>
              <w:rPr>
                <w:rFonts w:hint="eastAsia" w:ascii="Times New Roman" w:hAnsi="Times New Roman" w:eastAsia="宋体" w:cs="Times New Roman"/>
                <w:color w:val="auto"/>
                <w:sz w:val="24"/>
                <w:highlight w:val="none"/>
                <w:lang w:eastAsia="zh-CN"/>
              </w:rPr>
              <w:t>t/a。</w:t>
            </w:r>
          </w:p>
          <w:p w14:paraId="25C11F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Times New Roman" w:hAnsi="Times New Roman" w:eastAsia="宋体" w:cs="Times New Roman"/>
                <w:b w:val="0"/>
                <w:bCs w:val="0"/>
                <w:color w:val="auto"/>
                <w:sz w:val="24"/>
                <w:highlight w:val="none"/>
                <w:lang w:eastAsia="zh-CN"/>
              </w:rPr>
            </w:pPr>
            <w:r>
              <w:rPr>
                <w:rFonts w:hint="eastAsia" w:ascii="Times New Roman" w:hAnsi="Times New Roman" w:eastAsia="宋体" w:cs="Times New Roman"/>
                <w:b/>
                <w:bCs/>
                <w:color w:val="auto"/>
                <w:sz w:val="24"/>
                <w:highlight w:val="none"/>
                <w:lang w:eastAsia="zh-CN"/>
              </w:rPr>
              <w:t>②</w:t>
            </w:r>
            <w:r>
              <w:rPr>
                <w:rFonts w:hint="eastAsia" w:cs="Times New Roman"/>
                <w:b/>
                <w:bCs/>
                <w:color w:val="auto"/>
                <w:sz w:val="24"/>
                <w:highlight w:val="none"/>
                <w:lang w:val="en-US" w:eastAsia="zh-CN"/>
              </w:rPr>
              <w:t>浴室</w:t>
            </w:r>
            <w:r>
              <w:rPr>
                <w:rFonts w:hint="eastAsia" w:ascii="Times New Roman" w:hAnsi="Times New Roman" w:eastAsia="宋体" w:cs="Times New Roman"/>
                <w:b/>
                <w:bCs/>
                <w:color w:val="auto"/>
                <w:sz w:val="24"/>
                <w:highlight w:val="none"/>
                <w:lang w:val="en-US" w:eastAsia="zh-CN"/>
              </w:rPr>
              <w:t>用水：</w:t>
            </w:r>
          </w:p>
          <w:p w14:paraId="1624D1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val="0"/>
                <w:color w:val="auto"/>
                <w:sz w:val="24"/>
                <w:highlight w:val="none"/>
                <w:lang w:eastAsia="zh-CN"/>
              </w:rPr>
            </w:pPr>
            <w:r>
              <w:rPr>
                <w:rFonts w:hint="eastAsia" w:ascii="Times New Roman" w:hAnsi="Times New Roman" w:eastAsia="宋体" w:cs="Times New Roman"/>
                <w:b w:val="0"/>
                <w:bCs w:val="0"/>
                <w:color w:val="auto"/>
                <w:sz w:val="24"/>
                <w:highlight w:val="none"/>
                <w:lang w:eastAsia="zh-CN"/>
              </w:rPr>
              <w:t>本项目设有淋浴场所</w:t>
            </w:r>
            <w:r>
              <w:rPr>
                <w:rFonts w:hint="eastAsia" w:cs="Times New Roman"/>
                <w:b w:val="0"/>
                <w:bCs w:val="0"/>
                <w:color w:val="auto"/>
                <w:sz w:val="24"/>
                <w:highlight w:val="none"/>
                <w:lang w:eastAsia="zh-CN"/>
              </w:rPr>
              <w:t>，</w:t>
            </w:r>
            <w:r>
              <w:rPr>
                <w:rFonts w:hint="eastAsia" w:ascii="Times New Roman" w:hAnsi="Times New Roman" w:eastAsia="宋体" w:cs="Times New Roman"/>
                <w:b w:val="0"/>
                <w:bCs w:val="0"/>
                <w:color w:val="auto"/>
                <w:sz w:val="24"/>
                <w:highlight w:val="none"/>
                <w:lang w:eastAsia="zh-CN"/>
              </w:rPr>
              <w:t>浴室用水参考国家《建筑给水排水设计规范》(2019版)中公共浴室淋浴用水定额为100L/人·次，全年工作</w:t>
            </w:r>
            <w:r>
              <w:rPr>
                <w:rFonts w:hint="eastAsia" w:cs="Times New Roman"/>
                <w:b w:val="0"/>
                <w:bCs w:val="0"/>
                <w:color w:val="auto"/>
                <w:sz w:val="24"/>
                <w:highlight w:val="none"/>
                <w:lang w:val="en-US" w:eastAsia="zh-CN"/>
              </w:rPr>
              <w:t>250</w:t>
            </w:r>
            <w:r>
              <w:rPr>
                <w:rFonts w:hint="eastAsia" w:ascii="Times New Roman" w:hAnsi="Times New Roman" w:eastAsia="宋体" w:cs="Times New Roman"/>
                <w:b w:val="0"/>
                <w:bCs w:val="0"/>
                <w:color w:val="auto"/>
                <w:sz w:val="24"/>
                <w:highlight w:val="none"/>
                <w:lang w:eastAsia="zh-CN"/>
              </w:rPr>
              <w:t>天。每天洗浴人次按</w:t>
            </w:r>
            <w:r>
              <w:rPr>
                <w:rFonts w:hint="eastAsia" w:cs="Times New Roman"/>
                <w:b w:val="0"/>
                <w:bCs w:val="0"/>
                <w:color w:val="auto"/>
                <w:sz w:val="24"/>
                <w:highlight w:val="none"/>
                <w:lang w:val="en-US" w:eastAsia="zh-CN"/>
              </w:rPr>
              <w:t>10</w:t>
            </w:r>
            <w:r>
              <w:rPr>
                <w:rFonts w:hint="eastAsia" w:ascii="Times New Roman" w:hAnsi="Times New Roman" w:eastAsia="宋体" w:cs="Times New Roman"/>
                <w:b w:val="0"/>
                <w:bCs w:val="0"/>
                <w:color w:val="auto"/>
                <w:sz w:val="24"/>
                <w:highlight w:val="none"/>
                <w:lang w:eastAsia="zh-CN"/>
              </w:rPr>
              <w:t>人次，则洗浴用水量约为</w:t>
            </w:r>
            <w:r>
              <w:rPr>
                <w:rFonts w:hint="eastAsia" w:cs="Times New Roman"/>
                <w:b w:val="0"/>
                <w:bCs w:val="0"/>
                <w:color w:val="auto"/>
                <w:sz w:val="24"/>
                <w:highlight w:val="none"/>
                <w:lang w:val="en-US" w:eastAsia="zh-CN"/>
              </w:rPr>
              <w:t>250</w:t>
            </w:r>
            <w:r>
              <w:rPr>
                <w:rFonts w:hint="eastAsia" w:ascii="Times New Roman" w:hAnsi="Times New Roman" w:eastAsia="宋体" w:cs="Times New Roman"/>
                <w:b w:val="0"/>
                <w:bCs w:val="0"/>
                <w:color w:val="auto"/>
                <w:sz w:val="24"/>
                <w:highlight w:val="none"/>
                <w:lang w:eastAsia="zh-CN"/>
              </w:rPr>
              <w:t>t/a</w:t>
            </w:r>
            <w:r>
              <w:rPr>
                <w:rFonts w:hint="eastAsia" w:cs="Times New Roman"/>
                <w:b w:val="0"/>
                <w:bCs w:val="0"/>
                <w:color w:val="auto"/>
                <w:sz w:val="24"/>
                <w:highlight w:val="none"/>
                <w:lang w:eastAsia="zh-CN"/>
              </w:rPr>
              <w:t>，</w:t>
            </w:r>
            <w:r>
              <w:rPr>
                <w:rFonts w:hint="eastAsia" w:ascii="Times New Roman" w:hAnsi="Times New Roman" w:eastAsia="宋体" w:cs="Times New Roman"/>
                <w:b w:val="0"/>
                <w:bCs w:val="0"/>
                <w:color w:val="auto"/>
                <w:sz w:val="24"/>
                <w:highlight w:val="none"/>
                <w:lang w:eastAsia="zh-CN"/>
              </w:rPr>
              <w:t>生产栋洗浴废水产生量按80%计，则</w:t>
            </w:r>
            <w:r>
              <w:rPr>
                <w:rFonts w:hint="eastAsia" w:cs="Times New Roman"/>
                <w:b w:val="0"/>
                <w:bCs w:val="0"/>
                <w:color w:val="auto"/>
                <w:sz w:val="24"/>
                <w:highlight w:val="none"/>
                <w:lang w:eastAsia="zh-CN"/>
              </w:rPr>
              <w:t>洗浴废水</w:t>
            </w:r>
            <w:r>
              <w:rPr>
                <w:rFonts w:hint="eastAsia" w:ascii="Times New Roman" w:hAnsi="Times New Roman" w:eastAsia="宋体" w:cs="Times New Roman"/>
                <w:b w:val="0"/>
                <w:bCs w:val="0"/>
                <w:color w:val="auto"/>
                <w:sz w:val="24"/>
                <w:highlight w:val="none"/>
                <w:lang w:eastAsia="zh-CN"/>
              </w:rPr>
              <w:t>产生量为</w:t>
            </w:r>
            <w:r>
              <w:rPr>
                <w:rFonts w:hint="eastAsia" w:cs="Times New Roman"/>
                <w:b w:val="0"/>
                <w:bCs w:val="0"/>
                <w:color w:val="auto"/>
                <w:sz w:val="24"/>
                <w:highlight w:val="none"/>
                <w:lang w:val="en-US" w:eastAsia="zh-CN"/>
              </w:rPr>
              <w:t>200</w:t>
            </w:r>
            <w:r>
              <w:rPr>
                <w:rFonts w:hint="eastAsia" w:ascii="Times New Roman" w:hAnsi="Times New Roman" w:eastAsia="宋体" w:cs="Times New Roman"/>
                <w:b w:val="0"/>
                <w:bCs w:val="0"/>
                <w:color w:val="auto"/>
                <w:sz w:val="24"/>
                <w:highlight w:val="none"/>
                <w:lang w:eastAsia="zh-CN"/>
              </w:rPr>
              <w:t>t/a。</w:t>
            </w:r>
          </w:p>
          <w:p w14:paraId="082529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③</w:t>
            </w:r>
            <w:r>
              <w:rPr>
                <w:rFonts w:hint="eastAsia" w:cs="Times New Roman"/>
                <w:b/>
                <w:bCs/>
                <w:color w:val="auto"/>
                <w:sz w:val="24"/>
                <w:highlight w:val="none"/>
                <w:lang w:val="en-US" w:eastAsia="zh-CN"/>
              </w:rPr>
              <w:t>纯水制备</w:t>
            </w:r>
            <w:r>
              <w:rPr>
                <w:rFonts w:hint="eastAsia" w:ascii="Times New Roman" w:hAnsi="Times New Roman" w:eastAsia="宋体" w:cs="Times New Roman"/>
                <w:b/>
                <w:bCs/>
                <w:color w:val="auto"/>
                <w:sz w:val="24"/>
                <w:highlight w:val="none"/>
                <w:lang w:val="en-US" w:eastAsia="zh-CN"/>
              </w:rPr>
              <w:t>用水：</w:t>
            </w:r>
          </w:p>
          <w:p w14:paraId="2BFBC5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w:t>
            </w:r>
            <w:r>
              <w:rPr>
                <w:rFonts w:hint="eastAsia" w:cs="Times New Roman"/>
                <w:color w:val="auto"/>
                <w:sz w:val="24"/>
                <w:highlight w:val="none"/>
                <w:lang w:val="en-US" w:eastAsia="zh-CN"/>
              </w:rPr>
              <w:t>普通生物实验室、细胞房、AI高通量筛选实验室</w:t>
            </w:r>
            <w:r>
              <w:rPr>
                <w:rFonts w:hint="eastAsia" w:ascii="Times New Roman" w:hAnsi="Times New Roman" w:eastAsia="宋体" w:cs="Times New Roman"/>
                <w:color w:val="auto"/>
                <w:sz w:val="24"/>
                <w:highlight w:val="none"/>
                <w:lang w:val="en-US" w:eastAsia="zh-CN"/>
              </w:rPr>
              <w:t>实验过程中溶液配制、研发物质量分析需要用到的纯水，</w:t>
            </w:r>
            <w:r>
              <w:rPr>
                <w:rFonts w:hint="eastAsia" w:cs="Times New Roman"/>
                <w:color w:val="auto"/>
                <w:sz w:val="24"/>
                <w:highlight w:val="none"/>
                <w:lang w:val="en-US" w:eastAsia="zh-CN"/>
              </w:rPr>
              <w:t>据建设单位介绍</w:t>
            </w:r>
            <w:r>
              <w:rPr>
                <w:rFonts w:hint="eastAsia" w:ascii="Times New Roman" w:hAnsi="Times New Roman" w:eastAsia="宋体" w:cs="Times New Roman"/>
                <w:color w:val="auto"/>
                <w:sz w:val="24"/>
                <w:highlight w:val="none"/>
                <w:lang w:val="en-US" w:eastAsia="zh-CN"/>
              </w:rPr>
              <w:t>用水量为</w:t>
            </w:r>
            <w:r>
              <w:rPr>
                <w:rFonts w:hint="eastAsia" w:cs="Times New Roman"/>
                <w:color w:val="auto"/>
                <w:sz w:val="24"/>
                <w:highlight w:val="none"/>
                <w:lang w:val="en-US" w:eastAsia="zh-CN"/>
              </w:rPr>
              <w:t>10</w:t>
            </w:r>
            <w:r>
              <w:rPr>
                <w:rFonts w:hint="eastAsia" w:ascii="Times New Roman" w:hAnsi="Times New Roman" w:eastAsia="宋体" w:cs="Times New Roman"/>
                <w:color w:val="auto"/>
                <w:sz w:val="24"/>
                <w:highlight w:val="none"/>
                <w:lang w:val="en-US" w:eastAsia="zh-CN"/>
              </w:rPr>
              <w:t>t/a，根据企业提供的资料本项目纯水出水制取率以 67%计算，自来水用量为</w:t>
            </w:r>
            <w:r>
              <w:rPr>
                <w:rFonts w:hint="eastAsia" w:cs="Times New Roman"/>
                <w:color w:val="auto"/>
                <w:sz w:val="24"/>
                <w:highlight w:val="none"/>
                <w:lang w:val="en-US" w:eastAsia="zh-CN"/>
              </w:rPr>
              <w:t>14.93</w:t>
            </w:r>
            <w:r>
              <w:rPr>
                <w:rFonts w:hint="eastAsia" w:ascii="Times New Roman" w:hAnsi="Times New Roman" w:eastAsia="宋体" w:cs="Times New Roman"/>
                <w:color w:val="auto"/>
                <w:sz w:val="24"/>
                <w:highlight w:val="none"/>
                <w:lang w:val="en-US" w:eastAsia="zh-CN"/>
              </w:rPr>
              <w:t>t/a。</w:t>
            </w:r>
          </w:p>
          <w:p w14:paraId="678B7D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④水浴锅用水：</w:t>
            </w:r>
          </w:p>
          <w:p w14:paraId="24645D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s="Times New Roman"/>
                <w:color w:val="auto"/>
                <w:sz w:val="24"/>
                <w:highlight w:val="none"/>
                <w:lang w:val="en-US" w:eastAsia="zh-CN"/>
              </w:rPr>
            </w:pPr>
            <w:r>
              <w:rPr>
                <w:rFonts w:hint="default" w:cs="Times New Roman"/>
                <w:color w:val="auto"/>
                <w:sz w:val="24"/>
                <w:highlight w:val="none"/>
                <w:lang w:val="en-US" w:eastAsia="zh-CN"/>
              </w:rPr>
              <w:t>本项目使用型号为DKB-8A的水浴锅进行实验室内的水浴加热（以电能作为能源）。水浴锅通过电加热装置对内部水体加热，形成恒温水浴环境，用于实验样品的间接加热或温控反应。</w:t>
            </w:r>
            <w:r>
              <w:rPr>
                <w:rFonts w:hint="eastAsia" w:cs="Times New Roman"/>
                <w:color w:val="auto"/>
                <w:sz w:val="24"/>
                <w:highlight w:val="none"/>
                <w:lang w:val="en-US" w:eastAsia="zh-CN"/>
              </w:rPr>
              <w:t>水浴锅内的水</w:t>
            </w:r>
            <w:r>
              <w:rPr>
                <w:rFonts w:hint="default" w:cs="Times New Roman"/>
                <w:color w:val="auto"/>
                <w:sz w:val="24"/>
                <w:highlight w:val="none"/>
                <w:lang w:val="en-US" w:eastAsia="zh-CN"/>
              </w:rPr>
              <w:t>长期使用后需定期更换以保证水质清洁。</w:t>
            </w:r>
            <w:r>
              <w:rPr>
                <w:rFonts w:hint="eastAsia" w:cs="Times New Roman"/>
                <w:color w:val="auto"/>
                <w:sz w:val="24"/>
                <w:highlight w:val="none"/>
                <w:lang w:val="en-US" w:eastAsia="zh-CN"/>
              </w:rPr>
              <w:t>据建设单位介绍</w:t>
            </w:r>
            <w:r>
              <w:rPr>
                <w:rFonts w:hint="default" w:cs="Times New Roman"/>
                <w:color w:val="auto"/>
                <w:sz w:val="24"/>
                <w:highlight w:val="none"/>
                <w:lang w:val="en-US" w:eastAsia="zh-CN"/>
              </w:rPr>
              <w:t>，水浴锅每日补充水量按6.4 L/d 计，年使用天数为250天，全年总补水量为：</w:t>
            </w:r>
            <w:r>
              <w:rPr>
                <w:rFonts w:hint="eastAsia" w:cs="Times New Roman"/>
                <w:color w:val="auto"/>
                <w:sz w:val="24"/>
                <w:highlight w:val="none"/>
                <w:lang w:val="en-US" w:eastAsia="zh-CN"/>
              </w:rPr>
              <w:t>1.6t/a，</w:t>
            </w:r>
            <w:r>
              <w:rPr>
                <w:rFonts w:hint="default" w:cs="Times New Roman"/>
                <w:color w:val="auto"/>
                <w:sz w:val="24"/>
                <w:highlight w:val="none"/>
                <w:lang w:val="en-US" w:eastAsia="zh-CN"/>
              </w:rPr>
              <w:t>使用过程中，仅在开盖操作时有少量水蒸气逸出，</w:t>
            </w:r>
            <w:r>
              <w:rPr>
                <w:rFonts w:hint="eastAsia" w:cs="Times New Roman"/>
                <w:color w:val="auto"/>
                <w:sz w:val="24"/>
                <w:highlight w:val="none"/>
                <w:lang w:val="en-US" w:eastAsia="zh-CN"/>
              </w:rPr>
              <w:t>损耗量以10%计算，为0.16t/a。</w:t>
            </w:r>
          </w:p>
          <w:p w14:paraId="6C31A7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object>
                <v:shape id="_x0000_i1025" o:spt="75" type="#_x0000_t75" style="height:288.95pt;width:391.55pt;" o:ole="t" filled="f" o:preferrelative="t" stroked="f" coordsize="21600,21600">
                  <v:path/>
                  <v:fill on="f" focussize="0,0"/>
                  <v:stroke on="f"/>
                  <v:imagedata r:id="rId9" cropleft="2943f" croptop="1336f" cropright="21324f" cropbottom="40901f" o:title=""/>
                  <o:lock v:ext="edit" aspectratio="t"/>
                  <w10:wrap type="none"/>
                  <w10:anchorlock/>
                </v:shape>
                <o:OLEObject Type="Embed" ProgID="Visio.Drawing.11" ShapeID="_x0000_i1025" DrawAspect="Content" ObjectID="_1468075725" r:id="rId8">
                  <o:LockedField>false</o:LockedField>
                </o:OLEObject>
              </w:object>
            </w:r>
          </w:p>
          <w:p w14:paraId="033186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eastAsia" w:ascii="Times New Roman" w:hAnsi="Times New Roman" w:eastAsia="宋体" w:cs="Times New Roman"/>
                <w:b/>
                <w:bCs/>
                <w:color w:val="auto"/>
                <w:sz w:val="24"/>
                <w:szCs w:val="32"/>
                <w:highlight w:val="none"/>
                <w:lang w:val="en-US" w:eastAsia="zh-CN"/>
              </w:rPr>
            </w:pPr>
            <w:r>
              <w:rPr>
                <w:rFonts w:hint="eastAsia" w:ascii="Times New Roman" w:hAnsi="Times New Roman" w:eastAsia="宋体" w:cs="Times New Roman"/>
                <w:b/>
                <w:bCs/>
                <w:color w:val="auto"/>
                <w:sz w:val="24"/>
                <w:szCs w:val="32"/>
                <w:highlight w:val="none"/>
                <w:lang w:val="en-US" w:eastAsia="zh-CN"/>
              </w:rPr>
              <w:t>图2-1 本项目建成后全厂水量平衡图</w:t>
            </w:r>
            <w:r>
              <w:rPr>
                <w:rFonts w:hint="eastAsia" w:ascii="Times New Roman" w:hAnsi="Times New Roman" w:eastAsia="宋体" w:cs="Times New Roman"/>
                <w:b/>
                <w:bCs/>
                <w:color w:val="auto"/>
                <w:sz w:val="24"/>
                <w:szCs w:val="32"/>
                <w:highlight w:val="none"/>
                <w:lang w:eastAsia="zh-CN"/>
              </w:rPr>
              <w:t>（t/a）</w:t>
            </w:r>
          </w:p>
          <w:p w14:paraId="2F7DCB82">
            <w:pPr>
              <w:keepNext w:val="0"/>
              <w:keepLines w:val="0"/>
              <w:numPr>
                <w:ilvl w:val="0"/>
                <w:numId w:val="0"/>
              </w:numPr>
              <w:suppressLineNumbers w:val="0"/>
              <w:spacing w:before="0" w:beforeAutospacing="0" w:after="0" w:afterAutospacing="0" w:line="360" w:lineRule="auto"/>
              <w:ind w:left="0" w:right="0"/>
              <w:jc w:val="left"/>
              <w:rPr>
                <w:rFonts w:hint="default" w:ascii="Times New Roman" w:hAnsi="Times New Roman" w:eastAsia="宋体" w:cs="Times New Roman"/>
                <w:b/>
                <w:bCs/>
                <w:color w:val="auto"/>
                <w:sz w:val="24"/>
                <w:szCs w:val="32"/>
                <w:highlight w:val="none"/>
              </w:rPr>
            </w:pP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b/>
                <w:bCs/>
                <w:color w:val="auto"/>
                <w:kern w:val="2"/>
                <w:sz w:val="24"/>
                <w:szCs w:val="24"/>
                <w:lang w:val="en-US" w:eastAsia="zh-CN" w:bidi="ar-SA"/>
              </w:rPr>
              <w:t>8、</w:t>
            </w:r>
            <w:r>
              <w:rPr>
                <w:rFonts w:hint="default" w:ascii="Times New Roman" w:hAnsi="Times New Roman" w:eastAsia="宋体" w:cs="Times New Roman"/>
                <w:b/>
                <w:bCs/>
                <w:color w:val="auto"/>
                <w:sz w:val="24"/>
                <w:szCs w:val="32"/>
                <w:highlight w:val="none"/>
                <w:lang w:val="en-US" w:eastAsia="zh-CN"/>
              </w:rPr>
              <w:t>劳动定员及工作制度</w:t>
            </w:r>
          </w:p>
          <w:p w14:paraId="39B48E76">
            <w:pPr>
              <w:pStyle w:val="12"/>
              <w:keepNext w:val="0"/>
              <w:keepLines w:val="0"/>
              <w:suppressLineNumbers w:val="0"/>
              <w:snapToGrid/>
              <w:spacing w:before="0" w:beforeAutospacing="0" w:after="0" w:afterAutospacing="0" w:line="360" w:lineRule="auto"/>
              <w:ind w:lef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劳动定员：</w:t>
            </w:r>
            <w:r>
              <w:rPr>
                <w:rFonts w:hint="eastAsia" w:ascii="Times New Roman" w:hAnsi="Times New Roman" w:eastAsia="宋体" w:cs="Times New Roman"/>
                <w:color w:val="auto"/>
                <w:sz w:val="24"/>
                <w:szCs w:val="24"/>
                <w:highlight w:val="none"/>
                <w:lang w:val="en-US" w:eastAsia="zh-CN"/>
              </w:rPr>
              <w:t>项目建成后全厂定员10人</w:t>
            </w:r>
            <w:r>
              <w:rPr>
                <w:rFonts w:hint="default" w:ascii="Times New Roman" w:hAnsi="Times New Roman" w:eastAsia="宋体" w:cs="Times New Roman"/>
                <w:color w:val="auto"/>
                <w:sz w:val="24"/>
                <w:szCs w:val="24"/>
                <w:highlight w:val="none"/>
                <w:lang w:val="en-US" w:eastAsia="zh-CN"/>
              </w:rPr>
              <w:t>。</w:t>
            </w:r>
          </w:p>
          <w:p w14:paraId="3D3651C1">
            <w:pPr>
              <w:pStyle w:val="12"/>
              <w:keepNext w:val="0"/>
              <w:keepLines w:val="0"/>
              <w:suppressLineNumbers w:val="0"/>
              <w:snapToGrid/>
              <w:spacing w:before="0" w:beforeAutospacing="0" w:after="0" w:afterAutospacing="0" w:line="360" w:lineRule="auto"/>
              <w:ind w:lef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工作制度：</w:t>
            </w:r>
            <w:r>
              <w:rPr>
                <w:rFonts w:hint="eastAsia" w:ascii="Times New Roman" w:hAnsi="Times New Roman" w:eastAsia="宋体" w:cs="Times New Roman"/>
                <w:color w:val="auto"/>
                <w:sz w:val="24"/>
                <w:szCs w:val="24"/>
                <w:highlight w:val="none"/>
                <w:lang w:val="en-US" w:eastAsia="zh-CN"/>
              </w:rPr>
              <w:t>年工作250天，8小时工作制，年工作时间2000小时。</w:t>
            </w:r>
          </w:p>
          <w:p w14:paraId="3085EDFC">
            <w:pPr>
              <w:pStyle w:val="12"/>
              <w:keepNext w:val="0"/>
              <w:keepLines w:val="0"/>
              <w:suppressLineNumbers w:val="0"/>
              <w:snapToGrid/>
              <w:spacing w:before="0" w:beforeAutospacing="0" w:after="0" w:afterAutospacing="0" w:line="360" w:lineRule="auto"/>
              <w:ind w:left="0" w:firstLine="480" w:firstLineChars="200"/>
              <w:rPr>
                <w:rFonts w:hint="default" w:ascii="Times New Roman" w:hAnsi="Times New Roman" w:eastAsia="宋体"/>
                <w:color w:val="auto"/>
                <w:sz w:val="24"/>
                <w:highlight w:val="none"/>
              </w:rPr>
            </w:pPr>
            <w:r>
              <w:rPr>
                <w:rFonts w:hint="default" w:ascii="Times New Roman" w:hAnsi="Times New Roman" w:eastAsia="宋体" w:cs="Times New Roman"/>
                <w:color w:val="auto"/>
                <w:sz w:val="24"/>
                <w:szCs w:val="24"/>
                <w:highlight w:val="none"/>
                <w:lang w:val="en-US" w:eastAsia="zh-CN"/>
              </w:rPr>
              <w:t>生活配套设施：</w:t>
            </w:r>
            <w:r>
              <w:rPr>
                <w:rFonts w:hint="eastAsia" w:ascii="Times New Roman" w:hAnsi="Times New Roman" w:eastAsia="宋体" w:cs="Times New Roman"/>
                <w:color w:val="auto"/>
                <w:sz w:val="24"/>
                <w:szCs w:val="24"/>
                <w:highlight w:val="none"/>
                <w:lang w:val="en-US" w:eastAsia="zh-CN"/>
              </w:rPr>
              <w:t>厂内</w:t>
            </w:r>
            <w:r>
              <w:rPr>
                <w:rFonts w:hint="eastAsia" w:cs="Times New Roman"/>
                <w:color w:val="auto"/>
                <w:sz w:val="24"/>
                <w:szCs w:val="24"/>
                <w:highlight w:val="none"/>
                <w:lang w:val="en-US" w:eastAsia="zh-CN"/>
              </w:rPr>
              <w:t>设置淋浴间；</w:t>
            </w:r>
            <w:r>
              <w:rPr>
                <w:rFonts w:hint="eastAsia" w:ascii="Times New Roman" w:hAnsi="Times New Roman" w:eastAsia="宋体" w:cs="Times New Roman"/>
                <w:color w:val="auto"/>
                <w:sz w:val="24"/>
                <w:szCs w:val="24"/>
                <w:highlight w:val="none"/>
                <w:lang w:val="en-US" w:eastAsia="zh-CN"/>
              </w:rPr>
              <w:t>不设置</w:t>
            </w:r>
            <w:r>
              <w:rPr>
                <w:rFonts w:hint="eastAsia" w:cs="Times New Roman"/>
                <w:color w:val="auto"/>
                <w:sz w:val="24"/>
                <w:szCs w:val="24"/>
                <w:highlight w:val="none"/>
                <w:lang w:val="en-US" w:eastAsia="zh-CN"/>
              </w:rPr>
              <w:t>食堂</w:t>
            </w:r>
            <w:r>
              <w:rPr>
                <w:rFonts w:hint="eastAsia" w:ascii="Times New Roman" w:hAnsi="Times New Roman" w:eastAsia="宋体" w:cs="Times New Roman"/>
                <w:color w:val="auto"/>
                <w:sz w:val="24"/>
                <w:szCs w:val="24"/>
                <w:highlight w:val="none"/>
                <w:lang w:val="en-US" w:eastAsia="zh-CN"/>
              </w:rPr>
              <w:t>及宿舍</w:t>
            </w:r>
            <w:r>
              <w:rPr>
                <w:rFonts w:hint="default" w:ascii="Times New Roman" w:hAnsi="Times New Roman" w:eastAsia="宋体"/>
                <w:color w:val="auto"/>
                <w:sz w:val="24"/>
                <w:highlight w:val="none"/>
              </w:rPr>
              <w:t>。</w:t>
            </w:r>
          </w:p>
          <w:p w14:paraId="68634403">
            <w:pPr>
              <w:keepNext w:val="0"/>
              <w:keepLines w:val="0"/>
              <w:numPr>
                <w:ilvl w:val="0"/>
                <w:numId w:val="0"/>
              </w:numPr>
              <w:suppressLineNumbers w:val="0"/>
              <w:spacing w:before="0" w:beforeAutospacing="0" w:after="0" w:afterAutospacing="0" w:line="360" w:lineRule="auto"/>
              <w:ind w:left="0" w:right="0"/>
              <w:jc w:val="left"/>
              <w:rPr>
                <w:rFonts w:hint="default" w:ascii="Times New Roman" w:hAnsi="Times New Roman" w:eastAsia="宋体" w:cs="Times New Roman"/>
                <w:b/>
                <w:bCs/>
                <w:color w:val="auto"/>
                <w:sz w:val="24"/>
                <w:szCs w:val="32"/>
                <w:highlight w:val="none"/>
                <w:lang w:val="en-US" w:eastAsia="zh-CN"/>
              </w:rPr>
            </w:pPr>
            <w:r>
              <w:rPr>
                <w:rFonts w:hint="default" w:ascii="Times New Roman" w:hAnsi="Times New Roman" w:eastAsia="宋体" w:cs="Times New Roman"/>
                <w:b/>
                <w:bCs/>
                <w:color w:val="auto"/>
                <w:kern w:val="2"/>
                <w:sz w:val="24"/>
                <w:szCs w:val="24"/>
                <w:lang w:val="en-US" w:eastAsia="zh-CN" w:bidi="ar-SA"/>
              </w:rPr>
              <w:t>9、</w:t>
            </w:r>
            <w:r>
              <w:rPr>
                <w:rFonts w:hint="default" w:ascii="Times New Roman" w:hAnsi="Times New Roman" w:eastAsia="宋体" w:cs="Times New Roman"/>
                <w:b/>
                <w:bCs/>
                <w:color w:val="auto"/>
                <w:sz w:val="24"/>
                <w:szCs w:val="32"/>
                <w:highlight w:val="none"/>
                <w:lang w:val="en-US" w:eastAsia="zh-CN"/>
              </w:rPr>
              <w:t>项目地理位置、周围环境及平面布置</w:t>
            </w:r>
          </w:p>
          <w:p w14:paraId="6772716E">
            <w:pPr>
              <w:pStyle w:val="12"/>
              <w:keepNext w:val="0"/>
              <w:keepLines w:val="0"/>
              <w:suppressLineNumbers w:val="0"/>
              <w:snapToGrid/>
              <w:spacing w:before="0" w:beforeAutospacing="0" w:after="0" w:afterAutospacing="0" w:line="360" w:lineRule="auto"/>
              <w:ind w:left="0" w:firstLine="480" w:firstLineChars="200"/>
              <w:rPr>
                <w:rFonts w:hint="eastAsia" w:ascii="Times New Roman" w:hAnsi="Times New Roman" w:eastAsia="宋体"/>
                <w:color w:val="auto"/>
                <w:sz w:val="24"/>
                <w:highlight w:val="yellow"/>
                <w:lang w:eastAsia="zh-CN"/>
              </w:rPr>
            </w:pPr>
            <w:r>
              <w:rPr>
                <w:rFonts w:hint="eastAsia" w:ascii="Times New Roman" w:hAnsi="Times New Roman" w:eastAsia="宋体"/>
                <w:color w:val="auto"/>
                <w:sz w:val="24"/>
                <w:highlight w:val="none"/>
                <w:lang w:val="en-US" w:eastAsia="zh-CN"/>
              </w:rPr>
              <w:t>本项目位于无锡市新吴区净慧东道196号F楼2楼。本项目东面为无</w:t>
            </w:r>
            <w:r>
              <w:rPr>
                <w:rFonts w:hint="eastAsia"/>
                <w:color w:val="auto"/>
                <w:sz w:val="24"/>
                <w:highlight w:val="none"/>
                <w:lang w:val="en-US" w:eastAsia="zh-CN"/>
              </w:rPr>
              <w:t>菱湖大道</w:t>
            </w:r>
            <w:r>
              <w:rPr>
                <w:rFonts w:hint="eastAsia" w:ascii="Times New Roman" w:hAnsi="Times New Roman" w:eastAsia="宋体"/>
                <w:color w:val="auto"/>
                <w:sz w:val="24"/>
                <w:highlight w:val="none"/>
                <w:lang w:val="en-US" w:eastAsia="zh-CN"/>
              </w:rPr>
              <w:t>；南面为无锡生命科学产业发展有限公司其他厂房</w:t>
            </w:r>
            <w:r>
              <w:rPr>
                <w:rFonts w:hint="eastAsia"/>
                <w:color w:val="auto"/>
                <w:sz w:val="24"/>
                <w:highlight w:val="yellow"/>
                <w:lang w:val="en-US" w:eastAsia="zh-CN"/>
              </w:rPr>
              <w:t>（H栋、J栋）</w:t>
            </w:r>
            <w:r>
              <w:rPr>
                <w:rFonts w:hint="eastAsia" w:ascii="Times New Roman" w:hAnsi="Times New Roman" w:eastAsia="宋体"/>
                <w:color w:val="auto"/>
                <w:sz w:val="24"/>
                <w:highlight w:val="none"/>
                <w:lang w:val="en-US" w:eastAsia="zh-CN"/>
              </w:rPr>
              <w:t>；西面为北面为无锡生命科学产业发展有限公司其他厂房</w:t>
            </w:r>
            <w:r>
              <w:rPr>
                <w:rFonts w:hint="eastAsia"/>
                <w:color w:val="auto"/>
                <w:sz w:val="24"/>
                <w:highlight w:val="yellow"/>
                <w:lang w:val="en-US" w:eastAsia="zh-CN"/>
              </w:rPr>
              <w:t>（G栋）</w:t>
            </w:r>
            <w:r>
              <w:rPr>
                <w:rFonts w:hint="eastAsia" w:ascii="Times New Roman" w:hAnsi="Times New Roman" w:eastAsia="宋体"/>
                <w:color w:val="auto"/>
                <w:sz w:val="24"/>
                <w:highlight w:val="none"/>
                <w:lang w:val="en-US" w:eastAsia="zh-CN"/>
              </w:rPr>
              <w:t>，北面为</w:t>
            </w:r>
            <w:r>
              <w:rPr>
                <w:rFonts w:hint="eastAsia"/>
                <w:color w:val="auto"/>
                <w:sz w:val="24"/>
                <w:highlight w:val="none"/>
                <w:lang w:val="en-US" w:eastAsia="zh-CN"/>
              </w:rPr>
              <w:t>华秀路</w:t>
            </w:r>
            <w:r>
              <w:rPr>
                <w:rFonts w:hint="eastAsia" w:ascii="Times New Roman" w:hAnsi="Times New Roman" w:eastAsia="宋体"/>
                <w:color w:val="auto"/>
                <w:sz w:val="24"/>
                <w:highlight w:val="none"/>
                <w:lang w:val="en-US" w:eastAsia="zh-CN"/>
              </w:rPr>
              <w:t>。</w:t>
            </w:r>
            <w:r>
              <w:rPr>
                <w:rFonts w:hint="default" w:ascii="Times New Roman" w:hAnsi="Times New Roman" w:eastAsia="宋体"/>
                <w:color w:val="auto"/>
                <w:sz w:val="24"/>
                <w:highlight w:val="none"/>
              </w:rPr>
              <w:t>项目周围500米</w:t>
            </w:r>
            <w:r>
              <w:rPr>
                <w:rFonts w:hint="eastAsia" w:ascii="Times New Roman" w:hAnsi="Times New Roman" w:eastAsia="宋体"/>
                <w:color w:val="auto"/>
                <w:sz w:val="24"/>
                <w:highlight w:val="none"/>
                <w:lang w:eastAsia="zh-CN"/>
              </w:rPr>
              <w:t>范围</w:t>
            </w:r>
            <w:r>
              <w:rPr>
                <w:rFonts w:hint="default" w:ascii="Times New Roman" w:hAnsi="Times New Roman" w:eastAsia="宋体"/>
                <w:color w:val="auto"/>
                <w:sz w:val="24"/>
                <w:highlight w:val="none"/>
              </w:rPr>
              <w:t>内</w:t>
            </w:r>
            <w:r>
              <w:rPr>
                <w:rFonts w:hint="eastAsia" w:ascii="Times New Roman" w:hAnsi="Times New Roman" w:eastAsia="宋体"/>
                <w:color w:val="auto"/>
                <w:sz w:val="24"/>
                <w:highlight w:val="none"/>
                <w:lang w:eastAsia="zh-CN"/>
              </w:rPr>
              <w:t>无</w:t>
            </w:r>
            <w:r>
              <w:rPr>
                <w:rFonts w:hint="default" w:ascii="Times New Roman" w:hAnsi="Times New Roman" w:eastAsia="宋体"/>
                <w:color w:val="auto"/>
                <w:sz w:val="24"/>
                <w:highlight w:val="none"/>
              </w:rPr>
              <w:t>环境敏感</w:t>
            </w:r>
            <w:r>
              <w:rPr>
                <w:rFonts w:hint="eastAsia" w:ascii="Times New Roman" w:hAnsi="Times New Roman" w:eastAsia="宋体"/>
                <w:color w:val="auto"/>
                <w:sz w:val="24"/>
                <w:highlight w:val="none"/>
                <w:lang w:eastAsia="zh-CN"/>
              </w:rPr>
              <w:t>目标。</w:t>
            </w:r>
            <w:r>
              <w:rPr>
                <w:rFonts w:hint="default" w:ascii="Times New Roman" w:hAnsi="Times New Roman" w:eastAsia="宋体"/>
                <w:color w:val="auto"/>
                <w:sz w:val="24"/>
                <w:highlight w:val="none"/>
              </w:rPr>
              <w:t>本项目地理位置见</w:t>
            </w:r>
            <w:r>
              <w:rPr>
                <w:rFonts w:hint="eastAsia" w:ascii="Times New Roman" w:hAnsi="Times New Roman" w:eastAsia="宋体"/>
                <w:color w:val="auto"/>
                <w:sz w:val="24"/>
                <w:highlight w:val="red"/>
                <w:lang w:val="en-US" w:eastAsia="zh-CN"/>
              </w:rPr>
              <w:t>附</w:t>
            </w:r>
            <w:r>
              <w:rPr>
                <w:rFonts w:hint="eastAsia" w:ascii="Times New Roman" w:hAnsi="Times New Roman" w:eastAsia="宋体"/>
                <w:color w:val="auto"/>
                <w:sz w:val="24"/>
                <w:highlight w:val="red"/>
              </w:rPr>
              <w:t>图</w:t>
            </w:r>
            <w:r>
              <w:rPr>
                <w:rFonts w:hint="eastAsia" w:ascii="Times New Roman" w:hAnsi="Times New Roman" w:eastAsia="宋体"/>
                <w:color w:val="auto"/>
                <w:sz w:val="24"/>
                <w:highlight w:val="red"/>
                <w:lang w:val="en-US" w:eastAsia="zh-CN"/>
              </w:rPr>
              <w:t>4</w:t>
            </w:r>
            <w:r>
              <w:rPr>
                <w:rFonts w:hint="default" w:ascii="Times New Roman" w:hAnsi="Times New Roman" w:eastAsia="宋体"/>
                <w:color w:val="auto"/>
                <w:sz w:val="24"/>
                <w:highlight w:val="none"/>
              </w:rPr>
              <w:t>，周围环境状况见</w:t>
            </w:r>
            <w:r>
              <w:rPr>
                <w:rFonts w:hint="eastAsia" w:ascii="Times New Roman" w:hAnsi="Times New Roman" w:eastAsia="宋体"/>
                <w:color w:val="auto"/>
                <w:sz w:val="24"/>
                <w:highlight w:val="red"/>
                <w:lang w:val="en-US" w:eastAsia="zh-CN"/>
              </w:rPr>
              <w:t>附</w:t>
            </w:r>
            <w:r>
              <w:rPr>
                <w:rFonts w:hint="default" w:ascii="Times New Roman" w:hAnsi="Times New Roman" w:eastAsia="宋体"/>
                <w:color w:val="auto"/>
                <w:sz w:val="24"/>
                <w:highlight w:val="red"/>
              </w:rPr>
              <w:t>图</w:t>
            </w:r>
            <w:r>
              <w:rPr>
                <w:rFonts w:hint="eastAsia" w:ascii="Times New Roman" w:hAnsi="Times New Roman" w:eastAsia="宋体"/>
                <w:color w:val="auto"/>
                <w:sz w:val="24"/>
                <w:highlight w:val="red"/>
                <w:lang w:val="en-US" w:eastAsia="zh-CN"/>
              </w:rPr>
              <w:t>5</w:t>
            </w:r>
            <w:r>
              <w:rPr>
                <w:rFonts w:hint="default" w:ascii="Times New Roman" w:hAnsi="Times New Roman" w:eastAsia="宋体"/>
                <w:color w:val="auto"/>
                <w:sz w:val="24"/>
                <w:highlight w:val="none"/>
              </w:rPr>
              <w:t>。</w:t>
            </w:r>
            <w:r>
              <w:rPr>
                <w:rFonts w:hint="eastAsia"/>
                <w:color w:val="auto"/>
                <w:sz w:val="24"/>
                <w:highlight w:val="yellow"/>
                <w:lang w:eastAsia="zh-CN"/>
              </w:rPr>
              <w:t>（</w:t>
            </w:r>
            <w:r>
              <w:rPr>
                <w:rFonts w:hint="eastAsia"/>
                <w:color w:val="auto"/>
                <w:sz w:val="24"/>
                <w:highlight w:val="yellow"/>
                <w:lang w:val="en-US" w:eastAsia="zh-CN"/>
              </w:rPr>
              <w:t>楼栋编号地图有个别不确定，后期企业核对的时候找生科园区让他们确认一下，还有确认下生科的污水接管口在哪里</w:t>
            </w:r>
            <w:r>
              <w:rPr>
                <w:rFonts w:hint="eastAsia"/>
                <w:color w:val="auto"/>
                <w:sz w:val="24"/>
                <w:highlight w:val="yellow"/>
                <w:lang w:eastAsia="zh-CN"/>
              </w:rPr>
              <w:t>）</w:t>
            </w:r>
          </w:p>
          <w:p w14:paraId="226FE2BF">
            <w:pPr>
              <w:pStyle w:val="12"/>
              <w:keepNext w:val="0"/>
              <w:keepLines w:val="0"/>
              <w:suppressLineNumbers w:val="0"/>
              <w:snapToGrid/>
              <w:spacing w:before="0" w:beforeAutospacing="0" w:after="0" w:afterAutospacing="0" w:line="360" w:lineRule="auto"/>
              <w:ind w:left="0" w:firstLine="480" w:firstLineChars="200"/>
              <w:rPr>
                <w:rFonts w:hint="default" w:ascii="Times New Roman" w:hAnsi="Times New Roman" w:eastAsia="宋体" w:cs="Times New Roman"/>
                <w:color w:val="auto"/>
                <w:highlight w:val="none"/>
              </w:rPr>
            </w:pPr>
            <w:r>
              <w:rPr>
                <w:rFonts w:hint="eastAsia" w:ascii="Times New Roman" w:hAnsi="Times New Roman" w:eastAsia="宋体" w:cs="Times New Roman"/>
                <w:color w:val="auto"/>
                <w:kern w:val="2"/>
                <w:sz w:val="24"/>
                <w:szCs w:val="24"/>
                <w:highlight w:val="none"/>
                <w:lang w:val="en-US" w:eastAsia="zh-CN" w:bidi="ar-SA"/>
              </w:rPr>
              <w:t>本项目建筑面积</w:t>
            </w:r>
            <w:r>
              <w:rPr>
                <w:rFonts w:hint="eastAsia" w:ascii="Times New Roman" w:hAnsi="Times New Roman" w:eastAsia="宋体" w:cs="Times New Roman"/>
                <w:color w:val="auto"/>
                <w:sz w:val="24"/>
                <w:highlight w:val="none"/>
                <w:lang w:val="en-US" w:eastAsia="zh-CN"/>
              </w:rPr>
              <w:t>2090.67</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vertAlign w:val="baseli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租用</w:t>
            </w:r>
            <w:r>
              <w:rPr>
                <w:rFonts w:hint="eastAsia" w:cs="Times New Roman"/>
                <w:color w:val="auto"/>
                <w:kern w:val="2"/>
                <w:sz w:val="24"/>
                <w:szCs w:val="24"/>
                <w:highlight w:val="none"/>
                <w:lang w:val="en-US" w:eastAsia="zh-CN" w:bidi="ar-SA"/>
              </w:rPr>
              <w:t>无锡生命科学产业发展有限公司</w:t>
            </w:r>
            <w:r>
              <w:rPr>
                <w:rFonts w:hint="eastAsia" w:ascii="Times New Roman" w:hAnsi="Times New Roman" w:eastAsia="宋体" w:cs="Times New Roman"/>
                <w:color w:val="auto"/>
                <w:kern w:val="2"/>
                <w:sz w:val="24"/>
                <w:szCs w:val="24"/>
                <w:highlight w:val="none"/>
                <w:lang w:val="en-US" w:eastAsia="zh-CN" w:bidi="ar-SA"/>
              </w:rPr>
              <w:t>已建成厂房。实验设备基本位于普通生物学实验室、AI高通量筛选实验室和细胞房内。</w:t>
            </w:r>
            <w:r>
              <w:rPr>
                <w:rFonts w:hint="default" w:ascii="Times New Roman" w:hAnsi="Times New Roman" w:eastAsia="宋体" w:cs="Times New Roman"/>
                <w:color w:val="auto"/>
                <w:sz w:val="24"/>
                <w:szCs w:val="24"/>
                <w:highlight w:val="none"/>
                <w:lang w:val="en-US" w:eastAsia="zh-CN"/>
              </w:rPr>
              <w:t>厂房</w:t>
            </w:r>
            <w:r>
              <w:rPr>
                <w:rFonts w:hint="default" w:ascii="Times New Roman" w:hAnsi="Times New Roman" w:eastAsia="宋体" w:cs="Times New Roman"/>
                <w:color w:val="auto"/>
                <w:sz w:val="24"/>
                <w:szCs w:val="24"/>
                <w:highlight w:val="none"/>
                <w:lang w:eastAsia="zh-CN"/>
              </w:rPr>
              <w:t>主要分</w:t>
            </w:r>
            <w:r>
              <w:rPr>
                <w:rFonts w:hint="eastAsia" w:ascii="Times New Roman" w:hAnsi="Times New Roman" w:eastAsia="宋体" w:cs="Times New Roman"/>
                <w:color w:val="auto"/>
                <w:sz w:val="24"/>
                <w:szCs w:val="24"/>
                <w:highlight w:val="none"/>
                <w:lang w:eastAsia="zh-CN"/>
              </w:rPr>
              <w:t>普通区和洁净区，</w:t>
            </w:r>
            <w:r>
              <w:rPr>
                <w:rFonts w:hint="eastAsia" w:ascii="Times New Roman" w:hAnsi="Times New Roman" w:eastAsia="宋体" w:cs="Times New Roman"/>
                <w:color w:val="auto"/>
                <w:sz w:val="24"/>
                <w:szCs w:val="24"/>
                <w:highlight w:val="none"/>
                <w:lang w:val="en-US" w:eastAsia="zh-CN"/>
              </w:rPr>
              <w:t>其中冰箱间、液氮间为洁净区；实验室、细胞房、办公区、培训室</w:t>
            </w:r>
            <w:r>
              <w:rPr>
                <w:rFonts w:hint="eastAsia" w:ascii="Times New Roman" w:hAnsi="Times New Roman" w:eastAsia="宋体" w:cs="Times New Roman"/>
                <w:color w:val="auto"/>
                <w:sz w:val="24"/>
                <w:szCs w:val="24"/>
                <w:highlight w:val="none"/>
                <w:lang w:eastAsia="zh-CN"/>
              </w:rPr>
              <w:t>等为普通区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各分区的布置规划整齐，既方便内外交通联系，又方便原辅材料和成品的运输，厂</w:t>
            </w:r>
            <w:r>
              <w:rPr>
                <w:rFonts w:hint="default" w:ascii="Times New Roman" w:hAnsi="Times New Roman" w:eastAsia="宋体" w:cs="Times New Roman"/>
                <w:color w:val="auto"/>
                <w:sz w:val="24"/>
                <w:szCs w:val="24"/>
                <w:highlight w:val="none"/>
                <w:lang w:eastAsia="zh-CN"/>
              </w:rPr>
              <w:t>房</w:t>
            </w:r>
            <w:r>
              <w:rPr>
                <w:rFonts w:hint="default" w:ascii="Times New Roman" w:hAnsi="Times New Roman" w:eastAsia="宋体" w:cs="Times New Roman"/>
                <w:color w:val="auto"/>
                <w:sz w:val="24"/>
                <w:szCs w:val="24"/>
                <w:highlight w:val="none"/>
              </w:rPr>
              <w:t>平面布置较合理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建设项目厂</w:t>
            </w:r>
            <w:r>
              <w:rPr>
                <w:rFonts w:hint="default" w:ascii="Times New Roman" w:hAnsi="Times New Roman" w:eastAsia="宋体" w:cs="Times New Roman"/>
                <w:color w:val="auto"/>
                <w:sz w:val="24"/>
                <w:szCs w:val="24"/>
                <w:highlight w:val="none"/>
                <w:lang w:eastAsia="zh-CN"/>
              </w:rPr>
              <w:t>房</w:t>
            </w:r>
            <w:r>
              <w:rPr>
                <w:rFonts w:hint="default" w:ascii="Times New Roman" w:hAnsi="Times New Roman" w:eastAsia="宋体" w:cs="Times New Roman"/>
                <w:color w:val="auto"/>
                <w:sz w:val="24"/>
                <w:szCs w:val="24"/>
                <w:highlight w:val="none"/>
              </w:rPr>
              <w:t>平面布置见</w:t>
            </w:r>
            <w:r>
              <w:rPr>
                <w:rFonts w:hint="default" w:ascii="Times New Roman" w:hAnsi="Times New Roman" w:eastAsia="宋体" w:cs="Times New Roman"/>
                <w:color w:val="auto"/>
                <w:sz w:val="24"/>
                <w:szCs w:val="24"/>
                <w:highlight w:val="red"/>
              </w:rPr>
              <w:t>图</w:t>
            </w:r>
            <w:r>
              <w:rPr>
                <w:rFonts w:hint="eastAsia" w:ascii="Times New Roman" w:hAnsi="Times New Roman" w:eastAsia="宋体" w:cs="Times New Roman"/>
                <w:color w:val="auto"/>
                <w:sz w:val="24"/>
                <w:szCs w:val="24"/>
                <w:highlight w:val="red"/>
                <w:lang w:val="en-US" w:eastAsia="zh-CN"/>
              </w:rPr>
              <w:t>2-4</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本项目雨、污水排污口依托</w:t>
            </w:r>
            <w:r>
              <w:rPr>
                <w:rFonts w:hint="eastAsia" w:ascii="Times New Roman" w:hAnsi="Times New Roman" w:eastAsia="宋体" w:cs="Times New Roman"/>
                <w:color w:val="auto"/>
                <w:sz w:val="24"/>
                <w:szCs w:val="24"/>
                <w:highlight w:val="none"/>
                <w:lang w:val="en-US" w:eastAsia="zh-CN"/>
              </w:rPr>
              <w:t>无锡生命科学产业发展有限公司</w:t>
            </w:r>
            <w:r>
              <w:rPr>
                <w:rFonts w:hint="default" w:ascii="Times New Roman" w:hAnsi="Times New Roman" w:eastAsia="宋体" w:cs="Times New Roman"/>
                <w:color w:val="auto"/>
                <w:sz w:val="24"/>
                <w:szCs w:val="24"/>
                <w:highlight w:val="none"/>
                <w:lang w:eastAsia="zh-CN"/>
              </w:rPr>
              <w:t>现有排污口，</w:t>
            </w:r>
            <w:r>
              <w:rPr>
                <w:rFonts w:hint="eastAsia" w:ascii="Times New Roman" w:hAnsi="Times New Roman" w:eastAsia="宋体" w:cs="Times New Roman"/>
                <w:color w:val="auto"/>
                <w:sz w:val="24"/>
                <w:szCs w:val="24"/>
                <w:highlight w:val="none"/>
                <w:lang w:eastAsia="zh-CN"/>
              </w:rPr>
              <w:t>园区</w:t>
            </w:r>
            <w:r>
              <w:rPr>
                <w:rFonts w:hint="default" w:ascii="Times New Roman" w:hAnsi="Times New Roman" w:eastAsia="宋体" w:cs="Times New Roman"/>
                <w:color w:val="auto"/>
                <w:sz w:val="24"/>
                <w:szCs w:val="24"/>
                <w:highlight w:val="none"/>
                <w:lang w:eastAsia="zh-CN"/>
              </w:rPr>
              <w:t>雨污水管网图</w:t>
            </w:r>
            <w:r>
              <w:rPr>
                <w:rFonts w:hint="default" w:ascii="Times New Roman" w:hAnsi="Times New Roman" w:eastAsia="宋体" w:cs="Times New Roman"/>
                <w:color w:val="auto"/>
                <w:sz w:val="24"/>
                <w:szCs w:val="24"/>
                <w:highlight w:val="none"/>
              </w:rPr>
              <w:t>见</w:t>
            </w:r>
            <w:r>
              <w:rPr>
                <w:rFonts w:hint="default" w:ascii="Times New Roman" w:hAnsi="Times New Roman" w:eastAsia="宋体" w:cs="Times New Roman"/>
                <w:color w:val="auto"/>
                <w:sz w:val="24"/>
                <w:szCs w:val="24"/>
                <w:highlight w:val="red"/>
              </w:rPr>
              <w:t>图</w:t>
            </w:r>
            <w:r>
              <w:rPr>
                <w:rFonts w:hint="eastAsia" w:ascii="Times New Roman" w:hAnsi="Times New Roman" w:eastAsia="宋体" w:cs="Times New Roman"/>
                <w:color w:val="auto"/>
                <w:sz w:val="24"/>
                <w:szCs w:val="24"/>
                <w:highlight w:val="red"/>
                <w:lang w:val="en-US" w:eastAsia="zh-CN"/>
              </w:rPr>
              <w:t>2-5</w:t>
            </w:r>
            <w:r>
              <w:rPr>
                <w:rFonts w:hint="default" w:ascii="Times New Roman" w:hAnsi="Times New Roman" w:eastAsia="宋体" w:cs="Times New Roman"/>
                <w:color w:val="auto"/>
                <w:sz w:val="24"/>
                <w:szCs w:val="24"/>
                <w:highlight w:val="none"/>
              </w:rPr>
              <w:t>。</w:t>
            </w:r>
          </w:p>
        </w:tc>
      </w:tr>
      <w:tr w14:paraId="01ED1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4" w:hRule="atLeast"/>
        </w:trPr>
        <w:tc>
          <w:tcPr>
            <w:tcW w:w="617" w:type="dxa"/>
            <w:vAlign w:val="center"/>
          </w:tcPr>
          <w:p w14:paraId="56133875">
            <w:pPr>
              <w:pStyle w:val="12"/>
              <w:keepNext w:val="0"/>
              <w:keepLines w:val="0"/>
              <w:suppressLineNumbers w:val="0"/>
              <w:spacing w:beforeAutospacing="0" w:afterAutospacing="0"/>
              <w:ind w:left="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工艺流程和产排污环节</w:t>
            </w:r>
          </w:p>
        </w:tc>
        <w:tc>
          <w:tcPr>
            <w:tcW w:w="8729" w:type="dxa"/>
          </w:tcPr>
          <w:p w14:paraId="4C7F62A4">
            <w:pPr>
              <w:pStyle w:val="35"/>
              <w:keepNext w:val="0"/>
              <w:keepLines w:val="0"/>
              <w:suppressLineNumbers w:val="0"/>
              <w:spacing w:before="0" w:beforeAutospacing="0" w:after="0" w:afterAutospacing="0" w:line="360" w:lineRule="auto"/>
              <w:ind w:left="0" w:leftChars="0" w:right="0" w:firstLine="0" w:firstLineChars="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1、</w:t>
            </w:r>
            <w:r>
              <w:rPr>
                <w:rFonts w:hint="eastAsia" w:ascii="Times New Roman" w:hAnsi="Times New Roman" w:eastAsia="宋体" w:cs="Times New Roman"/>
                <w:b/>
                <w:bCs/>
                <w:color w:val="auto"/>
                <w:sz w:val="24"/>
                <w:highlight w:val="none"/>
                <w:lang w:val="en-US" w:eastAsia="zh-CN"/>
              </w:rPr>
              <w:t>运营期</w:t>
            </w:r>
            <w:r>
              <w:rPr>
                <w:rFonts w:hint="default" w:ascii="Times New Roman" w:hAnsi="Times New Roman" w:eastAsia="宋体" w:cs="Times New Roman"/>
                <w:b/>
                <w:bCs/>
                <w:color w:val="auto"/>
                <w:sz w:val="24"/>
                <w:highlight w:val="none"/>
              </w:rPr>
              <w:t>工艺流程</w:t>
            </w:r>
          </w:p>
          <w:p w14:paraId="47986CD2">
            <w:pPr>
              <w:keepNext w:val="0"/>
              <w:keepLines w:val="0"/>
              <w:widowControl/>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（1）化合物测试实验流程及产污环节</w:t>
            </w:r>
          </w:p>
          <w:p w14:paraId="5554B8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Times New Roman" w:hAnsi="Times New Roman" w:eastAsia="宋体" w:cs="Times New Roman"/>
                <w:b/>
                <w:bCs/>
                <w:color w:val="auto"/>
                <w:sz w:val="24"/>
                <w:highlight w:val="none"/>
                <w:lang w:val="en-US" w:eastAsia="zh-CN"/>
              </w:rPr>
            </w:pPr>
          </w:p>
          <w:p w14:paraId="0B6112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olor w:val="auto"/>
                <w:sz w:val="24"/>
                <w:highlight w:val="none"/>
              </w:rPr>
              <w:object>
                <v:shape id="_x0000_i1026" o:spt="75" type="#_x0000_t75" style="height:315.7pt;width:409.6pt;" o:ole="t" filled="f" o:preferrelative="t" stroked="f" coordsize="21600,21600">
                  <v:path/>
                  <v:fill on="f" focussize="0,0"/>
                  <v:stroke on="f"/>
                  <v:imagedata r:id="rId11" cropleft="-269f" croptop="6205f" cropright="14216f" cropbottom="23765f" o:title=""/>
                  <o:lock v:ext="edit" aspectratio="t"/>
                  <w10:wrap type="none"/>
                  <w10:anchorlock/>
                </v:shape>
                <o:OLEObject Type="Embed" ProgID="Visio.Drawing.11" ShapeID="_x0000_i1026" DrawAspect="Content" ObjectID="_1468075726" r:id="rId10">
                  <o:LockedField>false</o:LockedField>
                </o:OLEObject>
              </w:object>
            </w:r>
            <w:r>
              <w:rPr>
                <w:rFonts w:hint="default" w:ascii="Times New Roman" w:hAnsi="Times New Roman" w:eastAsia="宋体" w:cs="Times New Roman"/>
                <w:b/>
                <w:bCs/>
                <w:color w:val="auto"/>
                <w:kern w:val="2"/>
                <w:sz w:val="24"/>
                <w:szCs w:val="24"/>
                <w:highlight w:val="none"/>
                <w:lang w:val="en-US" w:eastAsia="zh-CN" w:bidi="ar-SA"/>
              </w:rPr>
              <w:t>图2-</w:t>
            </w:r>
            <w:r>
              <w:rPr>
                <w:rFonts w:hint="eastAsia" w:ascii="Times New Roman" w:hAnsi="Times New Roman" w:eastAsia="宋体" w:cs="Times New Roman"/>
                <w:b/>
                <w:bCs/>
                <w:color w:val="auto"/>
                <w:kern w:val="2"/>
                <w:sz w:val="24"/>
                <w:szCs w:val="24"/>
                <w:highlight w:val="none"/>
                <w:lang w:val="en-US" w:eastAsia="zh-CN" w:bidi="ar-SA"/>
              </w:rPr>
              <w:t>2</w:t>
            </w:r>
            <w:r>
              <w:rPr>
                <w:rFonts w:hint="default" w:ascii="Times New Roman" w:hAnsi="Times New Roman" w:eastAsia="宋体" w:cs="Times New Roman"/>
                <w:b/>
                <w:bCs/>
                <w:color w:val="auto"/>
                <w:kern w:val="2"/>
                <w:sz w:val="24"/>
                <w:szCs w:val="24"/>
                <w:highlight w:val="none"/>
                <w:lang w:val="en-US" w:eastAsia="zh-CN" w:bidi="ar-SA"/>
              </w:rPr>
              <w:t xml:space="preserve"> </w:t>
            </w:r>
            <w:r>
              <w:rPr>
                <w:rFonts w:hint="eastAsia" w:ascii="Times New Roman" w:hAnsi="Times New Roman" w:eastAsia="宋体" w:cs="Times New Roman"/>
                <w:b/>
                <w:bCs/>
                <w:color w:val="auto"/>
                <w:sz w:val="24"/>
                <w:highlight w:val="none"/>
                <w:lang w:val="en-US" w:eastAsia="zh-CN"/>
              </w:rPr>
              <w:t>化合物测试实验流程及产污环节图</w:t>
            </w:r>
          </w:p>
          <w:p w14:paraId="652F79EC">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bCs/>
                <w:color w:val="auto"/>
                <w:kern w:val="2"/>
                <w:sz w:val="24"/>
                <w:szCs w:val="24"/>
                <w:highlight w:val="none"/>
                <w:lang w:val="en-US" w:eastAsia="zh-CN" w:bidi="ar-SA"/>
              </w:rPr>
              <w:t>1、</w:t>
            </w:r>
            <w:r>
              <w:rPr>
                <w:rFonts w:hint="eastAsia" w:ascii="Times New Roman" w:hAnsi="Times New Roman" w:eastAsia="宋体" w:cs="Times New Roman"/>
                <w:b/>
                <w:bCs/>
                <w:color w:val="auto"/>
                <w:sz w:val="24"/>
                <w:highlight w:val="none"/>
                <w:lang w:val="en-US" w:eastAsia="zh-CN"/>
              </w:rPr>
              <w:t>细胞复苏</w:t>
            </w:r>
            <w:r>
              <w:rPr>
                <w:rFonts w:hint="eastAsia" w:ascii="Times New Roman" w:hAnsi="Times New Roman" w:eastAsia="宋体" w:cs="Times New Roman"/>
                <w:b/>
                <w:bCs/>
                <w:color w:val="auto"/>
                <w:sz w:val="24"/>
                <w:highlight w:val="none"/>
                <w:lang w:eastAsia="zh-CN"/>
              </w:rPr>
              <w:t>：</w:t>
            </w:r>
            <w:r>
              <w:rPr>
                <w:rFonts w:hint="eastAsia" w:ascii="Times New Roman" w:hAnsi="Times New Roman" w:eastAsia="宋体" w:cs="Times New Roman"/>
                <w:b w:val="0"/>
                <w:bCs w:val="0"/>
                <w:color w:val="auto"/>
                <w:sz w:val="24"/>
                <w:highlight w:val="none"/>
                <w:lang w:eastAsia="zh-CN"/>
              </w:rPr>
              <w:t>根据实验项目需求外购所需的细胞，将原代细胞溶液冻存管从液氮罐中取出，放入37℃水浴（电加热）中解冻，移至生物安全柜，将细胞转移入离心管，加入细胞培养液，离心去上清液。</w:t>
            </w:r>
            <w:r>
              <w:rPr>
                <w:rFonts w:hint="eastAsia" w:ascii="Times New Roman" w:hAnsi="Times New Roman" w:eastAsia="宋体" w:cs="Times New Roman"/>
                <w:b w:val="0"/>
                <w:bCs w:val="0"/>
                <w:color w:val="auto"/>
                <w:sz w:val="24"/>
                <w:highlight w:val="none"/>
                <w:lang w:val="en-US" w:eastAsia="zh-CN"/>
              </w:rPr>
              <w:t>细胞复苏工段</w:t>
            </w:r>
            <w:r>
              <w:rPr>
                <w:rFonts w:hint="eastAsia" w:ascii="Times New Roman" w:hAnsi="Times New Roman" w:eastAsia="宋体" w:cs="Times New Roman"/>
                <w:b w:val="0"/>
                <w:bCs w:val="0"/>
                <w:color w:val="auto"/>
                <w:sz w:val="24"/>
                <w:highlight w:val="none"/>
                <w:lang w:eastAsia="zh-CN"/>
              </w:rPr>
              <w:t>会产生</w:t>
            </w:r>
            <w:r>
              <w:rPr>
                <w:rFonts w:hint="eastAsia" w:ascii="Times New Roman" w:hAnsi="Times New Roman" w:eastAsia="宋体" w:cs="Times New Roman"/>
                <w:b w:val="0"/>
                <w:bCs w:val="0"/>
                <w:color w:val="auto"/>
                <w:sz w:val="24"/>
                <w:highlight w:val="none"/>
                <w:lang w:val="en-US" w:eastAsia="zh-CN"/>
              </w:rPr>
              <w:t>G1</w:t>
            </w:r>
            <w:r>
              <w:rPr>
                <w:rFonts w:hint="eastAsia" w:ascii="Times New Roman" w:hAnsi="Times New Roman" w:eastAsia="宋体" w:cs="Times New Roman"/>
                <w:b w:val="0"/>
                <w:bCs w:val="0"/>
                <w:color w:val="auto"/>
                <w:sz w:val="24"/>
                <w:highlight w:val="none"/>
                <w:lang w:eastAsia="zh-CN"/>
              </w:rPr>
              <w:t>生物安全柜废气、</w:t>
            </w:r>
            <w:r>
              <w:rPr>
                <w:rFonts w:hint="eastAsia" w:ascii="Times New Roman" w:hAnsi="Times New Roman" w:eastAsia="宋体" w:cs="Times New Roman"/>
                <w:b w:val="0"/>
                <w:bCs w:val="0"/>
                <w:color w:val="auto"/>
                <w:sz w:val="24"/>
                <w:highlight w:val="none"/>
                <w:lang w:val="en-US" w:eastAsia="zh-CN"/>
              </w:rPr>
              <w:t>G2原料挥发废气</w:t>
            </w:r>
            <w:r>
              <w:rPr>
                <w:rFonts w:hint="eastAsia" w:cs="Times New Roman"/>
                <w:b w:val="0"/>
                <w:bCs w:val="0"/>
                <w:color w:val="auto"/>
                <w:sz w:val="24"/>
                <w:highlight w:val="none"/>
                <w:lang w:val="en-US" w:eastAsia="zh-CN"/>
              </w:rPr>
              <w:t>；S1实验废液、S2废生物材料；N1设备运行噪声。</w:t>
            </w:r>
          </w:p>
          <w:p w14:paraId="12E0B7AC">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Segoe UI"/>
                <w:b/>
                <w:bCs/>
                <w:i w:val="0"/>
                <w:iCs w:val="0"/>
                <w:caps w:val="0"/>
                <w:color w:val="auto"/>
                <w:spacing w:val="0"/>
                <w:sz w:val="24"/>
                <w:szCs w:val="24"/>
                <w:highlight w:val="none"/>
                <w:shd w:val="clear" w:fill="FFFFFF"/>
                <w:lang w:val="en-US" w:eastAsia="zh-CN"/>
              </w:rPr>
            </w:pPr>
            <w:r>
              <w:rPr>
                <w:rFonts w:hint="eastAsia" w:ascii="Times New Roman" w:hAnsi="Times New Roman" w:eastAsia="宋体" w:cs="Segoe UI"/>
                <w:b/>
                <w:bCs/>
                <w:i w:val="0"/>
                <w:iCs w:val="0"/>
                <w:caps w:val="0"/>
                <w:color w:val="auto"/>
                <w:spacing w:val="0"/>
                <w:sz w:val="24"/>
                <w:szCs w:val="24"/>
                <w:highlight w:val="none"/>
                <w:shd w:val="clear" w:fill="FFFFFF"/>
                <w:lang w:val="en-US" w:eastAsia="zh-CN"/>
              </w:rPr>
              <w:t>2、自动化处理细胞：</w:t>
            </w:r>
            <w:r>
              <w:rPr>
                <w:rFonts w:hint="eastAsia" w:ascii="Times New Roman" w:hAnsi="Times New Roman" w:eastAsia="宋体" w:cs="Segoe UI"/>
                <w:b w:val="0"/>
                <w:bCs w:val="0"/>
                <w:i w:val="0"/>
                <w:iCs w:val="0"/>
                <w:caps w:val="0"/>
                <w:color w:val="auto"/>
                <w:spacing w:val="0"/>
                <w:sz w:val="24"/>
                <w:szCs w:val="24"/>
                <w:highlight w:val="none"/>
                <w:shd w:val="clear" w:fill="FFFFFF"/>
                <w:lang w:val="en-US" w:eastAsia="zh-CN"/>
              </w:rPr>
              <w:t>采用自动化工作站完成药物溶液的精准配制，包括抗癌药物的称量、溶解（如DMSO或PBS缓冲液）、梯度稀释及分装，确保药物浓度与实验设计一致，减少人为误差。自动化处理细胞工段会产生G1生物安全柜废气</w:t>
            </w:r>
            <w:r>
              <w:rPr>
                <w:rFonts w:hint="eastAsia" w:cs="Segoe UI"/>
                <w:b w:val="0"/>
                <w:bCs w:val="0"/>
                <w:i w:val="0"/>
                <w:iCs w:val="0"/>
                <w:caps w:val="0"/>
                <w:color w:val="auto"/>
                <w:spacing w:val="0"/>
                <w:sz w:val="24"/>
                <w:szCs w:val="24"/>
                <w:highlight w:val="none"/>
                <w:shd w:val="clear" w:fill="FFFFFF"/>
                <w:lang w:val="en-US" w:eastAsia="zh-CN"/>
              </w:rPr>
              <w:t>；</w:t>
            </w:r>
            <w:r>
              <w:rPr>
                <w:rFonts w:hint="eastAsia" w:cs="Times New Roman"/>
                <w:b w:val="0"/>
                <w:bCs w:val="0"/>
                <w:color w:val="auto"/>
                <w:sz w:val="24"/>
                <w:highlight w:val="none"/>
                <w:lang w:val="en-US" w:eastAsia="zh-CN"/>
              </w:rPr>
              <w:t>S1实验废液、S2废生物材料；N1设备运行噪声</w:t>
            </w:r>
            <w:r>
              <w:rPr>
                <w:rFonts w:hint="eastAsia" w:ascii="Times New Roman" w:hAnsi="Times New Roman" w:eastAsia="宋体" w:cs="Segoe UI"/>
                <w:b w:val="0"/>
                <w:bCs w:val="0"/>
                <w:i w:val="0"/>
                <w:iCs w:val="0"/>
                <w:caps w:val="0"/>
                <w:color w:val="auto"/>
                <w:spacing w:val="0"/>
                <w:sz w:val="24"/>
                <w:szCs w:val="24"/>
                <w:highlight w:val="none"/>
                <w:shd w:val="clear" w:fill="FFFFFF"/>
                <w:lang w:val="en-US" w:eastAsia="zh-CN"/>
              </w:rPr>
              <w:t>。</w:t>
            </w:r>
          </w:p>
          <w:p w14:paraId="44E786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Segoe UI"/>
                <w:i w:val="0"/>
                <w:iCs w:val="0"/>
                <w:caps w:val="0"/>
                <w:color w:val="auto"/>
                <w:spacing w:val="0"/>
                <w:sz w:val="24"/>
                <w:szCs w:val="24"/>
                <w:highlight w:val="none"/>
                <w:shd w:val="clear" w:fill="FFFFFF"/>
                <w:lang w:val="en-US" w:eastAsia="zh-CN"/>
              </w:rPr>
            </w:pPr>
            <w:r>
              <w:rPr>
                <w:rFonts w:hint="eastAsia" w:ascii="Times New Roman" w:hAnsi="Times New Roman" w:eastAsia="宋体" w:cs="Segoe UI"/>
                <w:b/>
                <w:bCs/>
                <w:i w:val="0"/>
                <w:iCs w:val="0"/>
                <w:caps w:val="0"/>
                <w:color w:val="auto"/>
                <w:spacing w:val="0"/>
                <w:sz w:val="24"/>
                <w:szCs w:val="24"/>
                <w:highlight w:val="none"/>
                <w:shd w:val="clear" w:fill="FFFFFF"/>
                <w:lang w:val="en-US" w:eastAsia="zh-CN"/>
              </w:rPr>
              <w:t>3、细胞培养（分化）：</w:t>
            </w:r>
            <w:r>
              <w:rPr>
                <w:rFonts w:hint="eastAsia" w:ascii="Times New Roman" w:hAnsi="Times New Roman" w:eastAsia="宋体" w:cs="Segoe UI"/>
                <w:b w:val="0"/>
                <w:bCs w:val="0"/>
                <w:i w:val="0"/>
                <w:iCs w:val="0"/>
                <w:caps w:val="0"/>
                <w:color w:val="auto"/>
                <w:spacing w:val="0"/>
                <w:sz w:val="24"/>
                <w:szCs w:val="24"/>
                <w:highlight w:val="none"/>
                <w:shd w:val="clear" w:fill="FFFFFF"/>
                <w:lang w:val="en-US" w:eastAsia="zh-CN"/>
              </w:rPr>
              <w:t>使用移液管将细胞转移入培养瓶中，加入细胞培养液，转移入CO</w:t>
            </w:r>
            <w:r>
              <w:rPr>
                <w:rFonts w:hint="eastAsia" w:ascii="Times New Roman" w:hAnsi="Times New Roman" w:eastAsia="宋体" w:cs="Segoe UI"/>
                <w:b w:val="0"/>
                <w:bCs w:val="0"/>
                <w:i w:val="0"/>
                <w:iCs w:val="0"/>
                <w:caps w:val="0"/>
                <w:color w:val="auto"/>
                <w:spacing w:val="0"/>
                <w:sz w:val="24"/>
                <w:szCs w:val="24"/>
                <w:highlight w:val="none"/>
                <w:shd w:val="clear" w:fill="FFFFFF"/>
                <w:vertAlign w:val="subscript"/>
                <w:lang w:val="en-US" w:eastAsia="zh-CN"/>
              </w:rPr>
              <w:t>2</w:t>
            </w:r>
            <w:r>
              <w:rPr>
                <w:rFonts w:hint="eastAsia" w:ascii="Times New Roman" w:hAnsi="Times New Roman" w:eastAsia="宋体" w:cs="Segoe UI"/>
                <w:b w:val="0"/>
                <w:bCs w:val="0"/>
                <w:i w:val="0"/>
                <w:iCs w:val="0"/>
                <w:caps w:val="0"/>
                <w:color w:val="auto"/>
                <w:spacing w:val="0"/>
                <w:sz w:val="24"/>
                <w:szCs w:val="24"/>
                <w:highlight w:val="none"/>
                <w:shd w:val="clear" w:fill="FFFFFF"/>
                <w:lang w:val="en-US" w:eastAsia="zh-CN"/>
              </w:rPr>
              <w:t>培养箱中培养，温度37℃，CO</w:t>
            </w:r>
            <w:r>
              <w:rPr>
                <w:rFonts w:hint="eastAsia" w:ascii="Times New Roman" w:hAnsi="Times New Roman" w:eastAsia="宋体" w:cs="Segoe UI"/>
                <w:b w:val="0"/>
                <w:bCs w:val="0"/>
                <w:i w:val="0"/>
                <w:iCs w:val="0"/>
                <w:caps w:val="0"/>
                <w:color w:val="auto"/>
                <w:spacing w:val="0"/>
                <w:sz w:val="24"/>
                <w:szCs w:val="24"/>
                <w:highlight w:val="none"/>
                <w:shd w:val="clear" w:fill="FFFFFF"/>
                <w:vertAlign w:val="subscript"/>
                <w:lang w:val="en-US" w:eastAsia="zh-CN"/>
              </w:rPr>
              <w:t xml:space="preserve">2 </w:t>
            </w:r>
            <w:r>
              <w:rPr>
                <w:rFonts w:hint="eastAsia" w:ascii="Times New Roman" w:hAnsi="Times New Roman" w:eastAsia="宋体" w:cs="Segoe UI"/>
                <w:b w:val="0"/>
                <w:bCs w:val="0"/>
                <w:i w:val="0"/>
                <w:iCs w:val="0"/>
                <w:caps w:val="0"/>
                <w:color w:val="auto"/>
                <w:spacing w:val="0"/>
                <w:sz w:val="24"/>
                <w:szCs w:val="24"/>
                <w:highlight w:val="none"/>
                <w:shd w:val="clear" w:fill="FFFFFF"/>
                <w:lang w:val="en-US" w:eastAsia="zh-CN"/>
              </w:rPr>
              <w:t>浓度5%，培养时间3~7 天，培养期间每天根据培养液的消耗情况，使用移液管吸出多余培养液并补加新培养液。细胞培养（分化）工段会产生G1生物安全柜废气、G2原料挥发废气</w:t>
            </w:r>
            <w:r>
              <w:rPr>
                <w:rFonts w:hint="eastAsia" w:cs="Segoe UI"/>
                <w:b w:val="0"/>
                <w:bCs w:val="0"/>
                <w:i w:val="0"/>
                <w:iCs w:val="0"/>
                <w:caps w:val="0"/>
                <w:color w:val="auto"/>
                <w:spacing w:val="0"/>
                <w:sz w:val="24"/>
                <w:szCs w:val="24"/>
                <w:highlight w:val="none"/>
                <w:shd w:val="clear" w:fill="FFFFFF"/>
                <w:lang w:val="en-US" w:eastAsia="zh-CN"/>
              </w:rPr>
              <w:t>；</w:t>
            </w:r>
            <w:r>
              <w:rPr>
                <w:rFonts w:hint="eastAsia" w:cs="Times New Roman"/>
                <w:b w:val="0"/>
                <w:bCs w:val="0"/>
                <w:color w:val="auto"/>
                <w:sz w:val="24"/>
                <w:highlight w:val="none"/>
                <w:lang w:val="en-US" w:eastAsia="zh-CN"/>
              </w:rPr>
              <w:t>S1实验废液、S2废生物材料</w:t>
            </w:r>
            <w:r>
              <w:rPr>
                <w:rFonts w:hint="eastAsia" w:ascii="Times New Roman" w:hAnsi="Times New Roman" w:eastAsia="宋体" w:cs="Segoe UI"/>
                <w:b w:val="0"/>
                <w:bCs w:val="0"/>
                <w:i w:val="0"/>
                <w:iCs w:val="0"/>
                <w:caps w:val="0"/>
                <w:color w:val="auto"/>
                <w:spacing w:val="0"/>
                <w:sz w:val="24"/>
                <w:szCs w:val="24"/>
                <w:highlight w:val="none"/>
                <w:shd w:val="clear" w:fill="FFFFFF"/>
                <w:lang w:val="en-US" w:eastAsia="zh-CN"/>
              </w:rPr>
              <w:t>。</w:t>
            </w:r>
          </w:p>
          <w:p w14:paraId="678A66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Segoe UI"/>
                <w:b/>
                <w:bCs/>
                <w:i w:val="0"/>
                <w:iCs w:val="0"/>
                <w:caps w:val="0"/>
                <w:color w:val="auto"/>
                <w:spacing w:val="0"/>
                <w:sz w:val="24"/>
                <w:szCs w:val="24"/>
                <w:highlight w:val="none"/>
                <w:shd w:val="clear" w:fill="FFFFFF"/>
                <w:lang w:val="en-US" w:eastAsia="zh-CN"/>
              </w:rPr>
            </w:pPr>
            <w:r>
              <w:rPr>
                <w:rFonts w:hint="eastAsia" w:ascii="Times New Roman" w:hAnsi="Times New Roman" w:eastAsia="宋体" w:cs="Segoe UI"/>
                <w:b/>
                <w:bCs/>
                <w:i w:val="0"/>
                <w:iCs w:val="0"/>
                <w:caps w:val="0"/>
                <w:color w:val="auto"/>
                <w:spacing w:val="0"/>
                <w:sz w:val="24"/>
                <w:szCs w:val="24"/>
                <w:highlight w:val="none"/>
                <w:shd w:val="clear" w:fill="FFFFFF"/>
                <w:lang w:val="en-US" w:eastAsia="zh-CN"/>
              </w:rPr>
              <w:t>4、药物处理细胞：</w:t>
            </w:r>
            <w:r>
              <w:rPr>
                <w:rFonts w:hint="default" w:ascii="Times New Roman" w:hAnsi="Times New Roman" w:eastAsia="宋体" w:cs="Segoe UI"/>
                <w:i w:val="0"/>
                <w:iCs w:val="0"/>
                <w:caps w:val="0"/>
                <w:color w:val="404040"/>
                <w:spacing w:val="0"/>
                <w:sz w:val="24"/>
                <w:szCs w:val="24"/>
                <w:highlight w:val="none"/>
                <w:shd w:val="clear" w:fill="FFFFFF"/>
              </w:rPr>
              <w:t>将配制好的抗癌药物按预设浓度梯度加入细胞培养体系，通过定时处理（如24/48/72小时）观察药物对细胞增殖、凋亡或分化的影响，同步设置空白对照及阳性对照组。</w:t>
            </w:r>
            <w:r>
              <w:rPr>
                <w:rFonts w:hint="eastAsia" w:ascii="Times New Roman" w:hAnsi="Times New Roman" w:eastAsia="宋体" w:cs="Segoe UI"/>
                <w:i w:val="0"/>
                <w:iCs w:val="0"/>
                <w:caps w:val="0"/>
                <w:color w:val="404040"/>
                <w:spacing w:val="0"/>
                <w:sz w:val="24"/>
                <w:szCs w:val="24"/>
                <w:highlight w:val="none"/>
                <w:shd w:val="clear" w:fill="FFFFFF"/>
                <w:lang w:val="en-US" w:eastAsia="zh-CN"/>
              </w:rPr>
              <w:t>药物处理细胞工段会产生G1生物安全柜废气</w:t>
            </w:r>
            <w:r>
              <w:rPr>
                <w:rFonts w:hint="eastAsia" w:cs="Segoe UI"/>
                <w:i w:val="0"/>
                <w:iCs w:val="0"/>
                <w:caps w:val="0"/>
                <w:color w:val="404040"/>
                <w:spacing w:val="0"/>
                <w:sz w:val="24"/>
                <w:szCs w:val="24"/>
                <w:highlight w:val="none"/>
                <w:shd w:val="clear" w:fill="FFFFFF"/>
                <w:lang w:val="en-US" w:eastAsia="zh-CN"/>
              </w:rPr>
              <w:t>；</w:t>
            </w:r>
            <w:r>
              <w:rPr>
                <w:rFonts w:hint="eastAsia" w:cs="Times New Roman"/>
                <w:b w:val="0"/>
                <w:bCs w:val="0"/>
                <w:color w:val="auto"/>
                <w:sz w:val="24"/>
                <w:highlight w:val="none"/>
                <w:lang w:val="en-US" w:eastAsia="zh-CN"/>
              </w:rPr>
              <w:t>S1实验废液、S2废生物材料</w:t>
            </w:r>
            <w:r>
              <w:rPr>
                <w:rFonts w:hint="eastAsia" w:ascii="Times New Roman" w:hAnsi="Times New Roman" w:eastAsia="宋体" w:cs="Segoe UI"/>
                <w:i w:val="0"/>
                <w:iCs w:val="0"/>
                <w:caps w:val="0"/>
                <w:color w:val="404040"/>
                <w:spacing w:val="0"/>
                <w:sz w:val="24"/>
                <w:szCs w:val="24"/>
                <w:highlight w:val="none"/>
                <w:shd w:val="clear" w:fill="FFFFFF"/>
                <w:lang w:val="en-US" w:eastAsia="zh-CN"/>
              </w:rPr>
              <w:t>。</w:t>
            </w:r>
          </w:p>
          <w:p w14:paraId="5F1117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Segoe UI"/>
                <w:i w:val="0"/>
                <w:iCs w:val="0"/>
                <w:caps w:val="0"/>
                <w:color w:val="auto"/>
                <w:spacing w:val="0"/>
                <w:sz w:val="24"/>
                <w:szCs w:val="24"/>
                <w:highlight w:val="none"/>
                <w:shd w:val="clear" w:fill="FFFFFF"/>
                <w:lang w:val="en-US" w:eastAsia="zh-CN"/>
              </w:rPr>
            </w:pPr>
            <w:r>
              <w:rPr>
                <w:rFonts w:hint="eastAsia" w:ascii="Times New Roman" w:hAnsi="Times New Roman" w:eastAsia="宋体" w:cs="Segoe UI"/>
                <w:b/>
                <w:bCs/>
                <w:i w:val="0"/>
                <w:iCs w:val="0"/>
                <w:caps w:val="0"/>
                <w:color w:val="auto"/>
                <w:spacing w:val="0"/>
                <w:sz w:val="24"/>
                <w:szCs w:val="24"/>
                <w:highlight w:val="none"/>
                <w:shd w:val="clear" w:fill="FFFFFF"/>
                <w:lang w:val="en-US" w:eastAsia="zh-CN"/>
              </w:rPr>
              <w:t>5、蛋白表达及纯化：</w:t>
            </w:r>
          </w:p>
          <w:p w14:paraId="2624DDC2">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Times New Roman" w:hAnsi="Times New Roman" w:eastAsia="宋体"/>
                <w:sz w:val="24"/>
                <w:szCs w:val="24"/>
                <w:highlight w:val="none"/>
                <w:lang w:eastAsia="zh-CN"/>
              </w:rPr>
            </w:pPr>
            <w:r>
              <w:rPr>
                <w:rStyle w:val="28"/>
                <w:rFonts w:hint="eastAsia" w:ascii="Times New Roman" w:hAnsi="Times New Roman" w:eastAsia="宋体" w:cs="Segoe UI"/>
                <w:i w:val="0"/>
                <w:iCs w:val="0"/>
                <w:caps w:val="0"/>
                <w:color w:val="404040"/>
                <w:spacing w:val="0"/>
                <w:sz w:val="24"/>
                <w:szCs w:val="24"/>
                <w:highlight w:val="none"/>
                <w:shd w:val="clear" w:fill="FFFFFF"/>
                <w:lang w:eastAsia="zh-CN"/>
              </w:rPr>
              <w:t>（</w:t>
            </w:r>
            <w:r>
              <w:rPr>
                <w:rStyle w:val="28"/>
                <w:rFonts w:hint="eastAsia" w:ascii="Times New Roman" w:hAnsi="Times New Roman" w:eastAsia="宋体" w:cs="Segoe UI"/>
                <w:i w:val="0"/>
                <w:iCs w:val="0"/>
                <w:caps w:val="0"/>
                <w:color w:val="404040"/>
                <w:spacing w:val="0"/>
                <w:sz w:val="24"/>
                <w:szCs w:val="24"/>
                <w:highlight w:val="none"/>
                <w:shd w:val="clear" w:fill="FFFFFF"/>
                <w:lang w:val="en-US" w:eastAsia="zh-CN"/>
              </w:rPr>
              <w:t>1</w:t>
            </w:r>
            <w:r>
              <w:rPr>
                <w:rStyle w:val="28"/>
                <w:rFonts w:hint="eastAsia" w:ascii="Times New Roman" w:hAnsi="Times New Roman" w:eastAsia="宋体" w:cs="Segoe UI"/>
                <w:i w:val="0"/>
                <w:iCs w:val="0"/>
                <w:caps w:val="0"/>
                <w:color w:val="404040"/>
                <w:spacing w:val="0"/>
                <w:sz w:val="24"/>
                <w:szCs w:val="24"/>
                <w:highlight w:val="none"/>
                <w:shd w:val="clear" w:fill="FFFFFF"/>
                <w:lang w:eastAsia="zh-CN"/>
              </w:rPr>
              <w:t>）</w:t>
            </w:r>
            <w:r>
              <w:rPr>
                <w:rStyle w:val="28"/>
                <w:rFonts w:hint="default" w:ascii="Times New Roman" w:hAnsi="Times New Roman" w:eastAsia="宋体" w:cs="Segoe UI"/>
                <w:i w:val="0"/>
                <w:iCs w:val="0"/>
                <w:caps w:val="0"/>
                <w:color w:val="404040"/>
                <w:spacing w:val="0"/>
                <w:sz w:val="24"/>
                <w:szCs w:val="24"/>
                <w:highlight w:val="none"/>
                <w:shd w:val="clear" w:fill="FFFFFF"/>
              </w:rPr>
              <w:t>基因克隆与载体构建</w:t>
            </w:r>
            <w:r>
              <w:rPr>
                <w:rStyle w:val="28"/>
                <w:rFonts w:hint="eastAsia" w:ascii="Times New Roman" w:hAnsi="Times New Roman" w:eastAsia="宋体" w:cs="Segoe UI"/>
                <w:i w:val="0"/>
                <w:iCs w:val="0"/>
                <w:caps w:val="0"/>
                <w:color w:val="404040"/>
                <w:spacing w:val="0"/>
                <w:sz w:val="24"/>
                <w:szCs w:val="24"/>
                <w:highlight w:val="none"/>
                <w:shd w:val="clear" w:fill="FFFFFF"/>
                <w:lang w:eastAsia="zh-CN"/>
              </w:rPr>
              <w:t>：</w:t>
            </w:r>
          </w:p>
          <w:p w14:paraId="5ECE0B8A">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sz w:val="24"/>
                <w:szCs w:val="24"/>
                <w:highlight w:val="none"/>
              </w:rPr>
            </w:pPr>
            <w:r>
              <w:rPr>
                <w:rFonts w:hint="default" w:ascii="Times New Roman" w:hAnsi="Times New Roman" w:eastAsia="宋体" w:cs="Segoe UI"/>
                <w:i w:val="0"/>
                <w:iCs w:val="0"/>
                <w:caps w:val="0"/>
                <w:color w:val="404040"/>
                <w:spacing w:val="0"/>
                <w:sz w:val="24"/>
                <w:szCs w:val="24"/>
                <w:highlight w:val="none"/>
                <w:shd w:val="clear" w:fill="FFFFFF"/>
              </w:rPr>
              <w:t>将目标基因（如抗癌相关蛋白的编码序列）插入表达载体（如质粒），并引入特定标签（如His标签）以便后续纯化</w:t>
            </w:r>
            <w:r>
              <w:rPr>
                <w:rFonts w:hint="eastAsia" w:ascii="Times New Roman" w:hAnsi="Times New Roman" w:eastAsia="宋体" w:cs="Segoe UI"/>
                <w:i w:val="0"/>
                <w:iCs w:val="0"/>
                <w:caps w:val="0"/>
                <w:color w:val="404040"/>
                <w:spacing w:val="0"/>
                <w:sz w:val="24"/>
                <w:szCs w:val="24"/>
                <w:highlight w:val="none"/>
                <w:shd w:val="clear" w:fill="FFFFFF"/>
                <w:lang w:eastAsia="zh-CN"/>
              </w:rPr>
              <w:t>。</w:t>
            </w:r>
            <w:r>
              <w:rPr>
                <w:rFonts w:hint="default" w:ascii="Times New Roman" w:hAnsi="Times New Roman" w:eastAsia="宋体" w:cs="Segoe UI"/>
                <w:i w:val="0"/>
                <w:iCs w:val="0"/>
                <w:caps w:val="0"/>
                <w:color w:val="404040"/>
                <w:spacing w:val="0"/>
                <w:sz w:val="24"/>
                <w:szCs w:val="24"/>
                <w:highlight w:val="none"/>
                <w:shd w:val="clear" w:fill="FFFFFF"/>
              </w:rPr>
              <w:t>选择适合的宿主细胞（如大肠杆菌、CHO细胞等），根据目标蛋白特性优化密码子以提高表达效率。</w:t>
            </w:r>
          </w:p>
          <w:p w14:paraId="5F55B200">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sz w:val="24"/>
                <w:szCs w:val="24"/>
                <w:highlight w:val="none"/>
              </w:rPr>
            </w:pPr>
            <w:r>
              <w:rPr>
                <w:rStyle w:val="28"/>
                <w:rFonts w:hint="eastAsia" w:ascii="Times New Roman" w:hAnsi="Times New Roman" w:eastAsia="宋体" w:cs="Segoe UI"/>
                <w:i w:val="0"/>
                <w:iCs w:val="0"/>
                <w:caps w:val="0"/>
                <w:color w:val="404040"/>
                <w:spacing w:val="0"/>
                <w:sz w:val="24"/>
                <w:szCs w:val="24"/>
                <w:highlight w:val="none"/>
                <w:shd w:val="clear" w:fill="FFFFFF"/>
                <w:lang w:eastAsia="zh-CN"/>
              </w:rPr>
              <w:t>（</w:t>
            </w:r>
            <w:r>
              <w:rPr>
                <w:rStyle w:val="28"/>
                <w:rFonts w:hint="eastAsia" w:ascii="Times New Roman" w:hAnsi="Times New Roman" w:eastAsia="宋体" w:cs="Segoe UI"/>
                <w:i w:val="0"/>
                <w:iCs w:val="0"/>
                <w:caps w:val="0"/>
                <w:color w:val="404040"/>
                <w:spacing w:val="0"/>
                <w:sz w:val="24"/>
                <w:szCs w:val="24"/>
                <w:highlight w:val="none"/>
                <w:shd w:val="clear" w:fill="FFFFFF"/>
                <w:lang w:val="en-US" w:eastAsia="zh-CN"/>
              </w:rPr>
              <w:t>2</w:t>
            </w:r>
            <w:r>
              <w:rPr>
                <w:rStyle w:val="28"/>
                <w:rFonts w:hint="eastAsia" w:ascii="Times New Roman" w:hAnsi="Times New Roman" w:eastAsia="宋体" w:cs="Segoe UI"/>
                <w:i w:val="0"/>
                <w:iCs w:val="0"/>
                <w:caps w:val="0"/>
                <w:color w:val="404040"/>
                <w:spacing w:val="0"/>
                <w:sz w:val="24"/>
                <w:szCs w:val="24"/>
                <w:highlight w:val="none"/>
                <w:shd w:val="clear" w:fill="FFFFFF"/>
                <w:lang w:eastAsia="zh-CN"/>
              </w:rPr>
              <w:t>）</w:t>
            </w:r>
            <w:r>
              <w:rPr>
                <w:rStyle w:val="28"/>
                <w:rFonts w:hint="default" w:ascii="Times New Roman" w:hAnsi="Times New Roman" w:eastAsia="宋体" w:cs="Segoe UI"/>
                <w:i w:val="0"/>
                <w:iCs w:val="0"/>
                <w:caps w:val="0"/>
                <w:color w:val="404040"/>
                <w:spacing w:val="0"/>
                <w:sz w:val="24"/>
                <w:szCs w:val="24"/>
                <w:highlight w:val="none"/>
                <w:shd w:val="clear" w:fill="FFFFFF"/>
              </w:rPr>
              <w:t>宿主细胞转染与培养</w:t>
            </w:r>
          </w:p>
          <w:p w14:paraId="79A68990">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sz w:val="24"/>
                <w:szCs w:val="24"/>
                <w:highlight w:val="none"/>
              </w:rPr>
            </w:pPr>
            <w:r>
              <w:rPr>
                <w:rFonts w:hint="default" w:ascii="Times New Roman" w:hAnsi="Times New Roman" w:eastAsia="宋体" w:cs="Segoe UI"/>
                <w:i w:val="0"/>
                <w:iCs w:val="0"/>
                <w:caps w:val="0"/>
                <w:color w:val="404040"/>
                <w:spacing w:val="0"/>
                <w:sz w:val="24"/>
                <w:szCs w:val="24"/>
                <w:highlight w:val="none"/>
                <w:shd w:val="clear" w:fill="FFFFFF"/>
              </w:rPr>
              <w:t>将重组载体导入宿主细胞（通过电穿孔、脂质体转染等技术）。</w:t>
            </w:r>
            <w:r>
              <w:rPr>
                <w:rFonts w:hint="eastAsia" w:ascii="Times New Roman" w:hAnsi="Times New Roman" w:eastAsia="宋体" w:cs="Segoe UI"/>
                <w:i w:val="0"/>
                <w:iCs w:val="0"/>
                <w:caps w:val="0"/>
                <w:color w:val="404040"/>
                <w:spacing w:val="0"/>
                <w:sz w:val="24"/>
                <w:szCs w:val="24"/>
                <w:highlight w:val="none"/>
                <w:shd w:val="clear" w:fill="FFFFFF"/>
                <w:lang w:val="en-US" w:eastAsia="zh-CN"/>
              </w:rPr>
              <w:t>在</w:t>
            </w:r>
            <w:r>
              <w:rPr>
                <w:rFonts w:hint="default" w:ascii="Times New Roman" w:hAnsi="Times New Roman" w:eastAsia="宋体" w:cs="Segoe UI"/>
                <w:i w:val="0"/>
                <w:iCs w:val="0"/>
                <w:caps w:val="0"/>
                <w:color w:val="404040"/>
                <w:spacing w:val="0"/>
                <w:sz w:val="24"/>
                <w:szCs w:val="24"/>
                <w:highlight w:val="none"/>
                <w:shd w:val="clear" w:fill="FFFFFF"/>
              </w:rPr>
              <w:t>含葡萄糖的培养基中进行扩增培养，葡萄糖作为碳源可促进细胞代谢和生长，为蛋白表达提供能量支持。</w:t>
            </w:r>
          </w:p>
          <w:p w14:paraId="47667C34">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sz w:val="24"/>
                <w:szCs w:val="24"/>
                <w:highlight w:val="none"/>
              </w:rPr>
            </w:pPr>
            <w:r>
              <w:rPr>
                <w:rStyle w:val="28"/>
                <w:rFonts w:hint="eastAsia" w:ascii="Times New Roman" w:hAnsi="Times New Roman" w:eastAsia="宋体" w:cs="Segoe UI"/>
                <w:i w:val="0"/>
                <w:iCs w:val="0"/>
                <w:caps w:val="0"/>
                <w:color w:val="404040"/>
                <w:spacing w:val="0"/>
                <w:sz w:val="24"/>
                <w:szCs w:val="24"/>
                <w:highlight w:val="none"/>
                <w:shd w:val="clear" w:fill="FFFFFF"/>
                <w:lang w:eastAsia="zh-CN"/>
              </w:rPr>
              <w:t>（</w:t>
            </w:r>
            <w:r>
              <w:rPr>
                <w:rStyle w:val="28"/>
                <w:rFonts w:hint="eastAsia" w:ascii="Times New Roman" w:hAnsi="Times New Roman" w:eastAsia="宋体" w:cs="Segoe UI"/>
                <w:i w:val="0"/>
                <w:iCs w:val="0"/>
                <w:caps w:val="0"/>
                <w:color w:val="404040"/>
                <w:spacing w:val="0"/>
                <w:sz w:val="24"/>
                <w:szCs w:val="24"/>
                <w:highlight w:val="none"/>
                <w:shd w:val="clear" w:fill="FFFFFF"/>
                <w:lang w:val="en-US" w:eastAsia="zh-CN"/>
              </w:rPr>
              <w:t>3</w:t>
            </w:r>
            <w:r>
              <w:rPr>
                <w:rStyle w:val="28"/>
                <w:rFonts w:hint="eastAsia" w:ascii="Times New Roman" w:hAnsi="Times New Roman" w:eastAsia="宋体" w:cs="Segoe UI"/>
                <w:i w:val="0"/>
                <w:iCs w:val="0"/>
                <w:caps w:val="0"/>
                <w:color w:val="404040"/>
                <w:spacing w:val="0"/>
                <w:sz w:val="24"/>
                <w:szCs w:val="24"/>
                <w:highlight w:val="none"/>
                <w:shd w:val="clear" w:fill="FFFFFF"/>
                <w:lang w:eastAsia="zh-CN"/>
              </w:rPr>
              <w:t>）</w:t>
            </w:r>
            <w:r>
              <w:rPr>
                <w:rStyle w:val="28"/>
                <w:rFonts w:hint="default" w:ascii="Times New Roman" w:hAnsi="Times New Roman" w:eastAsia="宋体" w:cs="Segoe UI"/>
                <w:i w:val="0"/>
                <w:iCs w:val="0"/>
                <w:caps w:val="0"/>
                <w:color w:val="404040"/>
                <w:spacing w:val="0"/>
                <w:sz w:val="24"/>
                <w:szCs w:val="24"/>
                <w:highlight w:val="none"/>
                <w:shd w:val="clear" w:fill="FFFFFF"/>
              </w:rPr>
              <w:t>诱导表达</w:t>
            </w:r>
          </w:p>
          <w:p w14:paraId="6CF44713">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sz w:val="24"/>
                <w:szCs w:val="24"/>
                <w:highlight w:val="none"/>
              </w:rPr>
            </w:pPr>
            <w:r>
              <w:rPr>
                <w:rFonts w:hint="default" w:ascii="Times New Roman" w:hAnsi="Times New Roman" w:eastAsia="宋体" w:cs="Segoe UI"/>
                <w:i w:val="0"/>
                <w:iCs w:val="0"/>
                <w:caps w:val="0"/>
                <w:color w:val="404040"/>
                <w:spacing w:val="0"/>
                <w:sz w:val="24"/>
                <w:szCs w:val="24"/>
                <w:highlight w:val="none"/>
                <w:shd w:val="clear" w:fill="FFFFFF"/>
              </w:rPr>
              <w:t>通过特定诱导条件（如IPTG诱导、温度切换）启动目标基因表达。监控培养参数（pH、溶氧、温度），确保蛋白高效表达并避免错误折叠。</w:t>
            </w:r>
          </w:p>
          <w:p w14:paraId="70FC5642">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sz w:val="24"/>
                <w:szCs w:val="24"/>
                <w:highlight w:val="none"/>
              </w:rPr>
            </w:pPr>
            <w:r>
              <w:rPr>
                <w:rStyle w:val="28"/>
                <w:rFonts w:hint="eastAsia" w:ascii="Times New Roman" w:hAnsi="Times New Roman" w:eastAsia="宋体" w:cs="Segoe UI"/>
                <w:i w:val="0"/>
                <w:iCs w:val="0"/>
                <w:caps w:val="0"/>
                <w:color w:val="404040"/>
                <w:spacing w:val="0"/>
                <w:sz w:val="24"/>
                <w:szCs w:val="24"/>
                <w:highlight w:val="none"/>
                <w:shd w:val="clear" w:fill="FFFFFF"/>
                <w:lang w:eastAsia="zh-CN"/>
              </w:rPr>
              <w:t>（</w:t>
            </w:r>
            <w:r>
              <w:rPr>
                <w:rStyle w:val="28"/>
                <w:rFonts w:hint="eastAsia" w:ascii="Times New Roman" w:hAnsi="Times New Roman" w:eastAsia="宋体" w:cs="Segoe UI"/>
                <w:i w:val="0"/>
                <w:iCs w:val="0"/>
                <w:caps w:val="0"/>
                <w:color w:val="404040"/>
                <w:spacing w:val="0"/>
                <w:sz w:val="24"/>
                <w:szCs w:val="24"/>
                <w:highlight w:val="none"/>
                <w:shd w:val="clear" w:fill="FFFFFF"/>
                <w:lang w:val="en-US" w:eastAsia="zh-CN"/>
              </w:rPr>
              <w:t>4</w:t>
            </w:r>
            <w:r>
              <w:rPr>
                <w:rStyle w:val="28"/>
                <w:rFonts w:hint="eastAsia" w:ascii="Times New Roman" w:hAnsi="Times New Roman" w:eastAsia="宋体" w:cs="Segoe UI"/>
                <w:i w:val="0"/>
                <w:iCs w:val="0"/>
                <w:caps w:val="0"/>
                <w:color w:val="404040"/>
                <w:spacing w:val="0"/>
                <w:sz w:val="24"/>
                <w:szCs w:val="24"/>
                <w:highlight w:val="none"/>
                <w:shd w:val="clear" w:fill="FFFFFF"/>
                <w:lang w:eastAsia="zh-CN"/>
              </w:rPr>
              <w:t>）</w:t>
            </w:r>
            <w:r>
              <w:rPr>
                <w:rStyle w:val="28"/>
                <w:rFonts w:hint="default" w:ascii="Times New Roman" w:hAnsi="Times New Roman" w:eastAsia="宋体" w:cs="Segoe UI"/>
                <w:i w:val="0"/>
                <w:iCs w:val="0"/>
                <w:caps w:val="0"/>
                <w:color w:val="404040"/>
                <w:spacing w:val="0"/>
                <w:sz w:val="24"/>
                <w:szCs w:val="24"/>
                <w:highlight w:val="none"/>
                <w:shd w:val="clear" w:fill="FFFFFF"/>
              </w:rPr>
              <w:t>细胞收获与裂解</w:t>
            </w:r>
          </w:p>
          <w:p w14:paraId="3581FA29">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sz w:val="24"/>
                <w:szCs w:val="24"/>
                <w:highlight w:val="none"/>
              </w:rPr>
            </w:pPr>
            <w:r>
              <w:rPr>
                <w:rFonts w:hint="default" w:ascii="Times New Roman" w:hAnsi="Times New Roman" w:eastAsia="宋体" w:cs="Segoe UI"/>
                <w:i w:val="0"/>
                <w:iCs w:val="0"/>
                <w:caps w:val="0"/>
                <w:color w:val="404040"/>
                <w:spacing w:val="0"/>
                <w:sz w:val="24"/>
                <w:szCs w:val="24"/>
                <w:highlight w:val="none"/>
                <w:shd w:val="clear" w:fill="FFFFFF"/>
              </w:rPr>
              <w:t>离心收集细胞，通过超声破碎、酶解或高压均质裂解细胞，释放胞内蛋白。若为分泌型表达（如哺乳动物细胞），可直接从培养基上清中收集蛋白。</w:t>
            </w:r>
          </w:p>
          <w:p w14:paraId="71E2B10A">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sz w:val="24"/>
                <w:szCs w:val="24"/>
                <w:highlight w:val="none"/>
              </w:rPr>
            </w:pPr>
            <w:r>
              <w:rPr>
                <w:rStyle w:val="28"/>
                <w:rFonts w:hint="eastAsia" w:ascii="Times New Roman" w:hAnsi="Times New Roman" w:eastAsia="宋体" w:cs="Segoe UI"/>
                <w:i w:val="0"/>
                <w:iCs w:val="0"/>
                <w:caps w:val="0"/>
                <w:color w:val="404040"/>
                <w:spacing w:val="0"/>
                <w:sz w:val="24"/>
                <w:szCs w:val="24"/>
                <w:highlight w:val="none"/>
                <w:shd w:val="clear" w:fill="FFFFFF"/>
                <w:lang w:eastAsia="zh-CN"/>
              </w:rPr>
              <w:t>（</w:t>
            </w:r>
            <w:r>
              <w:rPr>
                <w:rStyle w:val="28"/>
                <w:rFonts w:hint="eastAsia" w:ascii="Times New Roman" w:hAnsi="Times New Roman" w:eastAsia="宋体" w:cs="Segoe UI"/>
                <w:i w:val="0"/>
                <w:iCs w:val="0"/>
                <w:caps w:val="0"/>
                <w:color w:val="404040"/>
                <w:spacing w:val="0"/>
                <w:sz w:val="24"/>
                <w:szCs w:val="24"/>
                <w:highlight w:val="none"/>
                <w:shd w:val="clear" w:fill="FFFFFF"/>
                <w:lang w:val="en-US" w:eastAsia="zh-CN"/>
              </w:rPr>
              <w:t>5</w:t>
            </w:r>
            <w:r>
              <w:rPr>
                <w:rStyle w:val="28"/>
                <w:rFonts w:hint="eastAsia" w:ascii="Times New Roman" w:hAnsi="Times New Roman" w:eastAsia="宋体" w:cs="Segoe UI"/>
                <w:i w:val="0"/>
                <w:iCs w:val="0"/>
                <w:caps w:val="0"/>
                <w:color w:val="404040"/>
                <w:spacing w:val="0"/>
                <w:sz w:val="24"/>
                <w:szCs w:val="24"/>
                <w:highlight w:val="none"/>
                <w:shd w:val="clear" w:fill="FFFFFF"/>
                <w:lang w:eastAsia="zh-CN"/>
              </w:rPr>
              <w:t>）</w:t>
            </w:r>
            <w:r>
              <w:rPr>
                <w:rStyle w:val="28"/>
                <w:rFonts w:hint="default" w:ascii="Times New Roman" w:hAnsi="Times New Roman" w:eastAsia="宋体" w:cs="Segoe UI"/>
                <w:i w:val="0"/>
                <w:iCs w:val="0"/>
                <w:caps w:val="0"/>
                <w:color w:val="404040"/>
                <w:spacing w:val="0"/>
                <w:sz w:val="24"/>
                <w:szCs w:val="24"/>
                <w:highlight w:val="none"/>
                <w:shd w:val="clear" w:fill="FFFFFF"/>
              </w:rPr>
              <w:t>初级纯化</w:t>
            </w:r>
          </w:p>
          <w:p w14:paraId="7238F774">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b w:val="0"/>
                <w:bCs/>
                <w:sz w:val="24"/>
                <w:szCs w:val="24"/>
                <w:highlight w:val="none"/>
              </w:rPr>
            </w:pPr>
            <w:r>
              <w:rPr>
                <w:rStyle w:val="28"/>
                <w:rFonts w:hint="default" w:ascii="Times New Roman" w:hAnsi="Times New Roman" w:eastAsia="宋体" w:cs="Segoe UI"/>
                <w:b w:val="0"/>
                <w:bCs/>
                <w:i w:val="0"/>
                <w:iCs w:val="0"/>
                <w:caps w:val="0"/>
                <w:color w:val="404040"/>
                <w:spacing w:val="0"/>
                <w:sz w:val="24"/>
                <w:szCs w:val="24"/>
                <w:highlight w:val="none"/>
                <w:shd w:val="clear" w:fill="FFFFFF"/>
              </w:rPr>
              <w:t>亲和层析</w:t>
            </w:r>
            <w:r>
              <w:rPr>
                <w:rFonts w:hint="default" w:ascii="Times New Roman" w:hAnsi="Times New Roman" w:eastAsia="宋体" w:cs="Segoe UI"/>
                <w:b w:val="0"/>
                <w:bCs/>
                <w:i w:val="0"/>
                <w:iCs w:val="0"/>
                <w:caps w:val="0"/>
                <w:color w:val="404040"/>
                <w:spacing w:val="0"/>
                <w:sz w:val="24"/>
                <w:szCs w:val="24"/>
                <w:highlight w:val="none"/>
                <w:shd w:val="clear" w:fill="FFFFFF"/>
              </w:rPr>
              <w:t>：利用标签（如His标签）与层析介质（如镍柱）特异性结合，洗脱获得粗提蛋白。</w:t>
            </w:r>
          </w:p>
          <w:p w14:paraId="14980D86">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b w:val="0"/>
                <w:bCs/>
                <w:sz w:val="24"/>
                <w:szCs w:val="24"/>
                <w:highlight w:val="none"/>
              </w:rPr>
            </w:pPr>
            <w:r>
              <w:rPr>
                <w:rStyle w:val="28"/>
                <w:rFonts w:hint="default" w:ascii="Times New Roman" w:hAnsi="Times New Roman" w:eastAsia="宋体" w:cs="Segoe UI"/>
                <w:b w:val="0"/>
                <w:bCs/>
                <w:i w:val="0"/>
                <w:iCs w:val="0"/>
                <w:caps w:val="0"/>
                <w:color w:val="404040"/>
                <w:spacing w:val="0"/>
                <w:sz w:val="24"/>
                <w:szCs w:val="24"/>
                <w:highlight w:val="none"/>
                <w:shd w:val="clear" w:fill="FFFFFF"/>
              </w:rPr>
              <w:t>缓冲液置换</w:t>
            </w:r>
            <w:r>
              <w:rPr>
                <w:rFonts w:hint="default" w:ascii="Times New Roman" w:hAnsi="Times New Roman" w:eastAsia="宋体" w:cs="Segoe UI"/>
                <w:b w:val="0"/>
                <w:bCs/>
                <w:i w:val="0"/>
                <w:iCs w:val="0"/>
                <w:caps w:val="0"/>
                <w:color w:val="404040"/>
                <w:spacing w:val="0"/>
                <w:sz w:val="24"/>
                <w:szCs w:val="24"/>
                <w:highlight w:val="none"/>
                <w:shd w:val="clear" w:fill="FFFFFF"/>
              </w:rPr>
              <w:t>：使用含葡萄糖或其他稳定剂的缓冲液，维持蛋白活性并去除杂质。</w:t>
            </w:r>
          </w:p>
          <w:p w14:paraId="0100F3EE">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sz w:val="24"/>
                <w:szCs w:val="24"/>
                <w:highlight w:val="none"/>
              </w:rPr>
            </w:pPr>
            <w:r>
              <w:rPr>
                <w:rStyle w:val="28"/>
                <w:rFonts w:hint="eastAsia" w:ascii="Times New Roman" w:hAnsi="Times New Roman" w:eastAsia="宋体" w:cs="Segoe UI"/>
                <w:i w:val="0"/>
                <w:iCs w:val="0"/>
                <w:caps w:val="0"/>
                <w:color w:val="404040"/>
                <w:spacing w:val="0"/>
                <w:sz w:val="24"/>
                <w:szCs w:val="24"/>
                <w:highlight w:val="none"/>
                <w:shd w:val="clear" w:fill="FFFFFF"/>
                <w:lang w:eastAsia="zh-CN"/>
              </w:rPr>
              <w:t>（</w:t>
            </w:r>
            <w:r>
              <w:rPr>
                <w:rStyle w:val="28"/>
                <w:rFonts w:hint="eastAsia" w:ascii="Times New Roman" w:hAnsi="Times New Roman" w:eastAsia="宋体" w:cs="Segoe UI"/>
                <w:i w:val="0"/>
                <w:iCs w:val="0"/>
                <w:caps w:val="0"/>
                <w:color w:val="404040"/>
                <w:spacing w:val="0"/>
                <w:sz w:val="24"/>
                <w:szCs w:val="24"/>
                <w:highlight w:val="none"/>
                <w:shd w:val="clear" w:fill="FFFFFF"/>
                <w:lang w:val="en-US" w:eastAsia="zh-CN"/>
              </w:rPr>
              <w:t>6</w:t>
            </w:r>
            <w:r>
              <w:rPr>
                <w:rStyle w:val="28"/>
                <w:rFonts w:hint="eastAsia" w:ascii="Times New Roman" w:hAnsi="Times New Roman" w:eastAsia="宋体" w:cs="Segoe UI"/>
                <w:i w:val="0"/>
                <w:iCs w:val="0"/>
                <w:caps w:val="0"/>
                <w:color w:val="404040"/>
                <w:spacing w:val="0"/>
                <w:sz w:val="24"/>
                <w:szCs w:val="24"/>
                <w:highlight w:val="none"/>
                <w:shd w:val="clear" w:fill="FFFFFF"/>
                <w:lang w:eastAsia="zh-CN"/>
              </w:rPr>
              <w:t>）</w:t>
            </w:r>
            <w:r>
              <w:rPr>
                <w:rStyle w:val="28"/>
                <w:rFonts w:hint="default" w:ascii="Times New Roman" w:hAnsi="Times New Roman" w:eastAsia="宋体" w:cs="Segoe UI"/>
                <w:i w:val="0"/>
                <w:iCs w:val="0"/>
                <w:caps w:val="0"/>
                <w:color w:val="404040"/>
                <w:spacing w:val="0"/>
                <w:sz w:val="24"/>
                <w:szCs w:val="24"/>
                <w:highlight w:val="none"/>
                <w:shd w:val="clear" w:fill="FFFFFF"/>
              </w:rPr>
              <w:t>精细纯化</w:t>
            </w:r>
          </w:p>
          <w:p w14:paraId="795A9914">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b w:val="0"/>
                <w:bCs/>
                <w:sz w:val="24"/>
                <w:szCs w:val="24"/>
                <w:highlight w:val="none"/>
              </w:rPr>
            </w:pPr>
            <w:r>
              <w:rPr>
                <w:rStyle w:val="28"/>
                <w:rFonts w:hint="default" w:ascii="Times New Roman" w:hAnsi="Times New Roman" w:eastAsia="宋体" w:cs="Segoe UI"/>
                <w:b w:val="0"/>
                <w:bCs/>
                <w:i w:val="0"/>
                <w:iCs w:val="0"/>
                <w:caps w:val="0"/>
                <w:color w:val="404040"/>
                <w:spacing w:val="0"/>
                <w:sz w:val="24"/>
                <w:szCs w:val="24"/>
                <w:highlight w:val="none"/>
                <w:shd w:val="clear" w:fill="FFFFFF"/>
              </w:rPr>
              <w:t>离子交换层析</w:t>
            </w:r>
            <w:r>
              <w:rPr>
                <w:rFonts w:hint="default" w:ascii="Times New Roman" w:hAnsi="Times New Roman" w:eastAsia="宋体" w:cs="Segoe UI"/>
                <w:b w:val="0"/>
                <w:bCs/>
                <w:i w:val="0"/>
                <w:iCs w:val="0"/>
                <w:caps w:val="0"/>
                <w:color w:val="404040"/>
                <w:spacing w:val="0"/>
                <w:sz w:val="24"/>
                <w:szCs w:val="24"/>
                <w:highlight w:val="none"/>
                <w:shd w:val="clear" w:fill="FFFFFF"/>
              </w:rPr>
              <w:t>：根据蛋白电荷特性进一步分离杂质。</w:t>
            </w:r>
          </w:p>
          <w:p w14:paraId="793D0567">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b w:val="0"/>
                <w:bCs/>
                <w:sz w:val="24"/>
                <w:szCs w:val="24"/>
                <w:highlight w:val="none"/>
              </w:rPr>
            </w:pPr>
            <w:r>
              <w:rPr>
                <w:rStyle w:val="28"/>
                <w:rFonts w:hint="default" w:ascii="Times New Roman" w:hAnsi="Times New Roman" w:eastAsia="宋体" w:cs="Segoe UI"/>
                <w:b w:val="0"/>
                <w:bCs/>
                <w:i w:val="0"/>
                <w:iCs w:val="0"/>
                <w:caps w:val="0"/>
                <w:color w:val="404040"/>
                <w:spacing w:val="0"/>
                <w:sz w:val="24"/>
                <w:szCs w:val="24"/>
                <w:highlight w:val="none"/>
                <w:shd w:val="clear" w:fill="FFFFFF"/>
              </w:rPr>
              <w:t>尺寸排阻层析</w:t>
            </w:r>
            <w:r>
              <w:rPr>
                <w:rFonts w:hint="default" w:ascii="Times New Roman" w:hAnsi="Times New Roman" w:eastAsia="宋体" w:cs="Segoe UI"/>
                <w:b w:val="0"/>
                <w:bCs/>
                <w:i w:val="0"/>
                <w:iCs w:val="0"/>
                <w:caps w:val="0"/>
                <w:color w:val="404040"/>
                <w:spacing w:val="0"/>
                <w:sz w:val="24"/>
                <w:szCs w:val="24"/>
                <w:highlight w:val="none"/>
                <w:shd w:val="clear" w:fill="FFFFFF"/>
              </w:rPr>
              <w:t>（凝胶过滤）：按分子量差异去除聚集体或降解产物，确保蛋白均一性。</w:t>
            </w:r>
          </w:p>
          <w:p w14:paraId="21CAC2AC">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以上整个蛋白表达及纯化工段会产生G1生物安全柜废气</w:t>
            </w:r>
            <w:r>
              <w:rPr>
                <w:rFonts w:hint="eastAsia" w:cs="Times New Roman"/>
                <w:b w:val="0"/>
                <w:bCs w:val="0"/>
                <w:color w:val="auto"/>
                <w:sz w:val="24"/>
                <w:szCs w:val="24"/>
                <w:highlight w:val="none"/>
                <w:lang w:val="en-US" w:eastAsia="zh-CN"/>
              </w:rPr>
              <w:t>；</w:t>
            </w:r>
            <w:r>
              <w:rPr>
                <w:rFonts w:hint="eastAsia" w:cs="Times New Roman"/>
                <w:b w:val="0"/>
                <w:bCs w:val="0"/>
                <w:color w:val="auto"/>
                <w:sz w:val="24"/>
                <w:highlight w:val="none"/>
                <w:lang w:val="en-US" w:eastAsia="zh-CN"/>
              </w:rPr>
              <w:t>S1实验废液、S2废生物材料</w:t>
            </w:r>
            <w:r>
              <w:rPr>
                <w:rFonts w:hint="eastAsia" w:ascii="Times New Roman" w:hAnsi="Times New Roman" w:eastAsia="宋体" w:cs="Times New Roman"/>
                <w:b w:val="0"/>
                <w:bCs w:val="0"/>
                <w:color w:val="auto"/>
                <w:sz w:val="24"/>
                <w:szCs w:val="24"/>
                <w:highlight w:val="none"/>
                <w:lang w:val="en-US" w:eastAsia="zh-CN"/>
              </w:rPr>
              <w:t>。</w:t>
            </w:r>
          </w:p>
          <w:p w14:paraId="51E6AF32">
            <w:pPr>
              <w:keepNext w:val="0"/>
              <w:keepLines w:val="0"/>
              <w:widowControl/>
              <w:suppressLineNumbers w:val="0"/>
              <w:spacing w:before="0" w:beforeAutospacing="0" w:after="0" w:afterAutospacing="0" w:line="360" w:lineRule="auto"/>
              <w:ind w:left="0" w:right="0" w:firstLine="482" w:firstLineChars="200"/>
              <w:jc w:val="both"/>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6、细胞样品</w:t>
            </w:r>
          </w:p>
          <w:p w14:paraId="670B3B00">
            <w:pPr>
              <w:keepNext w:val="0"/>
              <w:keepLines w:val="0"/>
              <w:widowControl/>
              <w:suppressLineNumbers w:val="0"/>
              <w:spacing w:before="0" w:beforeAutospacing="0" w:after="0" w:afterAutospacing="0" w:line="360" w:lineRule="auto"/>
              <w:ind w:left="0" w:right="0" w:firstLine="482" w:firstLineChars="200"/>
              <w:jc w:val="both"/>
              <w:rPr>
                <w:rFonts w:hint="default" w:ascii="Times New Roman" w:hAnsi="Times New Roman" w:eastAsia="宋体" w:cs="Segoe UI"/>
                <w:i w:val="0"/>
                <w:iCs w:val="0"/>
                <w:caps w:val="0"/>
                <w:color w:val="404040"/>
                <w:spacing w:val="0"/>
                <w:sz w:val="24"/>
                <w:szCs w:val="24"/>
                <w:highlight w:val="none"/>
                <w:shd w:val="clear" w:fill="FFFFFF"/>
              </w:rPr>
            </w:pPr>
            <w:r>
              <w:rPr>
                <w:rStyle w:val="28"/>
                <w:rFonts w:hint="default" w:ascii="Times New Roman" w:hAnsi="Times New Roman" w:eastAsia="宋体" w:cs="Segoe UI"/>
                <w:i w:val="0"/>
                <w:iCs w:val="0"/>
                <w:caps w:val="0"/>
                <w:color w:val="404040"/>
                <w:spacing w:val="0"/>
                <w:sz w:val="24"/>
                <w:szCs w:val="24"/>
                <w:highlight w:val="none"/>
                <w:shd w:val="clear" w:fill="FFFFFF"/>
              </w:rPr>
              <w:t>产物收集</w:t>
            </w:r>
            <w:r>
              <w:rPr>
                <w:rFonts w:hint="default" w:ascii="Times New Roman" w:hAnsi="Times New Roman" w:eastAsia="宋体" w:cs="Segoe UI"/>
                <w:i w:val="0"/>
                <w:iCs w:val="0"/>
                <w:caps w:val="0"/>
                <w:color w:val="404040"/>
                <w:spacing w:val="0"/>
                <w:sz w:val="24"/>
                <w:szCs w:val="24"/>
                <w:highlight w:val="none"/>
                <w:shd w:val="clear" w:fill="FFFFFF"/>
              </w:rPr>
              <w:t>：处理后的细胞经PBS清洗，通过胰酶消化或机械刮取法收集，离心后分为细胞沉淀（用于核酸/蛋白提取）与上清液（用于分泌蛋白分析）。</w:t>
            </w:r>
          </w:p>
          <w:p w14:paraId="6BE7FBE4">
            <w:pPr>
              <w:keepNext w:val="0"/>
              <w:keepLines w:val="0"/>
              <w:widowControl/>
              <w:suppressLineNumbers w:val="0"/>
              <w:spacing w:before="0" w:beforeAutospacing="0" w:after="0" w:afterAutospacing="0" w:line="360" w:lineRule="auto"/>
              <w:ind w:left="0" w:right="0" w:firstLine="482" w:firstLineChars="200"/>
              <w:jc w:val="both"/>
              <w:rPr>
                <w:rFonts w:hint="default" w:ascii="Times New Roman" w:hAnsi="Times New Roman" w:eastAsia="宋体" w:cs="Segoe UI"/>
                <w:i w:val="0"/>
                <w:iCs w:val="0"/>
                <w:caps w:val="0"/>
                <w:color w:val="404040"/>
                <w:spacing w:val="0"/>
                <w:sz w:val="24"/>
                <w:szCs w:val="24"/>
                <w:highlight w:val="none"/>
                <w:shd w:val="clear" w:fill="FFFFFF"/>
              </w:rPr>
            </w:pPr>
            <w:r>
              <w:rPr>
                <w:rStyle w:val="28"/>
                <w:rFonts w:hint="default" w:ascii="Times New Roman" w:hAnsi="Times New Roman" w:eastAsia="宋体" w:cs="Segoe UI"/>
                <w:i w:val="0"/>
                <w:iCs w:val="0"/>
                <w:caps w:val="0"/>
                <w:color w:val="404040"/>
                <w:spacing w:val="0"/>
                <w:sz w:val="24"/>
                <w:szCs w:val="24"/>
                <w:highlight w:val="none"/>
                <w:shd w:val="clear" w:fill="FFFFFF"/>
              </w:rPr>
              <w:t>裂解处理</w:t>
            </w:r>
            <w:r>
              <w:rPr>
                <w:rFonts w:hint="default" w:ascii="Times New Roman" w:hAnsi="Times New Roman" w:eastAsia="宋体" w:cs="Segoe UI"/>
                <w:i w:val="0"/>
                <w:iCs w:val="0"/>
                <w:caps w:val="0"/>
                <w:color w:val="404040"/>
                <w:spacing w:val="0"/>
                <w:sz w:val="24"/>
                <w:szCs w:val="24"/>
                <w:highlight w:val="none"/>
                <w:shd w:val="clear" w:fill="FFFFFF"/>
              </w:rPr>
              <w:t>：使用RIPA裂解液提取总蛋白，或TRIzol法提取RNA/DNA，用于下游分子检测。</w:t>
            </w:r>
          </w:p>
          <w:p w14:paraId="17E8D597">
            <w:pPr>
              <w:keepNext w:val="0"/>
              <w:keepLines w:val="0"/>
              <w:widowControl/>
              <w:suppressLineNumbers w:val="0"/>
              <w:spacing w:before="0" w:beforeAutospacing="0" w:after="0" w:afterAutospacing="0" w:line="360" w:lineRule="auto"/>
              <w:ind w:left="0" w:right="0" w:firstLine="480" w:firstLineChars="200"/>
              <w:jc w:val="both"/>
              <w:rPr>
                <w:rFonts w:hint="eastAsia" w:ascii="Times New Roman" w:hAnsi="Times New Roman" w:eastAsia="宋体" w:cs="Segoe UI"/>
                <w:i w:val="0"/>
                <w:iCs w:val="0"/>
                <w:caps w:val="0"/>
                <w:color w:val="404040"/>
                <w:spacing w:val="0"/>
                <w:sz w:val="24"/>
                <w:szCs w:val="24"/>
                <w:highlight w:val="none"/>
                <w:shd w:val="clear" w:fill="FFFFFF"/>
                <w:lang w:eastAsia="zh-CN"/>
              </w:rPr>
            </w:pPr>
            <w:r>
              <w:rPr>
                <w:rFonts w:hint="eastAsia" w:ascii="Times New Roman" w:hAnsi="Times New Roman" w:eastAsia="宋体" w:cs="Segoe UI"/>
                <w:i w:val="0"/>
                <w:iCs w:val="0"/>
                <w:caps w:val="0"/>
                <w:color w:val="404040"/>
                <w:spacing w:val="0"/>
                <w:sz w:val="24"/>
                <w:szCs w:val="24"/>
                <w:highlight w:val="none"/>
                <w:shd w:val="clear" w:fill="FFFFFF"/>
                <w:lang w:val="en-US" w:eastAsia="zh-CN"/>
              </w:rPr>
              <w:t>以上细胞裂解/细胞上清液提取蛋白/核酸工段</w:t>
            </w:r>
            <w:r>
              <w:rPr>
                <w:rFonts w:hint="default" w:ascii="Times New Roman" w:hAnsi="Times New Roman" w:eastAsia="宋体" w:cs="Segoe UI"/>
                <w:i w:val="0"/>
                <w:iCs w:val="0"/>
                <w:caps w:val="0"/>
                <w:color w:val="404040"/>
                <w:spacing w:val="0"/>
                <w:sz w:val="24"/>
                <w:szCs w:val="24"/>
                <w:highlight w:val="none"/>
                <w:shd w:val="clear" w:fill="FFFFFF"/>
              </w:rPr>
              <w:t>会产生</w:t>
            </w:r>
            <w:r>
              <w:rPr>
                <w:rFonts w:hint="eastAsia" w:ascii="Times New Roman" w:hAnsi="Times New Roman" w:eastAsia="宋体" w:cs="Segoe UI"/>
                <w:i w:val="0"/>
                <w:iCs w:val="0"/>
                <w:caps w:val="0"/>
                <w:color w:val="404040"/>
                <w:spacing w:val="0"/>
                <w:sz w:val="24"/>
                <w:szCs w:val="24"/>
                <w:highlight w:val="none"/>
                <w:shd w:val="clear" w:fill="FFFFFF"/>
                <w:lang w:val="en-US" w:eastAsia="zh-CN"/>
              </w:rPr>
              <w:t>G1</w:t>
            </w:r>
            <w:r>
              <w:rPr>
                <w:rFonts w:hint="default" w:ascii="Times New Roman" w:hAnsi="Times New Roman" w:eastAsia="宋体" w:cs="Segoe UI"/>
                <w:i w:val="0"/>
                <w:iCs w:val="0"/>
                <w:caps w:val="0"/>
                <w:color w:val="404040"/>
                <w:spacing w:val="0"/>
                <w:sz w:val="24"/>
                <w:szCs w:val="24"/>
                <w:highlight w:val="none"/>
                <w:shd w:val="clear" w:fill="FFFFFF"/>
              </w:rPr>
              <w:t>生物安全柜废气，使用 VOCs 原辅材料挥发产生</w:t>
            </w:r>
            <w:r>
              <w:rPr>
                <w:rFonts w:hint="eastAsia" w:ascii="Times New Roman" w:hAnsi="Times New Roman" w:eastAsia="宋体" w:cs="Segoe UI"/>
                <w:i w:val="0"/>
                <w:iCs w:val="0"/>
                <w:caps w:val="0"/>
                <w:color w:val="404040"/>
                <w:spacing w:val="0"/>
                <w:sz w:val="24"/>
                <w:szCs w:val="24"/>
                <w:highlight w:val="none"/>
                <w:shd w:val="clear" w:fill="FFFFFF"/>
                <w:lang w:val="en-US" w:eastAsia="zh-CN"/>
              </w:rPr>
              <w:t>G2</w:t>
            </w:r>
            <w:r>
              <w:rPr>
                <w:rFonts w:hint="default" w:ascii="Times New Roman" w:hAnsi="Times New Roman" w:eastAsia="宋体" w:cs="Segoe UI"/>
                <w:i w:val="0"/>
                <w:iCs w:val="0"/>
                <w:caps w:val="0"/>
                <w:color w:val="404040"/>
                <w:spacing w:val="0"/>
                <w:sz w:val="24"/>
                <w:szCs w:val="24"/>
                <w:highlight w:val="none"/>
                <w:shd w:val="clear" w:fill="FFFFFF"/>
              </w:rPr>
              <w:t>原料挥发废气</w:t>
            </w:r>
            <w:r>
              <w:rPr>
                <w:rFonts w:hint="eastAsia" w:cs="Segoe UI"/>
                <w:i w:val="0"/>
                <w:iCs w:val="0"/>
                <w:caps w:val="0"/>
                <w:color w:val="404040"/>
                <w:spacing w:val="0"/>
                <w:sz w:val="24"/>
                <w:szCs w:val="24"/>
                <w:highlight w:val="none"/>
                <w:shd w:val="clear" w:fill="FFFFFF"/>
                <w:lang w:eastAsia="zh-CN"/>
              </w:rPr>
              <w:t>；</w:t>
            </w:r>
            <w:r>
              <w:rPr>
                <w:rFonts w:hint="eastAsia" w:cs="Times New Roman"/>
                <w:b w:val="0"/>
                <w:bCs w:val="0"/>
                <w:color w:val="auto"/>
                <w:sz w:val="24"/>
                <w:highlight w:val="none"/>
                <w:lang w:val="en-US" w:eastAsia="zh-CN"/>
              </w:rPr>
              <w:t>S1实验废液、S2废生物材料</w:t>
            </w:r>
            <w:r>
              <w:rPr>
                <w:rFonts w:hint="eastAsia" w:ascii="Times New Roman" w:hAnsi="Times New Roman" w:eastAsia="宋体" w:cs="Segoe UI"/>
                <w:i w:val="0"/>
                <w:iCs w:val="0"/>
                <w:caps w:val="0"/>
                <w:color w:val="404040"/>
                <w:spacing w:val="0"/>
                <w:sz w:val="24"/>
                <w:szCs w:val="24"/>
                <w:highlight w:val="none"/>
                <w:shd w:val="clear" w:fill="FFFFFF"/>
                <w:lang w:eastAsia="zh-CN"/>
              </w:rPr>
              <w:t>。</w:t>
            </w:r>
          </w:p>
          <w:p w14:paraId="25097176">
            <w:pPr>
              <w:keepNext w:val="0"/>
              <w:keepLines w:val="0"/>
              <w:widowControl/>
              <w:numPr>
                <w:ilvl w:val="0"/>
                <w:numId w:val="0"/>
              </w:numPr>
              <w:suppressLineNumbers w:val="0"/>
              <w:spacing w:before="0" w:beforeAutospacing="0" w:after="0" w:afterAutospacing="0" w:line="360" w:lineRule="auto"/>
              <w:ind w:left="0" w:leftChars="0" w:right="0" w:rightChars="0" w:firstLine="482" w:firstLineChars="200"/>
              <w:jc w:val="both"/>
              <w:rPr>
                <w:rStyle w:val="28"/>
                <w:rFonts w:hint="eastAsia" w:ascii="Times New Roman" w:hAnsi="Times New Roman" w:eastAsia="宋体" w:cs="Segoe UI"/>
                <w:i w:val="0"/>
                <w:iCs w:val="0"/>
                <w:caps w:val="0"/>
                <w:color w:val="404040"/>
                <w:spacing w:val="0"/>
                <w:sz w:val="24"/>
                <w:szCs w:val="24"/>
                <w:highlight w:val="none"/>
                <w:shd w:val="clear" w:fill="FFFFFF"/>
                <w:lang w:val="en-US" w:eastAsia="zh-CN"/>
              </w:rPr>
            </w:pPr>
            <w:r>
              <w:rPr>
                <w:rFonts w:hint="eastAsia" w:ascii="Times New Roman" w:hAnsi="Times New Roman" w:eastAsia="宋体" w:cs="Segoe UI"/>
                <w:b/>
                <w:i w:val="0"/>
                <w:iCs w:val="0"/>
                <w:caps w:val="0"/>
                <w:color w:val="404040"/>
                <w:spacing w:val="0"/>
                <w:kern w:val="2"/>
                <w:sz w:val="24"/>
                <w:szCs w:val="24"/>
                <w:highlight w:val="none"/>
                <w:shd w:val="clear" w:fill="FFFFFF"/>
                <w:lang w:val="en-US" w:eastAsia="zh-CN" w:bidi="ar-SA"/>
              </w:rPr>
              <w:t>7、</w:t>
            </w:r>
            <w:r>
              <w:rPr>
                <w:rStyle w:val="28"/>
                <w:rFonts w:hint="eastAsia" w:ascii="Times New Roman" w:hAnsi="Times New Roman" w:eastAsia="宋体" w:cs="Segoe UI"/>
                <w:i w:val="0"/>
                <w:iCs w:val="0"/>
                <w:caps w:val="0"/>
                <w:color w:val="404040"/>
                <w:spacing w:val="0"/>
                <w:sz w:val="24"/>
                <w:szCs w:val="24"/>
                <w:highlight w:val="none"/>
                <w:shd w:val="clear" w:fill="FFFFFF"/>
                <w:lang w:val="en-US" w:eastAsia="zh-CN"/>
              </w:rPr>
              <w:t>流式细胞分析：</w:t>
            </w:r>
            <w:r>
              <w:rPr>
                <w:rStyle w:val="28"/>
                <w:rFonts w:hint="eastAsia" w:ascii="Times New Roman" w:hAnsi="Times New Roman" w:eastAsia="宋体" w:cs="Segoe UI"/>
                <w:b w:val="0"/>
                <w:bCs/>
                <w:i w:val="0"/>
                <w:iCs w:val="0"/>
                <w:caps w:val="0"/>
                <w:color w:val="404040"/>
                <w:spacing w:val="0"/>
                <w:sz w:val="24"/>
                <w:szCs w:val="24"/>
                <w:highlight w:val="none"/>
                <w:shd w:val="clear" w:fill="FFFFFF"/>
                <w:lang w:val="en-US" w:eastAsia="zh-CN"/>
              </w:rPr>
              <w:t>将待分析的细胞悬液离心5min后去上清，再使用PBS溶液重悬后离心5min后去上清，使用0.5ml PBS 重悬加入流式抗体室温孵育20min。使用1mlPBS重悬后离心5min去上清，再使用0.2ml PBS重悬，上机进行分析。</w:t>
            </w:r>
          </w:p>
          <w:p w14:paraId="7B1CFDBE">
            <w:pPr>
              <w:keepNext w:val="0"/>
              <w:keepLines w:val="0"/>
              <w:widowControl/>
              <w:numPr>
                <w:ilvl w:val="0"/>
                <w:numId w:val="0"/>
              </w:numPr>
              <w:suppressLineNumbers w:val="0"/>
              <w:spacing w:before="0" w:beforeAutospacing="0" w:after="0" w:afterAutospacing="0" w:line="360" w:lineRule="auto"/>
              <w:ind w:left="0" w:leftChars="0" w:right="0" w:rightChars="0" w:firstLine="482" w:firstLineChars="200"/>
              <w:jc w:val="both"/>
              <w:rPr>
                <w:rStyle w:val="28"/>
                <w:rFonts w:hint="eastAsia" w:ascii="Times New Roman" w:hAnsi="Times New Roman" w:eastAsia="宋体" w:cs="Segoe UI"/>
                <w:i w:val="0"/>
                <w:iCs w:val="0"/>
                <w:caps w:val="0"/>
                <w:color w:val="404040"/>
                <w:spacing w:val="0"/>
                <w:sz w:val="24"/>
                <w:szCs w:val="24"/>
                <w:highlight w:val="none"/>
                <w:shd w:val="clear" w:fill="FFFFFF"/>
                <w:lang w:val="en-US" w:eastAsia="zh-CN"/>
              </w:rPr>
            </w:pPr>
            <w:r>
              <w:rPr>
                <w:rFonts w:hint="eastAsia" w:ascii="Times New Roman" w:hAnsi="Times New Roman" w:eastAsia="宋体" w:cs="Segoe UI"/>
                <w:b/>
                <w:i w:val="0"/>
                <w:iCs w:val="0"/>
                <w:caps w:val="0"/>
                <w:color w:val="404040"/>
                <w:spacing w:val="0"/>
                <w:kern w:val="2"/>
                <w:sz w:val="24"/>
                <w:szCs w:val="24"/>
                <w:highlight w:val="none"/>
                <w:shd w:val="clear" w:fill="FFFFFF"/>
                <w:lang w:val="en-US" w:eastAsia="zh-CN" w:bidi="ar-SA"/>
              </w:rPr>
              <w:t>9、</w:t>
            </w:r>
            <w:r>
              <w:rPr>
                <w:rStyle w:val="28"/>
                <w:rFonts w:hint="eastAsia" w:ascii="Times New Roman" w:hAnsi="Times New Roman" w:eastAsia="宋体" w:cs="Segoe UI"/>
                <w:i w:val="0"/>
                <w:iCs w:val="0"/>
                <w:caps w:val="0"/>
                <w:color w:val="404040"/>
                <w:spacing w:val="0"/>
                <w:sz w:val="24"/>
                <w:szCs w:val="24"/>
                <w:highlight w:val="none"/>
                <w:shd w:val="clear" w:fill="FFFFFF"/>
                <w:lang w:val="en-US" w:eastAsia="zh-CN"/>
              </w:rPr>
              <w:t>共聚焦显微镜与高内涵分析：</w:t>
            </w:r>
          </w:p>
          <w:p w14:paraId="14FCA1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Style w:val="28"/>
                <w:rFonts w:hint="default" w:ascii="Times New Roman" w:hAnsi="Times New Roman" w:eastAsia="宋体" w:cs="Segoe UI"/>
                <w:b w:val="0"/>
                <w:bCs/>
                <w:i w:val="0"/>
                <w:iCs w:val="0"/>
                <w:caps w:val="0"/>
                <w:color w:val="404040"/>
                <w:spacing w:val="0"/>
                <w:sz w:val="24"/>
                <w:szCs w:val="24"/>
                <w:highlight w:val="none"/>
                <w:shd w:val="clear" w:fill="FFFFFF"/>
              </w:rPr>
            </w:pPr>
            <w:r>
              <w:rPr>
                <w:rStyle w:val="28"/>
                <w:rFonts w:hint="eastAsia" w:ascii="Times New Roman" w:hAnsi="Times New Roman" w:eastAsia="宋体" w:cs="Segoe UI"/>
                <w:i w:val="0"/>
                <w:iCs w:val="0"/>
                <w:caps w:val="0"/>
                <w:color w:val="404040"/>
                <w:spacing w:val="0"/>
                <w:sz w:val="24"/>
                <w:szCs w:val="24"/>
                <w:highlight w:val="none"/>
                <w:shd w:val="clear" w:fill="FFFFFF"/>
                <w:lang w:val="en-US" w:eastAsia="zh-CN"/>
              </w:rPr>
              <w:t>共聚焦：</w:t>
            </w:r>
            <w:r>
              <w:rPr>
                <w:rStyle w:val="28"/>
                <w:rFonts w:hint="default" w:ascii="Times New Roman" w:hAnsi="Times New Roman" w:eastAsia="宋体" w:cs="Segoe UI"/>
                <w:b w:val="0"/>
                <w:bCs/>
                <w:i w:val="0"/>
                <w:iCs w:val="0"/>
                <w:caps w:val="0"/>
                <w:color w:val="404040"/>
                <w:spacing w:val="0"/>
                <w:sz w:val="24"/>
                <w:szCs w:val="24"/>
                <w:highlight w:val="none"/>
                <w:shd w:val="clear" w:fill="FFFFFF"/>
              </w:rPr>
              <w:t>利用荧光标记（如Hoechst核染色、Phalloidin细胞骨架标记）观察药物对细胞形态、亚结构（线粒体、溶酶体）的动态影响。</w:t>
            </w:r>
          </w:p>
          <w:p w14:paraId="6F7332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Style w:val="28"/>
                <w:rFonts w:hint="default" w:ascii="Times New Roman" w:hAnsi="Times New Roman" w:eastAsia="宋体" w:cs="Segoe UI"/>
                <w:b w:val="0"/>
                <w:bCs/>
                <w:i w:val="0"/>
                <w:iCs w:val="0"/>
                <w:caps w:val="0"/>
                <w:color w:val="404040"/>
                <w:spacing w:val="0"/>
                <w:sz w:val="24"/>
                <w:szCs w:val="24"/>
                <w:highlight w:val="none"/>
                <w:shd w:val="clear" w:fill="FFFFFF"/>
              </w:rPr>
            </w:pPr>
            <w:r>
              <w:rPr>
                <w:rStyle w:val="28"/>
                <w:rFonts w:hint="default" w:ascii="Times New Roman" w:hAnsi="Times New Roman" w:eastAsia="宋体" w:cs="Segoe UI"/>
                <w:i w:val="0"/>
                <w:iCs w:val="0"/>
                <w:caps w:val="0"/>
                <w:color w:val="404040"/>
                <w:spacing w:val="0"/>
                <w:sz w:val="24"/>
                <w:szCs w:val="24"/>
                <w:highlight w:val="none"/>
                <w:shd w:val="clear" w:fill="FFFFFF"/>
              </w:rPr>
              <w:t>高内涵筛选（HCS）：</w:t>
            </w:r>
            <w:r>
              <w:rPr>
                <w:rStyle w:val="28"/>
                <w:rFonts w:hint="default" w:ascii="Times New Roman" w:hAnsi="Times New Roman" w:eastAsia="宋体" w:cs="Segoe UI"/>
                <w:b w:val="0"/>
                <w:bCs/>
                <w:i w:val="0"/>
                <w:iCs w:val="0"/>
                <w:caps w:val="0"/>
                <w:color w:val="404040"/>
                <w:spacing w:val="0"/>
                <w:sz w:val="24"/>
                <w:szCs w:val="24"/>
                <w:highlight w:val="none"/>
                <w:shd w:val="clear" w:fill="FFFFFF"/>
              </w:rPr>
              <w:t>自动化采集多参数图像（如核碎裂、膜通透性），结合AI算法量化细胞表型变化，实现高通量药效评价。</w:t>
            </w:r>
          </w:p>
          <w:p w14:paraId="1DF358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Style w:val="28"/>
                <w:rFonts w:hint="default" w:ascii="Times New Roman" w:hAnsi="Times New Roman" w:eastAsia="宋体" w:cs="Segoe UI"/>
                <w:i w:val="0"/>
                <w:iCs w:val="0"/>
                <w:caps w:val="0"/>
                <w:color w:val="404040"/>
                <w:spacing w:val="0"/>
                <w:sz w:val="24"/>
                <w:szCs w:val="24"/>
                <w:highlight w:val="none"/>
                <w:shd w:val="clear" w:fill="FFFFFF"/>
                <w:lang w:val="en-US" w:eastAsia="zh-CN"/>
              </w:rPr>
            </w:pPr>
            <w:r>
              <w:rPr>
                <w:rStyle w:val="28"/>
                <w:rFonts w:hint="eastAsia" w:ascii="Times New Roman" w:hAnsi="Times New Roman" w:eastAsia="宋体" w:cs="Segoe UI"/>
                <w:i w:val="0"/>
                <w:iCs w:val="0"/>
                <w:caps w:val="0"/>
                <w:color w:val="404040"/>
                <w:spacing w:val="0"/>
                <w:sz w:val="24"/>
                <w:szCs w:val="24"/>
                <w:highlight w:val="none"/>
                <w:shd w:val="clear" w:fill="FFFFFF"/>
                <w:lang w:val="en-US" w:eastAsia="zh-CN"/>
              </w:rPr>
              <w:t>9、检测：</w:t>
            </w:r>
          </w:p>
          <w:p w14:paraId="51E5C2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Times New Roman" w:hAnsi="Times New Roman" w:eastAsia="宋体" w:cs="Segoe UI"/>
                <w:b/>
                <w:bCs/>
                <w:i w:val="0"/>
                <w:iCs w:val="0"/>
                <w:caps w:val="0"/>
                <w:color w:val="404040"/>
                <w:spacing w:val="0"/>
                <w:sz w:val="24"/>
                <w:szCs w:val="24"/>
                <w:highlight w:val="none"/>
                <w:shd w:val="clear" w:fill="FFFFFF"/>
                <w:lang w:val="en-US" w:eastAsia="zh-CN"/>
              </w:rPr>
            </w:pPr>
            <w:r>
              <w:rPr>
                <w:rFonts w:hint="eastAsia" w:ascii="Times New Roman" w:hAnsi="Times New Roman" w:eastAsia="宋体" w:cs="Segoe UI"/>
                <w:b/>
                <w:bCs/>
                <w:i w:val="0"/>
                <w:iCs w:val="0"/>
                <w:caps w:val="0"/>
                <w:color w:val="404040"/>
                <w:spacing w:val="0"/>
                <w:sz w:val="24"/>
                <w:szCs w:val="24"/>
                <w:highlight w:val="none"/>
                <w:shd w:val="clear" w:fill="FFFFFF"/>
                <w:lang w:val="en-US" w:eastAsia="zh-CN"/>
              </w:rPr>
              <w:t>WestenBlot实验：</w:t>
            </w:r>
            <w:r>
              <w:rPr>
                <w:rFonts w:hint="eastAsia" w:ascii="Times New Roman" w:hAnsi="Times New Roman" w:eastAsia="宋体" w:cs="Segoe UI"/>
                <w:b w:val="0"/>
                <w:bCs w:val="0"/>
                <w:i w:val="0"/>
                <w:iCs w:val="0"/>
                <w:caps w:val="0"/>
                <w:color w:val="404040"/>
                <w:spacing w:val="0"/>
                <w:sz w:val="24"/>
                <w:szCs w:val="24"/>
                <w:highlight w:val="none"/>
                <w:shd w:val="clear" w:fill="FFFFFF"/>
                <w:lang w:val="en-US" w:eastAsia="zh-CN"/>
              </w:rPr>
              <w:t>将</w:t>
            </w:r>
            <w:r>
              <w:rPr>
                <w:rFonts w:hint="eastAsia" w:ascii="Times New Roman" w:hAnsi="Times New Roman" w:eastAsia="宋体" w:cs="Times New Roman"/>
                <w:b w:val="0"/>
                <w:bCs w:val="0"/>
                <w:i w:val="0"/>
                <w:iCs w:val="0"/>
                <w:caps w:val="0"/>
                <w:color w:val="404040"/>
                <w:spacing w:val="0"/>
                <w:sz w:val="24"/>
                <w:szCs w:val="24"/>
                <w:highlight w:val="none"/>
                <w:shd w:val="clear" w:fill="FFFFFF"/>
                <w:lang w:val="en-US" w:eastAsia="zh-CN"/>
              </w:rPr>
              <w:t>样本充分粉碎研磨后，加入Westen blot试剂盒相应溶液于金属浴上100℃加热5min，待样本冷却后加至试剂盒中的聚丙烯酰胺凝胶中于电泳仪中进行凝胶电泳，根据样本情况电泳1~2h，随后取出凝胶与PVDF膜一起按试剂盒说明于转膜仪上转膜，转膜1h。转膜完成后分别在37℃恒温箱中孵育一抗二抗各一小时，孵育完成后使用试剂盒中的清洗液清洗三次，最后使用试剂盒中的显色液显色后于凝胶成像仪上进行信号分析。</w:t>
            </w:r>
          </w:p>
          <w:p w14:paraId="6B2B81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Times New Roman" w:hAnsi="Times New Roman" w:eastAsia="宋体" w:cs="Segoe UI"/>
                <w:b/>
                <w:bCs/>
                <w:i w:val="0"/>
                <w:iCs w:val="0"/>
                <w:caps w:val="0"/>
                <w:color w:val="404040"/>
                <w:spacing w:val="0"/>
                <w:sz w:val="24"/>
                <w:szCs w:val="24"/>
                <w:highlight w:val="none"/>
                <w:shd w:val="clear" w:fill="FFFFFF"/>
                <w:lang w:val="en-US" w:eastAsia="zh-CN"/>
              </w:rPr>
            </w:pPr>
            <w:r>
              <w:rPr>
                <w:rFonts w:hint="eastAsia" w:ascii="Times New Roman" w:hAnsi="Times New Roman" w:eastAsia="宋体" w:cs="Segoe UI"/>
                <w:b/>
                <w:bCs/>
                <w:i w:val="0"/>
                <w:iCs w:val="0"/>
                <w:caps w:val="0"/>
                <w:color w:val="404040"/>
                <w:spacing w:val="0"/>
                <w:sz w:val="24"/>
                <w:szCs w:val="24"/>
                <w:highlight w:val="none"/>
                <w:shd w:val="clear" w:fill="FFFFFF"/>
                <w:lang w:val="en-US" w:eastAsia="zh-CN"/>
              </w:rPr>
              <w:t>免疫酶联吸附测试：</w:t>
            </w:r>
            <w:r>
              <w:rPr>
                <w:rFonts w:hint="default" w:ascii="Times New Roman" w:hAnsi="Times New Roman" w:eastAsia="宋体" w:cs="Segoe UI"/>
                <w:i w:val="0"/>
                <w:iCs w:val="0"/>
                <w:caps w:val="0"/>
                <w:color w:val="404040"/>
                <w:spacing w:val="0"/>
                <w:sz w:val="24"/>
                <w:szCs w:val="24"/>
                <w:highlight w:val="none"/>
                <w:shd w:val="clear" w:fill="FFFFFF"/>
              </w:rPr>
              <w:t>定量检测细胞上清或血清中的特定蛋白（如炎性因子IL-6、VEGF），评估药物对分泌蛋白的影响，支持药效与安全性评价。</w:t>
            </w:r>
          </w:p>
          <w:p w14:paraId="704A1997">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rPr>
                <w:rFonts w:hint="default" w:ascii="Times New Roman" w:hAnsi="Times New Roman" w:eastAsia="宋体"/>
                <w:b w:val="0"/>
                <w:bCs w:val="0"/>
                <w:sz w:val="24"/>
                <w:highlight w:val="none"/>
              </w:rPr>
            </w:pPr>
            <w:r>
              <w:rPr>
                <w:rFonts w:hint="eastAsia" w:ascii="Times New Roman" w:hAnsi="Times New Roman" w:eastAsia="宋体" w:cs="Times New Roman"/>
                <w:b/>
                <w:bCs/>
                <w:i w:val="0"/>
                <w:iCs w:val="0"/>
                <w:caps w:val="0"/>
                <w:color w:val="404040"/>
                <w:spacing w:val="0"/>
                <w:sz w:val="24"/>
                <w:szCs w:val="24"/>
                <w:highlight w:val="none"/>
                <w:shd w:val="clear" w:fill="FFFFFF"/>
                <w:lang w:val="en-US" w:eastAsia="zh-CN"/>
              </w:rPr>
              <w:t>PCR/QPCR实验：</w:t>
            </w:r>
            <w:r>
              <w:rPr>
                <w:rFonts w:hint="eastAsia" w:ascii="Times New Roman" w:hAnsi="Times New Roman" w:eastAsia="宋体" w:cs="Times New Roman"/>
                <w:b w:val="0"/>
                <w:bCs w:val="0"/>
                <w:i w:val="0"/>
                <w:iCs w:val="0"/>
                <w:caps w:val="0"/>
                <w:color w:val="404040"/>
                <w:spacing w:val="0"/>
                <w:sz w:val="24"/>
                <w:szCs w:val="24"/>
                <w:highlight w:val="none"/>
                <w:shd w:val="clear" w:fill="FFFFFF"/>
                <w:lang w:val="en-US" w:eastAsia="zh-CN"/>
              </w:rPr>
              <w:t>将细胞样本加入qPCR试剂盒中的裂解液1ml、37℃孵育10min，离心5min去沉淀，按qPCR说明书配制qPCR预混液，配置完成后将离心后上清和预混液混匀后放入qPCR仪，设置qPCR程序并运行，获得数据分析结果。</w:t>
            </w:r>
          </w:p>
          <w:p w14:paraId="64B033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Segoe UI"/>
                <w:i w:val="0"/>
                <w:iCs w:val="0"/>
                <w:caps w:val="0"/>
                <w:color w:val="404040"/>
                <w:spacing w:val="0"/>
                <w:sz w:val="24"/>
                <w:szCs w:val="24"/>
                <w:highlight w:val="none"/>
                <w:shd w:val="clear" w:fill="FFFFFF"/>
              </w:rPr>
            </w:pPr>
            <w:r>
              <w:rPr>
                <w:rFonts w:hint="eastAsia" w:ascii="Times New Roman" w:hAnsi="Times New Roman" w:eastAsia="宋体" w:cs="Segoe UI"/>
                <w:i w:val="0"/>
                <w:iCs w:val="0"/>
                <w:caps w:val="0"/>
                <w:color w:val="404040"/>
                <w:spacing w:val="0"/>
                <w:sz w:val="24"/>
                <w:szCs w:val="24"/>
                <w:highlight w:val="none"/>
                <w:shd w:val="clear" w:fill="FFFFFF"/>
                <w:lang w:val="en-US" w:eastAsia="zh-CN"/>
              </w:rPr>
              <w:t>以上整个</w:t>
            </w:r>
            <w:r>
              <w:rPr>
                <w:rFonts w:hint="eastAsia" w:cs="Segoe UI"/>
                <w:i w:val="0"/>
                <w:iCs w:val="0"/>
                <w:caps w:val="0"/>
                <w:color w:val="404040"/>
                <w:spacing w:val="0"/>
                <w:sz w:val="24"/>
                <w:szCs w:val="24"/>
                <w:highlight w:val="none"/>
                <w:shd w:val="clear" w:fill="FFFFFF"/>
                <w:lang w:val="en-US" w:eastAsia="zh-CN"/>
              </w:rPr>
              <w:t>样品</w:t>
            </w:r>
            <w:r>
              <w:rPr>
                <w:rFonts w:hint="default" w:ascii="Times New Roman" w:hAnsi="Times New Roman" w:eastAsia="宋体" w:cs="Segoe UI"/>
                <w:i w:val="0"/>
                <w:iCs w:val="0"/>
                <w:caps w:val="0"/>
                <w:color w:val="404040"/>
                <w:spacing w:val="0"/>
                <w:sz w:val="24"/>
                <w:szCs w:val="24"/>
                <w:highlight w:val="none"/>
                <w:shd w:val="clear" w:fill="FFFFFF"/>
              </w:rPr>
              <w:t>检测</w:t>
            </w:r>
            <w:r>
              <w:rPr>
                <w:rFonts w:hint="eastAsia" w:ascii="Times New Roman" w:hAnsi="Times New Roman" w:eastAsia="宋体" w:cs="Segoe UI"/>
                <w:i w:val="0"/>
                <w:iCs w:val="0"/>
                <w:caps w:val="0"/>
                <w:color w:val="404040"/>
                <w:spacing w:val="0"/>
                <w:sz w:val="24"/>
                <w:szCs w:val="24"/>
                <w:highlight w:val="none"/>
                <w:shd w:val="clear" w:fill="FFFFFF"/>
                <w:lang w:val="en-US" w:eastAsia="zh-CN"/>
              </w:rPr>
              <w:t>工段</w:t>
            </w:r>
            <w:r>
              <w:rPr>
                <w:rFonts w:hint="default" w:ascii="Times New Roman" w:hAnsi="Times New Roman" w:eastAsia="宋体" w:cs="Segoe UI"/>
                <w:i w:val="0"/>
                <w:iCs w:val="0"/>
                <w:caps w:val="0"/>
                <w:color w:val="404040"/>
                <w:spacing w:val="0"/>
                <w:sz w:val="24"/>
                <w:szCs w:val="24"/>
                <w:highlight w:val="none"/>
                <w:shd w:val="clear" w:fill="FFFFFF"/>
              </w:rPr>
              <w:t>会产生</w:t>
            </w:r>
            <w:r>
              <w:rPr>
                <w:rFonts w:hint="eastAsia" w:ascii="Times New Roman" w:hAnsi="Times New Roman" w:eastAsia="宋体" w:cs="Segoe UI"/>
                <w:i w:val="0"/>
                <w:iCs w:val="0"/>
                <w:caps w:val="0"/>
                <w:color w:val="404040"/>
                <w:spacing w:val="0"/>
                <w:sz w:val="24"/>
                <w:szCs w:val="24"/>
                <w:highlight w:val="none"/>
                <w:shd w:val="clear" w:fill="FFFFFF"/>
                <w:lang w:val="en-US" w:eastAsia="zh-CN"/>
              </w:rPr>
              <w:t>G1</w:t>
            </w:r>
            <w:r>
              <w:rPr>
                <w:rFonts w:hint="default" w:ascii="Times New Roman" w:hAnsi="Times New Roman" w:eastAsia="宋体" w:cs="Segoe UI"/>
                <w:i w:val="0"/>
                <w:iCs w:val="0"/>
                <w:caps w:val="0"/>
                <w:color w:val="404040"/>
                <w:spacing w:val="0"/>
                <w:sz w:val="24"/>
                <w:szCs w:val="24"/>
                <w:highlight w:val="none"/>
                <w:shd w:val="clear" w:fill="FFFFFF"/>
              </w:rPr>
              <w:t>生物安全柜废气，使用 VOCs 原辅材料挥发产生</w:t>
            </w:r>
            <w:r>
              <w:rPr>
                <w:rFonts w:hint="eastAsia" w:ascii="Times New Roman" w:hAnsi="Times New Roman" w:eastAsia="宋体" w:cs="Segoe UI"/>
                <w:i w:val="0"/>
                <w:iCs w:val="0"/>
                <w:caps w:val="0"/>
                <w:color w:val="404040"/>
                <w:spacing w:val="0"/>
                <w:sz w:val="24"/>
                <w:szCs w:val="24"/>
                <w:highlight w:val="none"/>
                <w:shd w:val="clear" w:fill="FFFFFF"/>
                <w:lang w:val="en-US" w:eastAsia="zh-CN"/>
              </w:rPr>
              <w:t>G2</w:t>
            </w:r>
            <w:r>
              <w:rPr>
                <w:rFonts w:hint="default" w:ascii="Times New Roman" w:hAnsi="Times New Roman" w:eastAsia="宋体" w:cs="Segoe UI"/>
                <w:i w:val="0"/>
                <w:iCs w:val="0"/>
                <w:caps w:val="0"/>
                <w:color w:val="404040"/>
                <w:spacing w:val="0"/>
                <w:sz w:val="24"/>
                <w:szCs w:val="24"/>
                <w:highlight w:val="none"/>
                <w:shd w:val="clear" w:fill="FFFFFF"/>
              </w:rPr>
              <w:t>原料挥发废气</w:t>
            </w:r>
            <w:r>
              <w:rPr>
                <w:rFonts w:hint="eastAsia" w:cs="Segoe UI"/>
                <w:i w:val="0"/>
                <w:iCs w:val="0"/>
                <w:caps w:val="0"/>
                <w:color w:val="404040"/>
                <w:spacing w:val="0"/>
                <w:sz w:val="24"/>
                <w:szCs w:val="24"/>
                <w:highlight w:val="none"/>
                <w:shd w:val="clear" w:fill="FFFFFF"/>
                <w:lang w:eastAsia="zh-CN"/>
              </w:rPr>
              <w:t>；</w:t>
            </w:r>
            <w:r>
              <w:rPr>
                <w:rFonts w:hint="eastAsia" w:cs="Times New Roman"/>
                <w:b w:val="0"/>
                <w:bCs w:val="0"/>
                <w:color w:val="auto"/>
                <w:sz w:val="24"/>
                <w:highlight w:val="none"/>
                <w:lang w:val="en-US" w:eastAsia="zh-CN"/>
              </w:rPr>
              <w:t>S1实验废液、S2废生物材料</w:t>
            </w:r>
            <w:r>
              <w:rPr>
                <w:rFonts w:hint="default" w:ascii="Times New Roman" w:hAnsi="Times New Roman" w:eastAsia="宋体" w:cs="Segoe UI"/>
                <w:i w:val="0"/>
                <w:iCs w:val="0"/>
                <w:caps w:val="0"/>
                <w:color w:val="404040"/>
                <w:spacing w:val="0"/>
                <w:sz w:val="24"/>
                <w:szCs w:val="24"/>
                <w:highlight w:val="none"/>
                <w:shd w:val="clear" w:fill="FFFFFF"/>
              </w:rPr>
              <w:t>。</w:t>
            </w:r>
          </w:p>
          <w:p w14:paraId="4A65BB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10、数据分析：</w:t>
            </w:r>
            <w:r>
              <w:rPr>
                <w:rFonts w:hint="default" w:ascii="Times New Roman" w:hAnsi="Times New Roman" w:eastAsia="宋体" w:cs="Segoe UI"/>
                <w:i w:val="0"/>
                <w:iCs w:val="0"/>
                <w:caps w:val="0"/>
                <w:color w:val="404040"/>
                <w:spacing w:val="0"/>
                <w:sz w:val="24"/>
                <w:szCs w:val="24"/>
                <w:highlight w:val="none"/>
                <w:shd w:val="clear" w:fill="FFFFFF"/>
              </w:rPr>
              <w:t>整合流式、WB、测序等多组学数据，</w:t>
            </w:r>
            <w:r>
              <w:rPr>
                <w:rFonts w:hint="default" w:ascii="Times New Roman" w:hAnsi="Times New Roman" w:eastAsia="宋体" w:cs="Segoe UI"/>
                <w:i w:val="0"/>
                <w:iCs w:val="0"/>
                <w:caps w:val="0"/>
                <w:color w:val="404040"/>
                <w:spacing w:val="0"/>
                <w:sz w:val="24"/>
                <w:szCs w:val="24"/>
                <w:shd w:val="clear" w:fill="FFFFFF"/>
              </w:rPr>
              <w:t>采用统计学软件（如GraphPad Prism）进行差异显著性分析，绘制剂量-效应曲线、生存曲线等图表，形成可视化报告，支撑药物候选分子的优化与申报。</w:t>
            </w:r>
          </w:p>
          <w:p w14:paraId="4B99827A">
            <w:pPr>
              <w:keepNext w:val="0"/>
              <w:keepLines w:val="0"/>
              <w:widowControl/>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其他产污环节：</w:t>
            </w:r>
          </w:p>
          <w:p w14:paraId="7700CED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r>
              <w:rPr>
                <w:rFonts w:hint="eastAsia" w:cs="Times New Roman"/>
                <w:color w:val="auto"/>
                <w:kern w:val="2"/>
                <w:sz w:val="24"/>
                <w:szCs w:val="24"/>
                <w:highlight w:val="none"/>
                <w:lang w:val="en-US" w:eastAsia="zh-CN" w:bidi="ar-SA"/>
              </w:rPr>
              <w:t>废气：本项目危险废物均暂时贮存于危废间内后由资质单位处置，故产生危废间废气G3。危废均采用密闭封盖贮存方式，且贮存过程中保持原包装完整，暂存量较少并以密封桶装/袋装形式存放，废气散发量极小，故本次评价未对危废间废气产生量进行定量核算。</w:t>
            </w:r>
          </w:p>
          <w:p w14:paraId="45A3DBD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w:t>
            </w:r>
            <w:r>
              <w:rPr>
                <w:rFonts w:hint="eastAsia" w:cs="Times New Roman"/>
                <w:color w:val="auto"/>
                <w:kern w:val="2"/>
                <w:sz w:val="24"/>
                <w:szCs w:val="24"/>
                <w:highlight w:val="none"/>
                <w:lang w:val="en-US" w:eastAsia="zh-CN" w:bidi="ar-SA"/>
              </w:rPr>
              <w:t>废水：</w:t>
            </w:r>
            <w:r>
              <w:rPr>
                <w:rFonts w:hint="eastAsia" w:ascii="Times New Roman" w:hAnsi="Times New Roman" w:eastAsia="宋体" w:cs="Times New Roman"/>
                <w:color w:val="auto"/>
                <w:kern w:val="2"/>
                <w:sz w:val="24"/>
                <w:szCs w:val="24"/>
                <w:highlight w:val="none"/>
                <w:lang w:val="en-US" w:eastAsia="zh-CN" w:bidi="ar-SA"/>
              </w:rPr>
              <w:t>职工日常生活产生W1生活污水、W2</w:t>
            </w:r>
            <w:r>
              <w:rPr>
                <w:rFonts w:hint="eastAsia" w:cs="Times New Roman"/>
                <w:color w:val="auto"/>
                <w:kern w:val="2"/>
                <w:sz w:val="24"/>
                <w:szCs w:val="24"/>
                <w:highlight w:val="none"/>
                <w:lang w:val="en-US" w:eastAsia="zh-CN" w:bidi="ar-SA"/>
              </w:rPr>
              <w:t>淋浴废水</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纯水制备和使用水浴锅过程中产生W3纯水制备浓水和W4水浴锅排水。</w:t>
            </w:r>
          </w:p>
          <w:p w14:paraId="121A52C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（3）</w:t>
            </w:r>
            <w:r>
              <w:rPr>
                <w:rFonts w:hint="eastAsia" w:cs="Times New Roman"/>
                <w:color w:val="auto"/>
                <w:kern w:val="2"/>
                <w:sz w:val="24"/>
                <w:szCs w:val="24"/>
                <w:highlight w:val="none"/>
                <w:lang w:val="en-US" w:eastAsia="zh-CN" w:bidi="ar-SA"/>
              </w:rPr>
              <w:t>噪声：</w:t>
            </w:r>
            <w:r>
              <w:rPr>
                <w:rFonts w:hint="eastAsia" w:ascii="Times New Roman" w:hAnsi="Times New Roman" w:eastAsia="宋体" w:cs="Times New Roman"/>
                <w:color w:val="auto"/>
                <w:kern w:val="2"/>
                <w:sz w:val="24"/>
                <w:szCs w:val="24"/>
                <w:highlight w:val="none"/>
                <w:lang w:val="en-US" w:eastAsia="zh-CN" w:bidi="ar-SA"/>
              </w:rPr>
              <w:t>废气治理设施</w:t>
            </w:r>
            <w:r>
              <w:rPr>
                <w:rFonts w:hint="eastAsia" w:cs="Times New Roman"/>
                <w:color w:val="auto"/>
                <w:kern w:val="2"/>
                <w:sz w:val="24"/>
                <w:szCs w:val="24"/>
                <w:highlight w:val="none"/>
                <w:lang w:val="en-US" w:eastAsia="zh-CN" w:bidi="ar-SA"/>
              </w:rPr>
              <w:t>配套</w:t>
            </w:r>
            <w:r>
              <w:rPr>
                <w:rFonts w:hint="eastAsia" w:ascii="Times New Roman" w:hAnsi="Times New Roman" w:eastAsia="宋体" w:cs="Times New Roman"/>
                <w:color w:val="auto"/>
                <w:kern w:val="2"/>
                <w:sz w:val="24"/>
                <w:szCs w:val="24"/>
                <w:highlight w:val="none"/>
                <w:lang w:val="en-US" w:eastAsia="zh-CN" w:bidi="ar-SA"/>
              </w:rPr>
              <w:t>风机运行产生噪声</w:t>
            </w:r>
            <w:r>
              <w:rPr>
                <w:rFonts w:hint="eastAsia" w:cs="Times New Roman"/>
                <w:color w:val="auto"/>
                <w:kern w:val="2"/>
                <w:sz w:val="24"/>
                <w:szCs w:val="24"/>
                <w:highlight w:val="none"/>
                <w:lang w:val="en-US" w:eastAsia="zh-CN" w:bidi="ar-SA"/>
              </w:rPr>
              <w:t>N2</w:t>
            </w:r>
            <w:r>
              <w:rPr>
                <w:rFonts w:hint="eastAsia" w:ascii="Times New Roman" w:hAnsi="Times New Roman" w:eastAsia="宋体" w:cs="Times New Roman"/>
                <w:color w:val="auto"/>
                <w:kern w:val="2"/>
                <w:sz w:val="24"/>
                <w:szCs w:val="24"/>
                <w:highlight w:val="none"/>
                <w:lang w:val="en-US" w:eastAsia="zh-CN" w:bidi="ar-SA"/>
              </w:rPr>
              <w:t>。</w:t>
            </w:r>
          </w:p>
          <w:p w14:paraId="7965428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（4）</w:t>
            </w:r>
            <w:r>
              <w:rPr>
                <w:rFonts w:hint="eastAsia" w:ascii="Times New Roman" w:hAnsi="Times New Roman" w:eastAsia="宋体" w:cs="Times New Roman"/>
                <w:color w:val="auto"/>
                <w:kern w:val="2"/>
                <w:sz w:val="24"/>
                <w:szCs w:val="24"/>
                <w:highlight w:val="none"/>
                <w:lang w:val="en-US" w:eastAsia="zh-CN" w:bidi="ar-SA"/>
              </w:rPr>
              <w:t>固废</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原辅材料的使用产生废</w:t>
            </w:r>
            <w:r>
              <w:rPr>
                <w:rFonts w:hint="eastAsia" w:cs="Times New Roman"/>
                <w:color w:val="auto"/>
                <w:kern w:val="2"/>
                <w:sz w:val="24"/>
                <w:szCs w:val="24"/>
                <w:highlight w:val="none"/>
                <w:lang w:val="en-US" w:eastAsia="zh-CN" w:bidi="ar-SA"/>
              </w:rPr>
              <w:t>化学品包装</w:t>
            </w:r>
            <w:r>
              <w:rPr>
                <w:rFonts w:hint="eastAsia" w:ascii="Times New Roman" w:hAnsi="Times New Roman" w:eastAsia="宋体" w:cs="Times New Roman"/>
                <w:color w:val="auto"/>
                <w:kern w:val="2"/>
                <w:sz w:val="24"/>
                <w:szCs w:val="24"/>
                <w:highlight w:val="none"/>
                <w:lang w:val="en-US" w:eastAsia="zh-CN" w:bidi="ar-SA"/>
              </w:rPr>
              <w:t>S</w:t>
            </w:r>
            <w:r>
              <w:rPr>
                <w:rFonts w:hint="eastAsia" w:cs="Times New Roman"/>
                <w:color w:val="auto"/>
                <w:kern w:val="2"/>
                <w:sz w:val="24"/>
                <w:szCs w:val="24"/>
                <w:highlight w:val="none"/>
                <w:lang w:val="en-US" w:eastAsia="zh-CN" w:bidi="ar-SA"/>
              </w:rPr>
              <w:t>3；实验过程产生废实验耗材S4；</w:t>
            </w:r>
            <w:r>
              <w:rPr>
                <w:rFonts w:hint="eastAsia"/>
                <w:color w:val="auto"/>
                <w:sz w:val="24"/>
                <w:highlight w:val="none"/>
                <w:lang w:val="en-US" w:eastAsia="zh-CN"/>
              </w:rPr>
              <w:t>生物安全柜、纯水制备、蛋白纯化设备等设备</w:t>
            </w:r>
            <w:r>
              <w:rPr>
                <w:rFonts w:hint="eastAsia" w:ascii="Times New Roman" w:hAnsi="Times New Roman" w:eastAsia="宋体" w:cs="Times New Roman"/>
                <w:color w:val="auto"/>
                <w:kern w:val="0"/>
                <w:sz w:val="24"/>
                <w:szCs w:val="20"/>
                <w:highlight w:val="none"/>
                <w:lang w:val="en-US" w:eastAsia="zh-CN" w:bidi="ar-SA"/>
              </w:rPr>
              <w:t>正常维护过程中会产生S5生物安全柜废过滤芯</w:t>
            </w:r>
            <w:r>
              <w:rPr>
                <w:rFonts w:hint="eastAsia" w:cs="Times New Roman"/>
                <w:color w:val="auto"/>
                <w:kern w:val="0"/>
                <w:sz w:val="24"/>
                <w:szCs w:val="20"/>
                <w:highlight w:val="none"/>
                <w:lang w:val="en-US" w:eastAsia="zh-CN" w:bidi="ar-SA"/>
              </w:rPr>
              <w:t>、S6纯水制备废滤芯、S7蛋白纯化废滤芯；</w:t>
            </w:r>
            <w:r>
              <w:rPr>
                <w:rFonts w:hint="eastAsia" w:ascii="Times New Roman" w:hAnsi="Times New Roman" w:eastAsia="宋体"/>
                <w:color w:val="auto"/>
                <w:sz w:val="24"/>
                <w:highlight w:val="none"/>
                <w:lang w:val="en-US" w:eastAsia="zh-CN"/>
              </w:rPr>
              <w:t>废气处理过程中会产生废活性炭S8；</w:t>
            </w:r>
            <w:r>
              <w:rPr>
                <w:rFonts w:hint="eastAsia" w:ascii="Times New Roman" w:hAnsi="Times New Roman" w:eastAsia="宋体" w:cs="Times New Roman"/>
                <w:color w:val="auto"/>
                <w:kern w:val="2"/>
                <w:sz w:val="24"/>
                <w:szCs w:val="24"/>
                <w:highlight w:val="none"/>
                <w:lang w:val="en-US" w:eastAsia="zh-CN" w:bidi="ar-SA"/>
              </w:rPr>
              <w:t>职工日常生活产生的生活垃圾S</w:t>
            </w:r>
            <w:r>
              <w:rPr>
                <w:rFonts w:hint="eastAsia" w:cs="Times New Roman"/>
                <w:color w:val="auto"/>
                <w:kern w:val="2"/>
                <w:sz w:val="24"/>
                <w:szCs w:val="24"/>
                <w:highlight w:val="none"/>
                <w:lang w:val="en-US" w:eastAsia="zh-CN" w:bidi="ar-SA"/>
              </w:rPr>
              <w:t>9</w:t>
            </w:r>
            <w:r>
              <w:rPr>
                <w:rFonts w:hint="eastAsia" w:ascii="Times New Roman" w:hAnsi="Times New Roman" w:eastAsia="宋体"/>
                <w:color w:val="auto"/>
                <w:sz w:val="24"/>
                <w:highlight w:val="none"/>
                <w:lang w:val="en-US" w:eastAsia="zh-CN"/>
              </w:rPr>
              <w:t>。</w:t>
            </w:r>
          </w:p>
        </w:tc>
      </w:tr>
    </w:tbl>
    <w:p w14:paraId="51CE6256">
      <w:pPr>
        <w:rPr>
          <w:rFonts w:ascii="Times New Roman" w:hAnsi="Times New Roman" w:eastAsia="宋体"/>
          <w:color w:val="auto"/>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26"/>
        <w:tblW w:w="92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802"/>
      </w:tblGrid>
      <w:tr w14:paraId="2197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8" w:hRule="atLeast"/>
        </w:trPr>
        <w:tc>
          <w:tcPr>
            <w:tcW w:w="456" w:type="dxa"/>
            <w:vAlign w:val="center"/>
          </w:tcPr>
          <w:p w14:paraId="0414FD03">
            <w:pPr>
              <w:pStyle w:val="13"/>
              <w:keepNext w:val="0"/>
              <w:keepLines w:val="0"/>
              <w:numPr>
                <w:ilvl w:val="0"/>
                <w:numId w:val="0"/>
              </w:numPr>
              <w:suppressLineNumbers w:val="0"/>
              <w:tabs>
                <w:tab w:val="clear" w:pos="2040"/>
              </w:tabs>
              <w:spacing w:before="0" w:beforeAutospacing="0" w:after="0" w:afterAutospacing="0"/>
              <w:ind w:left="0" w:right="0"/>
              <w:jc w:val="center"/>
              <w:rPr>
                <w:rFonts w:hint="default" w:ascii="Times New Roman" w:hAnsi="Times New Roman" w:eastAsia="宋体"/>
                <w:color w:val="auto"/>
                <w:vertAlign w:val="baseline"/>
              </w:rPr>
            </w:pPr>
            <w:r>
              <w:rPr>
                <w:rFonts w:hint="default" w:ascii="Times New Roman" w:hAnsi="Times New Roman" w:eastAsia="宋体" w:cs="Times New Roman"/>
                <w:color w:val="auto"/>
                <w:sz w:val="24"/>
                <w:highlight w:val="none"/>
              </w:rPr>
              <w:t>工艺流程和产排污环节</w:t>
            </w:r>
          </w:p>
        </w:tc>
        <w:tc>
          <w:tcPr>
            <w:tcW w:w="8802" w:type="dxa"/>
          </w:tcPr>
          <w:p w14:paraId="5A07C83C">
            <w:pPr>
              <w:pStyle w:val="9"/>
              <w:keepNext w:val="0"/>
              <w:keepLines w:val="0"/>
              <w:suppressLineNumbers w:val="0"/>
              <w:adjustRightInd w:val="0"/>
              <w:spacing w:before="0" w:beforeAutospacing="0" w:after="0" w:afterAutospacing="0"/>
              <w:ind w:left="0" w:right="0"/>
              <w:jc w:val="left"/>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b/>
                <w:color w:val="auto"/>
                <w:sz w:val="24"/>
                <w:highlight w:val="none"/>
              </w:rPr>
              <w:t>2、污染物产生及排放情况</w:t>
            </w:r>
          </w:p>
          <w:p w14:paraId="562BDF72">
            <w:pPr>
              <w:keepNext w:val="0"/>
              <w:keepLines w:val="0"/>
              <w:widowControl/>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Calibri"/>
                <w:b/>
                <w:bCs/>
                <w:color w:val="auto"/>
                <w:sz w:val="24"/>
                <w:highlight w:val="none"/>
              </w:rPr>
            </w:pPr>
            <w:r>
              <w:rPr>
                <w:rFonts w:hint="default" w:ascii="Times New Roman" w:hAnsi="Times New Roman" w:eastAsia="宋体" w:cs="Times New Roman"/>
                <w:b/>
                <w:bCs/>
                <w:color w:val="auto"/>
                <w:kern w:val="2"/>
                <w:sz w:val="24"/>
                <w:szCs w:val="24"/>
                <w:highlight w:val="none"/>
                <w:lang w:val="en-US" w:eastAsia="zh-CN" w:bidi="ar-SA"/>
              </w:rPr>
              <w:t>表2-7</w:t>
            </w:r>
            <w:r>
              <w:rPr>
                <w:rFonts w:hint="eastAsia" w:ascii="Times New Roman" w:hAnsi="Times New Roman" w:eastAsia="宋体" w:cs="Times New Roman"/>
                <w:b/>
                <w:bCs/>
                <w:color w:val="auto"/>
                <w:kern w:val="2"/>
                <w:sz w:val="24"/>
                <w:szCs w:val="24"/>
                <w:highlight w:val="none"/>
                <w:lang w:val="en-US" w:eastAsia="zh-CN" w:bidi="ar-SA"/>
              </w:rPr>
              <w:t xml:space="preserve">  </w:t>
            </w:r>
            <w:r>
              <w:rPr>
                <w:rFonts w:hint="eastAsia" w:ascii="Times New Roman" w:hAnsi="Times New Roman" w:eastAsia="宋体" w:cs="Calibri"/>
                <w:b/>
                <w:bCs/>
                <w:color w:val="auto"/>
                <w:sz w:val="24"/>
                <w:highlight w:val="none"/>
              </w:rPr>
              <w:t>主要产污环节和排污特征</w:t>
            </w:r>
          </w:p>
          <w:tbl>
            <w:tblPr>
              <w:tblStyle w:val="25"/>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53"/>
              <w:gridCol w:w="656"/>
              <w:gridCol w:w="1448"/>
              <w:gridCol w:w="1521"/>
              <w:gridCol w:w="611"/>
              <w:gridCol w:w="3896"/>
            </w:tblGrid>
            <w:tr w14:paraId="5B00EE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63" w:type="pct"/>
                  <w:tcBorders>
                    <w:tl2br w:val="nil"/>
                    <w:tr2bl w:val="nil"/>
                  </w:tcBorders>
                  <w:vAlign w:val="center"/>
                </w:tcPr>
                <w:p w14:paraId="1C33C8A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类别</w:t>
                  </w:r>
                </w:p>
              </w:tc>
              <w:tc>
                <w:tcPr>
                  <w:tcW w:w="382" w:type="pct"/>
                  <w:tcBorders>
                    <w:tl2br w:val="nil"/>
                    <w:tr2bl w:val="nil"/>
                  </w:tcBorders>
                  <w:vAlign w:val="center"/>
                </w:tcPr>
                <w:p w14:paraId="686D1C2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代码</w:t>
                  </w:r>
                </w:p>
              </w:tc>
              <w:tc>
                <w:tcPr>
                  <w:tcW w:w="843" w:type="pct"/>
                  <w:tcBorders>
                    <w:tl2br w:val="nil"/>
                    <w:tr2bl w:val="nil"/>
                  </w:tcBorders>
                  <w:vAlign w:val="center"/>
                </w:tcPr>
                <w:p w14:paraId="318BBA0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产生点</w:t>
                  </w:r>
                </w:p>
              </w:tc>
              <w:tc>
                <w:tcPr>
                  <w:tcW w:w="885" w:type="pct"/>
                  <w:tcBorders>
                    <w:tl2br w:val="nil"/>
                    <w:tr2bl w:val="nil"/>
                  </w:tcBorders>
                  <w:vAlign w:val="center"/>
                </w:tcPr>
                <w:p w14:paraId="702D57E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污染物</w:t>
                  </w:r>
                </w:p>
              </w:tc>
              <w:tc>
                <w:tcPr>
                  <w:tcW w:w="355" w:type="pct"/>
                  <w:tcBorders>
                    <w:tl2br w:val="nil"/>
                    <w:tr2bl w:val="nil"/>
                  </w:tcBorders>
                  <w:vAlign w:val="center"/>
                </w:tcPr>
                <w:p w14:paraId="083C302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特征</w:t>
                  </w:r>
                </w:p>
              </w:tc>
              <w:tc>
                <w:tcPr>
                  <w:tcW w:w="2269" w:type="pct"/>
                  <w:tcBorders>
                    <w:tl2br w:val="nil"/>
                    <w:tr2bl w:val="nil"/>
                  </w:tcBorders>
                  <w:vAlign w:val="center"/>
                </w:tcPr>
                <w:p w14:paraId="10D3D42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去向</w:t>
                  </w:r>
                </w:p>
              </w:tc>
            </w:tr>
            <w:tr w14:paraId="0C4BDF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63" w:type="pct"/>
                  <w:vMerge w:val="restart"/>
                  <w:tcBorders>
                    <w:tl2br w:val="nil"/>
                    <w:tr2bl w:val="nil"/>
                  </w:tcBorders>
                  <w:vAlign w:val="center"/>
                </w:tcPr>
                <w:p w14:paraId="1D106C7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废气</w:t>
                  </w:r>
                </w:p>
              </w:tc>
              <w:tc>
                <w:tcPr>
                  <w:tcW w:w="382" w:type="pct"/>
                  <w:tcBorders>
                    <w:tl2br w:val="nil"/>
                    <w:tr2bl w:val="nil"/>
                  </w:tcBorders>
                  <w:vAlign w:val="center"/>
                </w:tcPr>
                <w:p w14:paraId="4FAEC6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G1</w:t>
                  </w:r>
                </w:p>
              </w:tc>
              <w:tc>
                <w:tcPr>
                  <w:tcW w:w="843" w:type="pct"/>
                  <w:tcBorders>
                    <w:tl2br w:val="nil"/>
                    <w:tr2bl w:val="nil"/>
                  </w:tcBorders>
                  <w:vAlign w:val="center"/>
                </w:tcPr>
                <w:p w14:paraId="0B1A30D2">
                  <w:pPr>
                    <w:pStyle w:val="3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生物安全柜废气</w:t>
                  </w:r>
                </w:p>
              </w:tc>
              <w:tc>
                <w:tcPr>
                  <w:tcW w:w="885" w:type="pct"/>
                  <w:tcBorders>
                    <w:tl2br w:val="nil"/>
                    <w:tr2bl w:val="nil"/>
                  </w:tcBorders>
                  <w:vAlign w:val="center"/>
                </w:tcPr>
                <w:p w14:paraId="2490F5F4">
                  <w:pPr>
                    <w:pStyle w:val="3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lang w:val="en-US" w:eastAsia="zh-CN"/>
                    </w:rPr>
                    <w:t>含菌气溶胶</w:t>
                  </w:r>
                </w:p>
              </w:tc>
              <w:tc>
                <w:tcPr>
                  <w:tcW w:w="355" w:type="pct"/>
                  <w:tcBorders>
                    <w:tl2br w:val="nil"/>
                    <w:tr2bl w:val="nil"/>
                  </w:tcBorders>
                  <w:vAlign w:val="center"/>
                </w:tcPr>
                <w:p w14:paraId="40C3EA6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间歇</w:t>
                  </w:r>
                </w:p>
              </w:tc>
              <w:tc>
                <w:tcPr>
                  <w:tcW w:w="2269" w:type="pct"/>
                  <w:tcBorders>
                    <w:tl2br w:val="nil"/>
                    <w:tr2bl w:val="nil"/>
                  </w:tcBorders>
                  <w:vAlign w:val="center"/>
                </w:tcPr>
                <w:p w14:paraId="517E9DF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经生物安全柜内设置的HEPA高效空气过滤处理后</w:t>
                  </w:r>
                  <w:r>
                    <w:rPr>
                      <w:rFonts w:hint="eastAsia" w:cs="Times New Roman"/>
                      <w:color w:val="auto"/>
                      <w:kern w:val="2"/>
                      <w:sz w:val="21"/>
                      <w:szCs w:val="21"/>
                      <w:highlight w:val="none"/>
                      <w:lang w:val="en-US" w:eastAsia="zh-CN" w:bidi="ar-SA"/>
                    </w:rPr>
                    <w:t>少部分于</w:t>
                  </w:r>
                  <w:r>
                    <w:rPr>
                      <w:rFonts w:hint="default" w:ascii="Times New Roman" w:hAnsi="Times New Roman" w:eastAsia="宋体" w:cs="Times New Roman"/>
                      <w:color w:val="auto"/>
                      <w:kern w:val="2"/>
                      <w:sz w:val="21"/>
                      <w:szCs w:val="21"/>
                      <w:highlight w:val="none"/>
                      <w:lang w:val="en-US" w:eastAsia="zh-CN" w:bidi="ar-SA"/>
                    </w:rPr>
                    <w:t>室内排放。</w:t>
                  </w:r>
                </w:p>
              </w:tc>
            </w:tr>
            <w:tr w14:paraId="624EC9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63" w:type="pct"/>
                  <w:vMerge w:val="continue"/>
                  <w:tcBorders>
                    <w:tl2br w:val="nil"/>
                    <w:tr2bl w:val="nil"/>
                  </w:tcBorders>
                  <w:vAlign w:val="center"/>
                </w:tcPr>
                <w:p w14:paraId="723D9D1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Cs/>
                      <w:color w:val="auto"/>
                      <w:szCs w:val="21"/>
                      <w:highlight w:val="none"/>
                    </w:rPr>
                  </w:pPr>
                </w:p>
              </w:tc>
              <w:tc>
                <w:tcPr>
                  <w:tcW w:w="382" w:type="pct"/>
                  <w:tcBorders>
                    <w:tl2br w:val="nil"/>
                    <w:tr2bl w:val="nil"/>
                  </w:tcBorders>
                  <w:vAlign w:val="center"/>
                </w:tcPr>
                <w:p w14:paraId="4695DC0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G2</w:t>
                  </w:r>
                </w:p>
              </w:tc>
              <w:tc>
                <w:tcPr>
                  <w:tcW w:w="843" w:type="pct"/>
                  <w:tcBorders>
                    <w:tl2br w:val="nil"/>
                    <w:tr2bl w:val="nil"/>
                  </w:tcBorders>
                  <w:vAlign w:val="center"/>
                </w:tcPr>
                <w:p w14:paraId="6D0B49B8">
                  <w:pPr>
                    <w:pStyle w:val="3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原料挥发废气</w:t>
                  </w:r>
                </w:p>
              </w:tc>
              <w:tc>
                <w:tcPr>
                  <w:tcW w:w="885" w:type="pct"/>
                  <w:tcBorders>
                    <w:tl2br w:val="nil"/>
                    <w:tr2bl w:val="nil"/>
                  </w:tcBorders>
                  <w:vAlign w:val="center"/>
                </w:tcPr>
                <w:p w14:paraId="658458DC">
                  <w:pPr>
                    <w:pStyle w:val="3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非甲烷总烃（包含甲醇）</w:t>
                  </w:r>
                </w:p>
              </w:tc>
              <w:tc>
                <w:tcPr>
                  <w:tcW w:w="355" w:type="pct"/>
                  <w:tcBorders>
                    <w:tl2br w:val="nil"/>
                    <w:tr2bl w:val="nil"/>
                  </w:tcBorders>
                  <w:vAlign w:val="center"/>
                </w:tcPr>
                <w:p w14:paraId="1B8F8CB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间歇</w:t>
                  </w:r>
                </w:p>
              </w:tc>
              <w:tc>
                <w:tcPr>
                  <w:tcW w:w="2269" w:type="pct"/>
                  <w:tcBorders>
                    <w:tl2br w:val="nil"/>
                    <w:tr2bl w:val="nil"/>
                  </w:tcBorders>
                  <w:vAlign w:val="center"/>
                </w:tcPr>
                <w:p w14:paraId="1969D07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经通风橱收集后通过</w:t>
                  </w:r>
                  <w:r>
                    <w:rPr>
                      <w:rFonts w:hint="eastAsia" w:cs="Times New Roman"/>
                      <w:color w:val="auto"/>
                      <w:kern w:val="2"/>
                      <w:sz w:val="21"/>
                      <w:szCs w:val="21"/>
                      <w:highlight w:val="none"/>
                      <w:lang w:val="en-US" w:eastAsia="zh-CN" w:bidi="ar-SA"/>
                    </w:rPr>
                    <w:t>一套</w:t>
                  </w:r>
                  <w:r>
                    <w:rPr>
                      <w:rFonts w:hint="eastAsia" w:ascii="Times New Roman" w:hAnsi="Times New Roman" w:eastAsia="宋体" w:cs="Times New Roman"/>
                      <w:color w:val="auto"/>
                      <w:kern w:val="2"/>
                      <w:sz w:val="21"/>
                      <w:szCs w:val="21"/>
                      <w:highlight w:val="none"/>
                      <w:lang w:val="en-US" w:eastAsia="zh-CN" w:bidi="ar-SA"/>
                    </w:rPr>
                    <w:t>二级活性炭吸附装置处理，最终通过一根15m高排气筒</w:t>
                  </w:r>
                  <w:r>
                    <w:rPr>
                      <w:rFonts w:hint="eastAsia" w:cs="Times New Roman"/>
                      <w:color w:val="auto"/>
                      <w:kern w:val="2"/>
                      <w:sz w:val="21"/>
                      <w:szCs w:val="21"/>
                      <w:highlight w:val="none"/>
                      <w:lang w:val="en-US" w:eastAsia="zh-CN" w:bidi="ar-SA"/>
                    </w:rPr>
                    <w:t>FQ01</w:t>
                  </w:r>
                  <w:r>
                    <w:rPr>
                      <w:rFonts w:hint="eastAsia" w:ascii="Times New Roman" w:hAnsi="Times New Roman" w:eastAsia="宋体" w:cs="Times New Roman"/>
                      <w:color w:val="auto"/>
                      <w:kern w:val="2"/>
                      <w:sz w:val="21"/>
                      <w:szCs w:val="21"/>
                      <w:highlight w:val="none"/>
                      <w:lang w:val="en-US" w:eastAsia="zh-CN" w:bidi="ar-SA"/>
                    </w:rPr>
                    <w:t>排空</w:t>
                  </w:r>
                </w:p>
              </w:tc>
            </w:tr>
            <w:tr w14:paraId="0D47F4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63" w:type="pct"/>
                  <w:tcBorders>
                    <w:tl2br w:val="nil"/>
                    <w:tr2bl w:val="nil"/>
                  </w:tcBorders>
                  <w:vAlign w:val="center"/>
                </w:tcPr>
                <w:p w14:paraId="13B5996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Cs/>
                      <w:color w:val="auto"/>
                      <w:szCs w:val="21"/>
                      <w:highlight w:val="none"/>
                    </w:rPr>
                  </w:pPr>
                </w:p>
              </w:tc>
              <w:tc>
                <w:tcPr>
                  <w:tcW w:w="382" w:type="pct"/>
                  <w:tcBorders>
                    <w:tl2br w:val="nil"/>
                    <w:tr2bl w:val="nil"/>
                  </w:tcBorders>
                  <w:vAlign w:val="center"/>
                </w:tcPr>
                <w:p w14:paraId="36449A5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olor w:val="auto"/>
                      <w:highlight w:val="none"/>
                      <w:lang w:val="en-US" w:eastAsia="zh-CN"/>
                    </w:rPr>
                  </w:pPr>
                  <w:r>
                    <w:rPr>
                      <w:rFonts w:hint="eastAsia"/>
                      <w:color w:val="auto"/>
                      <w:highlight w:val="none"/>
                      <w:lang w:val="en-US" w:eastAsia="zh-CN"/>
                    </w:rPr>
                    <w:t>G3</w:t>
                  </w:r>
                </w:p>
              </w:tc>
              <w:tc>
                <w:tcPr>
                  <w:tcW w:w="843" w:type="pct"/>
                  <w:tcBorders>
                    <w:tl2br w:val="nil"/>
                    <w:tr2bl w:val="nil"/>
                  </w:tcBorders>
                  <w:vAlign w:val="center"/>
                </w:tcPr>
                <w:p w14:paraId="1736BC2A">
                  <w:pPr>
                    <w:pStyle w:val="3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危废间废气</w:t>
                  </w:r>
                </w:p>
              </w:tc>
              <w:tc>
                <w:tcPr>
                  <w:tcW w:w="885" w:type="pct"/>
                  <w:tcBorders>
                    <w:tl2br w:val="nil"/>
                    <w:tr2bl w:val="nil"/>
                  </w:tcBorders>
                  <w:vAlign w:val="center"/>
                </w:tcPr>
                <w:p w14:paraId="4490375C">
                  <w:pPr>
                    <w:pStyle w:val="3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非甲烷总烃（包含甲醇）</w:t>
                  </w:r>
                </w:p>
              </w:tc>
              <w:tc>
                <w:tcPr>
                  <w:tcW w:w="355" w:type="pct"/>
                  <w:tcBorders>
                    <w:tl2br w:val="nil"/>
                    <w:tr2bl w:val="nil"/>
                  </w:tcBorders>
                  <w:vAlign w:val="center"/>
                </w:tcPr>
                <w:p w14:paraId="3C8DC5B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间歇</w:t>
                  </w:r>
                </w:p>
              </w:tc>
              <w:tc>
                <w:tcPr>
                  <w:tcW w:w="2269" w:type="pct"/>
                  <w:tcBorders>
                    <w:tl2br w:val="nil"/>
                    <w:tr2bl w:val="nil"/>
                  </w:tcBorders>
                  <w:vAlign w:val="center"/>
                </w:tcPr>
                <w:p w14:paraId="4F24B97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经负压排风系统收集后</w:t>
                  </w:r>
                  <w:r>
                    <w:rPr>
                      <w:rFonts w:hint="eastAsia" w:ascii="Times New Roman" w:hAnsi="Times New Roman" w:eastAsia="宋体" w:cs="Times New Roman"/>
                      <w:color w:val="auto"/>
                      <w:kern w:val="2"/>
                      <w:sz w:val="21"/>
                      <w:szCs w:val="21"/>
                      <w:highlight w:val="none"/>
                      <w:lang w:val="en-US" w:eastAsia="zh-CN" w:bidi="ar-SA"/>
                    </w:rPr>
                    <w:t>通过</w:t>
                  </w:r>
                  <w:r>
                    <w:rPr>
                      <w:rFonts w:hint="eastAsia" w:cs="Times New Roman"/>
                      <w:color w:val="auto"/>
                      <w:kern w:val="2"/>
                      <w:sz w:val="21"/>
                      <w:szCs w:val="21"/>
                      <w:highlight w:val="none"/>
                      <w:lang w:val="en-US" w:eastAsia="zh-CN" w:bidi="ar-SA"/>
                    </w:rPr>
                    <w:t>一套</w:t>
                  </w:r>
                  <w:r>
                    <w:rPr>
                      <w:rFonts w:hint="eastAsia" w:ascii="Times New Roman" w:hAnsi="Times New Roman" w:eastAsia="宋体" w:cs="Times New Roman"/>
                      <w:color w:val="auto"/>
                      <w:kern w:val="2"/>
                      <w:sz w:val="21"/>
                      <w:szCs w:val="21"/>
                      <w:highlight w:val="none"/>
                      <w:lang w:val="en-US" w:eastAsia="zh-CN" w:bidi="ar-SA"/>
                    </w:rPr>
                    <w:t>二级活性炭吸附装置处理，最终通过一根15m高排气筒</w:t>
                  </w:r>
                  <w:r>
                    <w:rPr>
                      <w:rFonts w:hint="eastAsia" w:cs="Times New Roman"/>
                      <w:color w:val="auto"/>
                      <w:kern w:val="2"/>
                      <w:sz w:val="21"/>
                      <w:szCs w:val="21"/>
                      <w:highlight w:val="none"/>
                      <w:lang w:val="en-US" w:eastAsia="zh-CN" w:bidi="ar-SA"/>
                    </w:rPr>
                    <w:t>FQ01</w:t>
                  </w:r>
                  <w:r>
                    <w:rPr>
                      <w:rFonts w:hint="eastAsia" w:ascii="Times New Roman" w:hAnsi="Times New Roman" w:eastAsia="宋体" w:cs="Times New Roman"/>
                      <w:color w:val="auto"/>
                      <w:kern w:val="2"/>
                      <w:sz w:val="21"/>
                      <w:szCs w:val="21"/>
                      <w:highlight w:val="none"/>
                      <w:lang w:val="en-US" w:eastAsia="zh-CN" w:bidi="ar-SA"/>
                    </w:rPr>
                    <w:t>排空</w:t>
                  </w:r>
                </w:p>
              </w:tc>
            </w:tr>
            <w:tr w14:paraId="64A8A5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63" w:type="pct"/>
                  <w:vMerge w:val="restart"/>
                  <w:tcBorders>
                    <w:tl2br w:val="nil"/>
                    <w:tr2bl w:val="nil"/>
                  </w:tcBorders>
                  <w:vAlign w:val="center"/>
                </w:tcPr>
                <w:p w14:paraId="1AA3870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废水</w:t>
                  </w:r>
                </w:p>
              </w:tc>
              <w:tc>
                <w:tcPr>
                  <w:tcW w:w="382" w:type="pct"/>
                  <w:tcBorders>
                    <w:tl2br w:val="nil"/>
                    <w:tr2bl w:val="nil"/>
                  </w:tcBorders>
                  <w:vAlign w:val="center"/>
                </w:tcPr>
                <w:p w14:paraId="2216B45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W</w:t>
                  </w:r>
                  <w:r>
                    <w:rPr>
                      <w:rFonts w:hint="eastAsia"/>
                      <w:color w:val="auto"/>
                      <w:highlight w:val="none"/>
                      <w:lang w:val="en-US" w:eastAsia="zh-CN"/>
                    </w:rPr>
                    <w:t>1</w:t>
                  </w:r>
                </w:p>
              </w:tc>
              <w:tc>
                <w:tcPr>
                  <w:tcW w:w="843" w:type="pct"/>
                  <w:tcBorders>
                    <w:tl2br w:val="nil"/>
                    <w:tr2bl w:val="nil"/>
                  </w:tcBorders>
                  <w:vAlign w:val="center"/>
                </w:tcPr>
                <w:p w14:paraId="30D15954">
                  <w:pPr>
                    <w:pStyle w:val="3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生活污水</w:t>
                  </w:r>
                </w:p>
              </w:tc>
              <w:tc>
                <w:tcPr>
                  <w:tcW w:w="885" w:type="pct"/>
                  <w:tcBorders>
                    <w:tl2br w:val="nil"/>
                    <w:tr2bl w:val="nil"/>
                  </w:tcBorders>
                  <w:vAlign w:val="center"/>
                </w:tcPr>
                <w:p w14:paraId="3B1D6075">
                  <w:pPr>
                    <w:pStyle w:val="3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pH、CODcr、BOD</w:t>
                  </w:r>
                  <w:r>
                    <w:rPr>
                      <w:rFonts w:hint="eastAsia" w:ascii="Times New Roman" w:hAnsi="Times New Roman" w:eastAsia="宋体"/>
                      <w:color w:val="auto"/>
                      <w:sz w:val="21"/>
                      <w:szCs w:val="21"/>
                      <w:highlight w:val="none"/>
                      <w:vertAlign w:val="subscript"/>
                      <w:lang w:val="en-US" w:eastAsia="zh-CN"/>
                    </w:rPr>
                    <w:t>5</w:t>
                  </w:r>
                  <w:r>
                    <w:rPr>
                      <w:rFonts w:hint="eastAsia" w:ascii="Times New Roman" w:hAnsi="Times New Roman" w:eastAsia="宋体"/>
                      <w:color w:val="auto"/>
                      <w:sz w:val="21"/>
                      <w:szCs w:val="21"/>
                      <w:highlight w:val="none"/>
                      <w:lang w:val="en-US" w:eastAsia="zh-CN"/>
                    </w:rPr>
                    <w:t>、SS、 NH</w:t>
                  </w:r>
                  <w:r>
                    <w:rPr>
                      <w:rFonts w:hint="eastAsia" w:ascii="Times New Roman" w:hAnsi="Times New Roman" w:eastAsia="宋体"/>
                      <w:color w:val="auto"/>
                      <w:sz w:val="21"/>
                      <w:szCs w:val="21"/>
                      <w:highlight w:val="none"/>
                      <w:vertAlign w:val="subscript"/>
                      <w:lang w:val="en-US" w:eastAsia="zh-CN"/>
                    </w:rPr>
                    <w:t>3</w:t>
                  </w:r>
                  <w:r>
                    <w:rPr>
                      <w:rFonts w:hint="eastAsia" w:ascii="Times New Roman" w:hAnsi="Times New Roman" w:eastAsia="宋体"/>
                      <w:color w:val="auto"/>
                      <w:sz w:val="21"/>
                      <w:szCs w:val="21"/>
                      <w:highlight w:val="none"/>
                      <w:lang w:val="en-US" w:eastAsia="zh-CN"/>
                    </w:rPr>
                    <w:t>-N</w:t>
                  </w:r>
                </w:p>
              </w:tc>
              <w:tc>
                <w:tcPr>
                  <w:tcW w:w="355" w:type="pct"/>
                  <w:tcBorders>
                    <w:tl2br w:val="nil"/>
                    <w:tr2bl w:val="nil"/>
                  </w:tcBorders>
                  <w:vAlign w:val="center"/>
                </w:tcPr>
                <w:p w14:paraId="1D16EA9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间歇</w:t>
                  </w:r>
                </w:p>
              </w:tc>
              <w:tc>
                <w:tcPr>
                  <w:tcW w:w="2269" w:type="pct"/>
                  <w:tcBorders>
                    <w:tl2br w:val="nil"/>
                    <w:tr2bl w:val="nil"/>
                  </w:tcBorders>
                  <w:vAlign w:val="center"/>
                </w:tcPr>
                <w:p w14:paraId="645E7E5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依托</w:t>
                  </w:r>
                  <w:r>
                    <w:rPr>
                      <w:rFonts w:hint="eastAsia" w:cs="Times New Roman"/>
                      <w:color w:val="auto"/>
                      <w:sz w:val="21"/>
                      <w:szCs w:val="21"/>
                      <w:highlight w:val="none"/>
                      <w:lang w:val="en-US" w:eastAsia="zh-CN"/>
                    </w:rPr>
                    <w:t>无锡生命科学产业发展有限公司</w:t>
                  </w:r>
                  <w:r>
                    <w:rPr>
                      <w:rFonts w:hint="eastAsia" w:ascii="Times New Roman" w:hAnsi="Times New Roman" w:eastAsia="宋体" w:cs="Times New Roman"/>
                      <w:color w:val="auto"/>
                      <w:sz w:val="21"/>
                      <w:szCs w:val="21"/>
                      <w:highlight w:val="none"/>
                      <w:lang w:val="en-US" w:eastAsia="zh-CN"/>
                    </w:rPr>
                    <w:t>已建成化粪池处理后接管至无锡太湖新城污水处理厂进行深度处理</w:t>
                  </w:r>
                </w:p>
              </w:tc>
            </w:tr>
            <w:tr w14:paraId="7E8735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63" w:type="pct"/>
                  <w:vMerge w:val="continue"/>
                  <w:tcBorders>
                    <w:tl2br w:val="nil"/>
                    <w:tr2bl w:val="nil"/>
                  </w:tcBorders>
                  <w:vAlign w:val="center"/>
                </w:tcPr>
                <w:p w14:paraId="124A038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bCs/>
                      <w:color w:val="auto"/>
                      <w:szCs w:val="21"/>
                      <w:highlight w:val="none"/>
                      <w:lang w:val="en-US" w:eastAsia="zh-CN"/>
                    </w:rPr>
                  </w:pPr>
                </w:p>
              </w:tc>
              <w:tc>
                <w:tcPr>
                  <w:tcW w:w="382" w:type="pct"/>
                  <w:tcBorders>
                    <w:tl2br w:val="nil"/>
                    <w:tr2bl w:val="nil"/>
                  </w:tcBorders>
                  <w:vAlign w:val="center"/>
                </w:tcPr>
                <w:p w14:paraId="2663C5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olor w:val="auto"/>
                      <w:highlight w:val="none"/>
                      <w:lang w:val="en-US" w:eastAsia="zh-CN"/>
                    </w:rPr>
                  </w:pPr>
                  <w:r>
                    <w:rPr>
                      <w:rFonts w:hint="eastAsia"/>
                      <w:color w:val="auto"/>
                      <w:highlight w:val="none"/>
                      <w:lang w:val="en-US" w:eastAsia="zh-CN"/>
                    </w:rPr>
                    <w:t>W2</w:t>
                  </w:r>
                </w:p>
              </w:tc>
              <w:tc>
                <w:tcPr>
                  <w:tcW w:w="843" w:type="pct"/>
                  <w:tcBorders>
                    <w:tl2br w:val="nil"/>
                    <w:tr2bl w:val="nil"/>
                  </w:tcBorders>
                  <w:vAlign w:val="center"/>
                </w:tcPr>
                <w:p w14:paraId="464FA7B7">
                  <w:pPr>
                    <w:pStyle w:val="3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淋浴废水</w:t>
                  </w:r>
                </w:p>
              </w:tc>
              <w:tc>
                <w:tcPr>
                  <w:tcW w:w="885" w:type="pct"/>
                  <w:tcBorders>
                    <w:tl2br w:val="nil"/>
                    <w:tr2bl w:val="nil"/>
                  </w:tcBorders>
                  <w:vAlign w:val="center"/>
                </w:tcPr>
                <w:p w14:paraId="15450D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pH、CODcr、BOD</w:t>
                  </w:r>
                  <w:r>
                    <w:rPr>
                      <w:rFonts w:hint="eastAsia" w:ascii="Times New Roman" w:hAnsi="Times New Roman" w:eastAsia="宋体"/>
                      <w:color w:val="auto"/>
                      <w:sz w:val="21"/>
                      <w:szCs w:val="21"/>
                      <w:highlight w:val="none"/>
                      <w:vertAlign w:val="subscript"/>
                      <w:lang w:val="en-US" w:eastAsia="zh-CN"/>
                    </w:rPr>
                    <w:t>5</w:t>
                  </w:r>
                  <w:r>
                    <w:rPr>
                      <w:rFonts w:hint="eastAsia" w:ascii="Times New Roman" w:hAnsi="Times New Roman" w:eastAsia="宋体"/>
                      <w:color w:val="auto"/>
                      <w:sz w:val="21"/>
                      <w:szCs w:val="21"/>
                      <w:highlight w:val="none"/>
                      <w:lang w:val="en-US" w:eastAsia="zh-CN"/>
                    </w:rPr>
                    <w:t xml:space="preserve">、SS、 </w:t>
                  </w:r>
                  <w:r>
                    <w:rPr>
                      <w:rFonts w:hint="eastAsia"/>
                      <w:color w:val="auto"/>
                      <w:sz w:val="21"/>
                      <w:szCs w:val="21"/>
                      <w:highlight w:val="none"/>
                      <w:lang w:val="en-US" w:eastAsia="zh-CN"/>
                    </w:rPr>
                    <w:t>LAS</w:t>
                  </w:r>
                </w:p>
              </w:tc>
              <w:tc>
                <w:tcPr>
                  <w:tcW w:w="355" w:type="pct"/>
                  <w:tcBorders>
                    <w:tl2br w:val="nil"/>
                    <w:tr2bl w:val="nil"/>
                  </w:tcBorders>
                  <w:vAlign w:val="center"/>
                </w:tcPr>
                <w:p w14:paraId="66950CE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bCs/>
                      <w:color w:val="auto"/>
                      <w:szCs w:val="21"/>
                      <w:highlight w:val="none"/>
                      <w:lang w:val="en-US" w:eastAsia="zh-CN"/>
                    </w:rPr>
                  </w:pPr>
                  <w:r>
                    <w:rPr>
                      <w:rFonts w:hint="eastAsia"/>
                      <w:bCs/>
                      <w:color w:val="auto"/>
                      <w:szCs w:val="21"/>
                      <w:highlight w:val="none"/>
                      <w:lang w:val="en-US" w:eastAsia="zh-CN"/>
                    </w:rPr>
                    <w:t>间歇</w:t>
                  </w:r>
                </w:p>
              </w:tc>
              <w:tc>
                <w:tcPr>
                  <w:tcW w:w="2269" w:type="pct"/>
                  <w:tcBorders>
                    <w:tl2br w:val="nil"/>
                    <w:tr2bl w:val="nil"/>
                  </w:tcBorders>
                  <w:vAlign w:val="center"/>
                </w:tcPr>
                <w:p w14:paraId="76643C4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依托</w:t>
                  </w:r>
                  <w:r>
                    <w:rPr>
                      <w:rFonts w:hint="eastAsia" w:cs="Times New Roman"/>
                      <w:color w:val="auto"/>
                      <w:sz w:val="21"/>
                      <w:szCs w:val="21"/>
                      <w:highlight w:val="none"/>
                      <w:lang w:val="en-US" w:eastAsia="zh-CN"/>
                    </w:rPr>
                    <w:t>无锡生命科学产业发展有限公司</w:t>
                  </w:r>
                  <w:r>
                    <w:rPr>
                      <w:rFonts w:hint="eastAsia" w:ascii="Times New Roman" w:hAnsi="Times New Roman" w:eastAsia="宋体" w:cs="Times New Roman"/>
                      <w:color w:val="auto"/>
                      <w:sz w:val="21"/>
                      <w:szCs w:val="21"/>
                      <w:highlight w:val="none"/>
                      <w:lang w:val="en-US" w:eastAsia="zh-CN"/>
                    </w:rPr>
                    <w:t>已建成化粪池处理后接管至无锡太湖新城污水处理厂进行深度处理</w:t>
                  </w:r>
                </w:p>
              </w:tc>
            </w:tr>
            <w:tr w14:paraId="079CC3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7" w:hRule="atLeast"/>
                <w:jc w:val="center"/>
              </w:trPr>
              <w:tc>
                <w:tcPr>
                  <w:tcW w:w="263" w:type="pct"/>
                  <w:vMerge w:val="continue"/>
                  <w:tcBorders>
                    <w:tl2br w:val="nil"/>
                    <w:tr2bl w:val="nil"/>
                  </w:tcBorders>
                  <w:vAlign w:val="center"/>
                </w:tcPr>
                <w:p w14:paraId="5D25E0C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bCs/>
                      <w:color w:val="auto"/>
                      <w:szCs w:val="21"/>
                      <w:highlight w:val="none"/>
                      <w:lang w:val="en-US" w:eastAsia="zh-CN"/>
                    </w:rPr>
                  </w:pPr>
                </w:p>
              </w:tc>
              <w:tc>
                <w:tcPr>
                  <w:tcW w:w="382" w:type="pct"/>
                  <w:tcBorders>
                    <w:tl2br w:val="nil"/>
                    <w:tr2bl w:val="nil"/>
                  </w:tcBorders>
                  <w:vAlign w:val="center"/>
                </w:tcPr>
                <w:p w14:paraId="15F56DA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color w:val="auto"/>
                      <w:highlight w:val="none"/>
                      <w:lang w:val="en-US" w:eastAsia="zh-CN"/>
                    </w:rPr>
                  </w:pPr>
                  <w:r>
                    <w:rPr>
                      <w:rFonts w:hint="eastAsia"/>
                      <w:color w:val="auto"/>
                      <w:highlight w:val="none"/>
                      <w:lang w:val="en-US" w:eastAsia="zh-CN"/>
                    </w:rPr>
                    <w:t>W3</w:t>
                  </w:r>
                </w:p>
              </w:tc>
              <w:tc>
                <w:tcPr>
                  <w:tcW w:w="843" w:type="pct"/>
                  <w:tcBorders>
                    <w:tl2br w:val="nil"/>
                    <w:tr2bl w:val="nil"/>
                  </w:tcBorders>
                  <w:vAlign w:val="center"/>
                </w:tcPr>
                <w:p w14:paraId="7332A87B">
                  <w:pPr>
                    <w:pStyle w:val="3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纯水制备浓水</w:t>
                  </w:r>
                </w:p>
              </w:tc>
              <w:tc>
                <w:tcPr>
                  <w:tcW w:w="885" w:type="pct"/>
                  <w:tcBorders>
                    <w:tl2br w:val="nil"/>
                    <w:tr2bl w:val="nil"/>
                  </w:tcBorders>
                  <w:vAlign w:val="center"/>
                </w:tcPr>
                <w:p w14:paraId="676B66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color w:val="auto"/>
                      <w:highlight w:val="none"/>
                      <w:lang w:val="en-US" w:eastAsia="zh-CN"/>
                    </w:rPr>
                  </w:pPr>
                  <w:r>
                    <w:rPr>
                      <w:rFonts w:hint="eastAsia"/>
                      <w:color w:val="auto"/>
                      <w:highlight w:val="none"/>
                      <w:lang w:val="en-US" w:eastAsia="zh-CN"/>
                    </w:rPr>
                    <w:t>pH、</w:t>
                  </w:r>
                  <w:r>
                    <w:rPr>
                      <w:rFonts w:hint="default" w:ascii="Times New Roman" w:hAnsi="Times New Roman" w:eastAsia="宋体" w:cs="Times New Roman"/>
                      <w:color w:val="auto"/>
                      <w:sz w:val="21"/>
                      <w:szCs w:val="21"/>
                      <w:highlight w:val="none"/>
                    </w:rPr>
                    <w:t>COD、SS</w:t>
                  </w:r>
                </w:p>
              </w:tc>
              <w:tc>
                <w:tcPr>
                  <w:tcW w:w="355" w:type="pct"/>
                  <w:tcBorders>
                    <w:tl2br w:val="nil"/>
                    <w:tr2bl w:val="nil"/>
                  </w:tcBorders>
                  <w:vAlign w:val="center"/>
                </w:tcPr>
                <w:p w14:paraId="31A7CB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间歇</w:t>
                  </w:r>
                </w:p>
              </w:tc>
              <w:tc>
                <w:tcPr>
                  <w:tcW w:w="2269" w:type="pct"/>
                  <w:tcBorders>
                    <w:tl2br w:val="nil"/>
                    <w:tr2bl w:val="nil"/>
                  </w:tcBorders>
                  <w:vAlign w:val="center"/>
                </w:tcPr>
                <w:p w14:paraId="74850FA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接管至无锡太湖新城污水处理厂进行深度处理</w:t>
                  </w:r>
                  <w:r>
                    <w:rPr>
                      <w:rFonts w:hint="eastAsia" w:cs="Times New Roman"/>
                      <w:color w:val="auto"/>
                      <w:sz w:val="21"/>
                      <w:szCs w:val="21"/>
                      <w:highlight w:val="none"/>
                      <w:lang w:val="en-US" w:eastAsia="zh-CN"/>
                    </w:rPr>
                    <w:t>，尾水排入京杭运河</w:t>
                  </w:r>
                </w:p>
              </w:tc>
            </w:tr>
            <w:tr w14:paraId="0551A3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7" w:hRule="atLeast"/>
                <w:jc w:val="center"/>
              </w:trPr>
              <w:tc>
                <w:tcPr>
                  <w:tcW w:w="263" w:type="pct"/>
                  <w:vMerge w:val="continue"/>
                  <w:tcBorders>
                    <w:tl2br w:val="nil"/>
                    <w:tr2bl w:val="nil"/>
                  </w:tcBorders>
                  <w:vAlign w:val="center"/>
                </w:tcPr>
                <w:p w14:paraId="79AC446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bCs/>
                      <w:color w:val="auto"/>
                      <w:szCs w:val="21"/>
                      <w:highlight w:val="none"/>
                      <w:lang w:val="en-US" w:eastAsia="zh-CN"/>
                    </w:rPr>
                  </w:pPr>
                </w:p>
              </w:tc>
              <w:tc>
                <w:tcPr>
                  <w:tcW w:w="382" w:type="pct"/>
                  <w:tcBorders>
                    <w:tl2br w:val="nil"/>
                    <w:tr2bl w:val="nil"/>
                  </w:tcBorders>
                  <w:vAlign w:val="center"/>
                </w:tcPr>
                <w:p w14:paraId="1E3024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color w:val="auto"/>
                      <w:highlight w:val="none"/>
                      <w:lang w:val="en-US" w:eastAsia="zh-CN"/>
                    </w:rPr>
                  </w:pPr>
                  <w:r>
                    <w:rPr>
                      <w:rFonts w:hint="eastAsia"/>
                      <w:color w:val="auto"/>
                      <w:highlight w:val="none"/>
                      <w:lang w:val="en-US" w:eastAsia="zh-CN"/>
                    </w:rPr>
                    <w:t>W4</w:t>
                  </w:r>
                </w:p>
              </w:tc>
              <w:tc>
                <w:tcPr>
                  <w:tcW w:w="843" w:type="pct"/>
                  <w:tcBorders>
                    <w:tl2br w:val="nil"/>
                    <w:tr2bl w:val="nil"/>
                  </w:tcBorders>
                  <w:vAlign w:val="center"/>
                </w:tcPr>
                <w:p w14:paraId="104DD4B9">
                  <w:pPr>
                    <w:pStyle w:val="3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水浴锅排水</w:t>
                  </w:r>
                </w:p>
              </w:tc>
              <w:tc>
                <w:tcPr>
                  <w:tcW w:w="885" w:type="pct"/>
                  <w:tcBorders>
                    <w:tl2br w:val="nil"/>
                    <w:tr2bl w:val="nil"/>
                  </w:tcBorders>
                  <w:vAlign w:val="center"/>
                </w:tcPr>
                <w:p w14:paraId="19E52F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color w:val="auto"/>
                      <w:highlight w:val="none"/>
                      <w:lang w:val="en-US" w:eastAsia="zh-CN"/>
                    </w:rPr>
                  </w:pPr>
                  <w:r>
                    <w:rPr>
                      <w:rFonts w:hint="eastAsia"/>
                      <w:color w:val="auto"/>
                      <w:highlight w:val="none"/>
                      <w:lang w:val="en-US" w:eastAsia="zh-CN"/>
                    </w:rPr>
                    <w:t>pH、</w:t>
                  </w:r>
                  <w:r>
                    <w:rPr>
                      <w:rFonts w:hint="default" w:ascii="Times New Roman" w:hAnsi="Times New Roman" w:eastAsia="宋体" w:cs="Times New Roman"/>
                      <w:color w:val="auto"/>
                      <w:sz w:val="21"/>
                      <w:szCs w:val="21"/>
                      <w:highlight w:val="none"/>
                    </w:rPr>
                    <w:t>COD、SS</w:t>
                  </w:r>
                </w:p>
              </w:tc>
              <w:tc>
                <w:tcPr>
                  <w:tcW w:w="355" w:type="pct"/>
                  <w:tcBorders>
                    <w:tl2br w:val="nil"/>
                    <w:tr2bl w:val="nil"/>
                  </w:tcBorders>
                  <w:vAlign w:val="center"/>
                </w:tcPr>
                <w:p w14:paraId="75148B0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间歇</w:t>
                  </w:r>
                </w:p>
              </w:tc>
              <w:tc>
                <w:tcPr>
                  <w:tcW w:w="2269" w:type="pct"/>
                  <w:tcBorders>
                    <w:tl2br w:val="nil"/>
                    <w:tr2bl w:val="nil"/>
                  </w:tcBorders>
                  <w:vAlign w:val="center"/>
                </w:tcPr>
                <w:p w14:paraId="3C92640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管至无锡太湖新城污水处理厂进行深度处理</w:t>
                  </w:r>
                  <w:r>
                    <w:rPr>
                      <w:rFonts w:hint="eastAsia" w:cs="Times New Roman"/>
                      <w:color w:val="auto"/>
                      <w:sz w:val="21"/>
                      <w:szCs w:val="21"/>
                      <w:highlight w:val="none"/>
                      <w:lang w:val="en-US" w:eastAsia="zh-CN"/>
                    </w:rPr>
                    <w:t>，尾水排入京杭运河</w:t>
                  </w:r>
                </w:p>
              </w:tc>
            </w:tr>
            <w:tr w14:paraId="28A2C8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63" w:type="pct"/>
                  <w:vMerge w:val="restart"/>
                  <w:tcBorders>
                    <w:tl2br w:val="nil"/>
                    <w:tr2bl w:val="nil"/>
                  </w:tcBorders>
                  <w:vAlign w:val="center"/>
                </w:tcPr>
                <w:p w14:paraId="75ADBF2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噪声</w:t>
                  </w:r>
                </w:p>
              </w:tc>
              <w:tc>
                <w:tcPr>
                  <w:tcW w:w="382" w:type="pct"/>
                  <w:tcBorders>
                    <w:tl2br w:val="nil"/>
                    <w:tr2bl w:val="nil"/>
                  </w:tcBorders>
                  <w:vAlign w:val="center"/>
                </w:tcPr>
                <w:p w14:paraId="54E19CD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N</w:t>
                  </w:r>
                  <w:r>
                    <w:rPr>
                      <w:rFonts w:hint="eastAsia"/>
                      <w:color w:val="auto"/>
                      <w:highlight w:val="none"/>
                      <w:lang w:val="en-US" w:eastAsia="zh-CN"/>
                    </w:rPr>
                    <w:t>1</w:t>
                  </w:r>
                </w:p>
              </w:tc>
              <w:tc>
                <w:tcPr>
                  <w:tcW w:w="843" w:type="pct"/>
                  <w:tcBorders>
                    <w:tl2br w:val="nil"/>
                    <w:tr2bl w:val="nil"/>
                  </w:tcBorders>
                  <w:vAlign w:val="center"/>
                </w:tcPr>
                <w:p w14:paraId="1E9AE509">
                  <w:pPr>
                    <w:pStyle w:val="3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设备运行</w:t>
                  </w:r>
                </w:p>
              </w:tc>
              <w:tc>
                <w:tcPr>
                  <w:tcW w:w="885" w:type="pct"/>
                  <w:tcBorders>
                    <w:tl2br w:val="nil"/>
                    <w:tr2bl w:val="nil"/>
                  </w:tcBorders>
                  <w:vAlign w:val="center"/>
                </w:tcPr>
                <w:p w14:paraId="13477A5A">
                  <w:pPr>
                    <w:pStyle w:val="3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噪声</w:t>
                  </w:r>
                </w:p>
              </w:tc>
              <w:tc>
                <w:tcPr>
                  <w:tcW w:w="355" w:type="pct"/>
                  <w:tcBorders>
                    <w:tl2br w:val="nil"/>
                    <w:tr2bl w:val="nil"/>
                  </w:tcBorders>
                  <w:vAlign w:val="center"/>
                </w:tcPr>
                <w:p w14:paraId="2A928D8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间歇</w:t>
                  </w:r>
                </w:p>
              </w:tc>
              <w:tc>
                <w:tcPr>
                  <w:tcW w:w="2269" w:type="pct"/>
                  <w:tcBorders>
                    <w:tl2br w:val="nil"/>
                    <w:tr2bl w:val="nil"/>
                  </w:tcBorders>
                  <w:vAlign w:val="center"/>
                </w:tcPr>
                <w:p w14:paraId="22FCC84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低噪声设备、基础减震</w:t>
                  </w:r>
                </w:p>
              </w:tc>
            </w:tr>
            <w:tr w14:paraId="73B53C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63" w:type="pct"/>
                  <w:vMerge w:val="continue"/>
                  <w:tcBorders>
                    <w:tl2br w:val="nil"/>
                    <w:tr2bl w:val="nil"/>
                  </w:tcBorders>
                  <w:vAlign w:val="center"/>
                </w:tcPr>
                <w:p w14:paraId="02FDDF2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bCs/>
                      <w:color w:val="auto"/>
                      <w:szCs w:val="21"/>
                      <w:highlight w:val="none"/>
                      <w:lang w:val="en-US" w:eastAsia="zh-CN"/>
                    </w:rPr>
                  </w:pPr>
                </w:p>
              </w:tc>
              <w:tc>
                <w:tcPr>
                  <w:tcW w:w="382" w:type="pct"/>
                  <w:tcBorders>
                    <w:tl2br w:val="nil"/>
                    <w:tr2bl w:val="nil"/>
                  </w:tcBorders>
                  <w:vAlign w:val="center"/>
                </w:tcPr>
                <w:p w14:paraId="6810189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olor w:val="auto"/>
                      <w:highlight w:val="none"/>
                      <w:lang w:val="en-US" w:eastAsia="zh-CN"/>
                    </w:rPr>
                  </w:pPr>
                  <w:r>
                    <w:rPr>
                      <w:rFonts w:hint="eastAsia"/>
                      <w:color w:val="auto"/>
                      <w:highlight w:val="none"/>
                      <w:lang w:val="en-US" w:eastAsia="zh-CN"/>
                    </w:rPr>
                    <w:t>N2</w:t>
                  </w:r>
                </w:p>
              </w:tc>
              <w:tc>
                <w:tcPr>
                  <w:tcW w:w="843" w:type="pct"/>
                  <w:tcBorders>
                    <w:tl2br w:val="nil"/>
                    <w:tr2bl w:val="nil"/>
                  </w:tcBorders>
                  <w:vAlign w:val="center"/>
                </w:tcPr>
                <w:p w14:paraId="0A730CE3">
                  <w:pPr>
                    <w:pStyle w:val="3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废气治理设施配套风机运行</w:t>
                  </w:r>
                </w:p>
              </w:tc>
              <w:tc>
                <w:tcPr>
                  <w:tcW w:w="885" w:type="pct"/>
                  <w:tcBorders>
                    <w:tl2br w:val="nil"/>
                    <w:tr2bl w:val="nil"/>
                  </w:tcBorders>
                  <w:vAlign w:val="center"/>
                </w:tcPr>
                <w:p w14:paraId="3D18A916">
                  <w:pPr>
                    <w:pStyle w:val="3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噪声</w:t>
                  </w:r>
                </w:p>
              </w:tc>
              <w:tc>
                <w:tcPr>
                  <w:tcW w:w="355" w:type="pct"/>
                  <w:tcBorders>
                    <w:tl2br w:val="nil"/>
                    <w:tr2bl w:val="nil"/>
                  </w:tcBorders>
                  <w:vAlign w:val="center"/>
                </w:tcPr>
                <w:p w14:paraId="0762540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间歇</w:t>
                  </w:r>
                </w:p>
              </w:tc>
              <w:tc>
                <w:tcPr>
                  <w:tcW w:w="2269" w:type="pct"/>
                  <w:tcBorders>
                    <w:tl2br w:val="nil"/>
                    <w:tr2bl w:val="nil"/>
                  </w:tcBorders>
                  <w:vAlign w:val="center"/>
                </w:tcPr>
                <w:p w14:paraId="616104F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低噪声设备、基础减震</w:t>
                  </w:r>
                </w:p>
              </w:tc>
            </w:tr>
            <w:tr w14:paraId="4B99B0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63" w:type="pct"/>
                  <w:vMerge w:val="restart"/>
                  <w:tcBorders>
                    <w:tl2br w:val="nil"/>
                    <w:tr2bl w:val="nil"/>
                  </w:tcBorders>
                  <w:vAlign w:val="center"/>
                </w:tcPr>
                <w:p w14:paraId="398E5BC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固废</w:t>
                  </w:r>
                </w:p>
              </w:tc>
              <w:tc>
                <w:tcPr>
                  <w:tcW w:w="382" w:type="pct"/>
                  <w:tcBorders>
                    <w:tl2br w:val="nil"/>
                    <w:tr2bl w:val="nil"/>
                  </w:tcBorders>
                  <w:vAlign w:val="center"/>
                </w:tcPr>
                <w:p w14:paraId="208E125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S1</w:t>
                  </w:r>
                </w:p>
              </w:tc>
              <w:tc>
                <w:tcPr>
                  <w:tcW w:w="843" w:type="pct"/>
                  <w:tcBorders>
                    <w:tl2br w:val="nil"/>
                    <w:tr2bl w:val="nil"/>
                  </w:tcBorders>
                  <w:vAlign w:val="center"/>
                </w:tcPr>
                <w:p w14:paraId="2C41AB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bCs/>
                      <w:color w:val="auto"/>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实验废液</w:t>
                  </w:r>
                </w:p>
              </w:tc>
              <w:tc>
                <w:tcPr>
                  <w:tcW w:w="885" w:type="pct"/>
                  <w:tcBorders>
                    <w:tl2br w:val="nil"/>
                    <w:tr2bl w:val="nil"/>
                  </w:tcBorders>
                  <w:vAlign w:val="center"/>
                </w:tcPr>
                <w:p w14:paraId="53FB92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bCs/>
                      <w:color w:val="auto"/>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废试剂、</w:t>
                  </w:r>
                  <w:r>
                    <w:rPr>
                      <w:rFonts w:hint="default" w:ascii="Times New Roman" w:hAnsi="Times New Roman" w:eastAsia="宋体" w:cs="Times New Roman"/>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废样品</w:t>
                  </w:r>
                </w:p>
              </w:tc>
              <w:tc>
                <w:tcPr>
                  <w:tcW w:w="355" w:type="pct"/>
                  <w:tcBorders>
                    <w:tl2br w:val="nil"/>
                    <w:tr2bl w:val="nil"/>
                  </w:tcBorders>
                  <w:vAlign w:val="center"/>
                </w:tcPr>
                <w:p w14:paraId="0136020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间歇</w:t>
                  </w:r>
                </w:p>
              </w:tc>
              <w:tc>
                <w:tcPr>
                  <w:tcW w:w="2269" w:type="pct"/>
                  <w:tcBorders>
                    <w:tl2br w:val="nil"/>
                    <w:tr2bl w:val="nil"/>
                  </w:tcBorders>
                  <w:vAlign w:val="center"/>
                </w:tcPr>
                <w:p w14:paraId="7D730B7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委托有资质单位处置</w:t>
                  </w:r>
                </w:p>
              </w:tc>
            </w:tr>
            <w:tr w14:paraId="201EA2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63" w:type="pct"/>
                  <w:vMerge w:val="continue"/>
                  <w:tcBorders>
                    <w:tl2br w:val="nil"/>
                    <w:tr2bl w:val="nil"/>
                  </w:tcBorders>
                  <w:vAlign w:val="center"/>
                </w:tcPr>
                <w:p w14:paraId="4119ECD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bCs/>
                      <w:color w:val="auto"/>
                      <w:szCs w:val="21"/>
                      <w:highlight w:val="none"/>
                      <w:lang w:val="en-US" w:eastAsia="zh-CN"/>
                    </w:rPr>
                  </w:pPr>
                </w:p>
              </w:tc>
              <w:tc>
                <w:tcPr>
                  <w:tcW w:w="382" w:type="pct"/>
                  <w:tcBorders>
                    <w:tl2br w:val="nil"/>
                    <w:tr2bl w:val="nil"/>
                  </w:tcBorders>
                  <w:vAlign w:val="center"/>
                </w:tcPr>
                <w:p w14:paraId="054A0F9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S2</w:t>
                  </w:r>
                </w:p>
              </w:tc>
              <w:tc>
                <w:tcPr>
                  <w:tcW w:w="843" w:type="pct"/>
                  <w:tcBorders>
                    <w:tl2br w:val="nil"/>
                    <w:tr2bl w:val="nil"/>
                  </w:tcBorders>
                  <w:vAlign w:val="center"/>
                </w:tcPr>
                <w:p w14:paraId="610251B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废生物材料</w:t>
                  </w:r>
                </w:p>
              </w:tc>
              <w:tc>
                <w:tcPr>
                  <w:tcW w:w="885" w:type="pct"/>
                  <w:tcBorders>
                    <w:tl2br w:val="nil"/>
                    <w:tr2bl w:val="nil"/>
                  </w:tcBorders>
                  <w:vAlign w:val="center"/>
                </w:tcPr>
                <w:p w14:paraId="0C80E16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废细胞等</w:t>
                  </w:r>
                </w:p>
              </w:tc>
              <w:tc>
                <w:tcPr>
                  <w:tcW w:w="355" w:type="pct"/>
                  <w:tcBorders>
                    <w:tl2br w:val="nil"/>
                    <w:tr2bl w:val="nil"/>
                  </w:tcBorders>
                  <w:vAlign w:val="center"/>
                </w:tcPr>
                <w:p w14:paraId="756B262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间歇</w:t>
                  </w:r>
                </w:p>
              </w:tc>
              <w:tc>
                <w:tcPr>
                  <w:tcW w:w="2269" w:type="pct"/>
                  <w:tcBorders>
                    <w:tl2br w:val="nil"/>
                    <w:tr2bl w:val="nil"/>
                  </w:tcBorders>
                  <w:vAlign w:val="center"/>
                </w:tcPr>
                <w:p w14:paraId="0652EF7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委托有资质单位处置</w:t>
                  </w:r>
                </w:p>
              </w:tc>
            </w:tr>
            <w:tr w14:paraId="270D25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63" w:type="pct"/>
                  <w:vMerge w:val="continue"/>
                  <w:tcBorders>
                    <w:tl2br w:val="nil"/>
                    <w:tr2bl w:val="nil"/>
                  </w:tcBorders>
                  <w:vAlign w:val="center"/>
                </w:tcPr>
                <w:p w14:paraId="49170CF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bCs/>
                      <w:color w:val="auto"/>
                      <w:szCs w:val="21"/>
                      <w:highlight w:val="none"/>
                      <w:lang w:val="en-US" w:eastAsia="zh-CN"/>
                    </w:rPr>
                  </w:pPr>
                </w:p>
              </w:tc>
              <w:tc>
                <w:tcPr>
                  <w:tcW w:w="382" w:type="pct"/>
                  <w:tcBorders>
                    <w:tl2br w:val="nil"/>
                    <w:tr2bl w:val="nil"/>
                  </w:tcBorders>
                  <w:vAlign w:val="center"/>
                </w:tcPr>
                <w:p w14:paraId="5D3BFE9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S</w:t>
                  </w:r>
                  <w:r>
                    <w:rPr>
                      <w:rFonts w:hint="eastAsia"/>
                      <w:color w:val="auto"/>
                      <w:highlight w:val="none"/>
                      <w:lang w:val="en-US" w:eastAsia="zh-CN"/>
                    </w:rPr>
                    <w:t>3</w:t>
                  </w:r>
                </w:p>
              </w:tc>
              <w:tc>
                <w:tcPr>
                  <w:tcW w:w="843" w:type="pct"/>
                  <w:tcBorders>
                    <w:tl2br w:val="nil"/>
                    <w:tr2bl w:val="nil"/>
                  </w:tcBorders>
                  <w:vAlign w:val="center"/>
                </w:tcPr>
                <w:p w14:paraId="386EE3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bCs/>
                      <w:color w:val="auto"/>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废化学品包装</w:t>
                  </w:r>
                </w:p>
              </w:tc>
              <w:tc>
                <w:tcPr>
                  <w:tcW w:w="885" w:type="pct"/>
                  <w:tcBorders>
                    <w:tl2br w:val="nil"/>
                    <w:tr2bl w:val="nil"/>
                  </w:tcBorders>
                  <w:vAlign w:val="center"/>
                </w:tcPr>
                <w:p w14:paraId="76F91B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bCs/>
                      <w:color w:val="auto"/>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沾染化学品的废包装材料</w:t>
                  </w:r>
                </w:p>
              </w:tc>
              <w:tc>
                <w:tcPr>
                  <w:tcW w:w="355" w:type="pct"/>
                  <w:tcBorders>
                    <w:tl2br w:val="nil"/>
                    <w:tr2bl w:val="nil"/>
                  </w:tcBorders>
                  <w:vAlign w:val="center"/>
                </w:tcPr>
                <w:p w14:paraId="284AF52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间歇</w:t>
                  </w:r>
                </w:p>
              </w:tc>
              <w:tc>
                <w:tcPr>
                  <w:tcW w:w="2269" w:type="pct"/>
                  <w:tcBorders>
                    <w:tl2br w:val="nil"/>
                    <w:tr2bl w:val="nil"/>
                  </w:tcBorders>
                  <w:vAlign w:val="center"/>
                </w:tcPr>
                <w:p w14:paraId="276FDA7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委托有资质单位处置</w:t>
                  </w:r>
                </w:p>
              </w:tc>
            </w:tr>
            <w:tr w14:paraId="332D0E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63" w:type="pct"/>
                  <w:vMerge w:val="continue"/>
                  <w:tcBorders>
                    <w:tl2br w:val="nil"/>
                    <w:tr2bl w:val="nil"/>
                  </w:tcBorders>
                  <w:vAlign w:val="center"/>
                </w:tcPr>
                <w:p w14:paraId="6AE8AE6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bCs/>
                      <w:color w:val="auto"/>
                      <w:szCs w:val="21"/>
                      <w:highlight w:val="none"/>
                      <w:lang w:val="en-US" w:eastAsia="zh-CN"/>
                    </w:rPr>
                  </w:pPr>
                </w:p>
              </w:tc>
              <w:tc>
                <w:tcPr>
                  <w:tcW w:w="382" w:type="pct"/>
                  <w:tcBorders>
                    <w:tl2br w:val="nil"/>
                    <w:tr2bl w:val="nil"/>
                  </w:tcBorders>
                  <w:vAlign w:val="center"/>
                </w:tcPr>
                <w:p w14:paraId="4065C33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S</w:t>
                  </w:r>
                  <w:r>
                    <w:rPr>
                      <w:rFonts w:hint="eastAsia"/>
                      <w:color w:val="auto"/>
                      <w:highlight w:val="none"/>
                      <w:lang w:val="en-US" w:eastAsia="zh-CN"/>
                    </w:rPr>
                    <w:t>4</w:t>
                  </w:r>
                </w:p>
              </w:tc>
              <w:tc>
                <w:tcPr>
                  <w:tcW w:w="843" w:type="pct"/>
                  <w:tcBorders>
                    <w:tl2br w:val="nil"/>
                    <w:tr2bl w:val="nil"/>
                  </w:tcBorders>
                  <w:vAlign w:val="center"/>
                </w:tcPr>
                <w:p w14:paraId="18F0F2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bCs/>
                      <w:color w:val="auto"/>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废实验耗材</w:t>
                  </w:r>
                </w:p>
              </w:tc>
              <w:tc>
                <w:tcPr>
                  <w:tcW w:w="885" w:type="pct"/>
                  <w:tcBorders>
                    <w:tl2br w:val="nil"/>
                    <w:tr2bl w:val="nil"/>
                  </w:tcBorders>
                  <w:vAlign w:val="center"/>
                </w:tcPr>
                <w:p w14:paraId="0ED5AC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bCs/>
                      <w:color w:val="auto"/>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沾有化学试剂的一次性手套、实验</w:t>
                  </w:r>
                  <w:r>
                    <w:rPr>
                      <w:rFonts w:hint="default" w:ascii="Times New Roman" w:hAnsi="Times New Roman" w:eastAsia="宋体" w:cs="Times New Roman"/>
                      <w:i w:val="0"/>
                      <w:iCs w:val="0"/>
                      <w:color w:val="000000"/>
                      <w:kern w:val="0"/>
                      <w:sz w:val="21"/>
                      <w:szCs w:val="21"/>
                      <w:highlight w:val="none"/>
                      <w:u w:val="none"/>
                      <w:lang w:val="en-US" w:eastAsia="zh-CN" w:bidi="ar"/>
                    </w:rPr>
                    <w:t xml:space="preserve"> </w:t>
                  </w:r>
                  <w:r>
                    <w:rPr>
                      <w:rFonts w:hint="eastAsia" w:ascii="宋体" w:hAnsi="宋体" w:eastAsia="宋体" w:cs="宋体"/>
                      <w:i w:val="0"/>
                      <w:iCs w:val="0"/>
                      <w:color w:val="000000"/>
                      <w:kern w:val="0"/>
                      <w:sz w:val="21"/>
                      <w:szCs w:val="21"/>
                      <w:highlight w:val="none"/>
                      <w:u w:val="none"/>
                      <w:lang w:val="en-US" w:eastAsia="zh-CN" w:bidi="ar"/>
                    </w:rPr>
                    <w:t>器皿等</w:t>
                  </w:r>
                </w:p>
              </w:tc>
              <w:tc>
                <w:tcPr>
                  <w:tcW w:w="355" w:type="pct"/>
                  <w:tcBorders>
                    <w:tl2br w:val="nil"/>
                    <w:tr2bl w:val="nil"/>
                  </w:tcBorders>
                  <w:vAlign w:val="center"/>
                </w:tcPr>
                <w:p w14:paraId="03A8C34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间歇</w:t>
                  </w:r>
                </w:p>
              </w:tc>
              <w:tc>
                <w:tcPr>
                  <w:tcW w:w="2269" w:type="pct"/>
                  <w:tcBorders>
                    <w:tl2br w:val="nil"/>
                    <w:tr2bl w:val="nil"/>
                  </w:tcBorders>
                  <w:vAlign w:val="center"/>
                </w:tcPr>
                <w:p w14:paraId="2BF3FD5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委托有资质单位处置</w:t>
                  </w:r>
                </w:p>
              </w:tc>
            </w:tr>
            <w:tr w14:paraId="4CBB1A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63" w:type="pct"/>
                  <w:vMerge w:val="continue"/>
                  <w:tcBorders>
                    <w:tl2br w:val="nil"/>
                    <w:tr2bl w:val="nil"/>
                  </w:tcBorders>
                  <w:vAlign w:val="center"/>
                </w:tcPr>
                <w:p w14:paraId="694CD14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bCs/>
                      <w:color w:val="auto"/>
                      <w:szCs w:val="21"/>
                      <w:highlight w:val="none"/>
                      <w:lang w:val="en-US" w:eastAsia="zh-CN"/>
                    </w:rPr>
                  </w:pPr>
                </w:p>
              </w:tc>
              <w:tc>
                <w:tcPr>
                  <w:tcW w:w="382" w:type="pct"/>
                  <w:tcBorders>
                    <w:tl2br w:val="nil"/>
                    <w:tr2bl w:val="nil"/>
                  </w:tcBorders>
                  <w:vAlign w:val="center"/>
                </w:tcPr>
                <w:p w14:paraId="393CBB8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S5</w:t>
                  </w:r>
                </w:p>
              </w:tc>
              <w:tc>
                <w:tcPr>
                  <w:tcW w:w="843" w:type="pct"/>
                  <w:tcBorders>
                    <w:tl2br w:val="nil"/>
                    <w:tr2bl w:val="nil"/>
                  </w:tcBorders>
                  <w:vAlign w:val="center"/>
                </w:tcPr>
                <w:p w14:paraId="47BC9B5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生物安全柜废滤芯</w:t>
                  </w:r>
                </w:p>
              </w:tc>
              <w:tc>
                <w:tcPr>
                  <w:tcW w:w="885" w:type="pct"/>
                  <w:tcBorders>
                    <w:tl2br w:val="nil"/>
                    <w:tr2bl w:val="nil"/>
                  </w:tcBorders>
                  <w:vAlign w:val="center"/>
                </w:tcPr>
                <w:p w14:paraId="3119C5B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生物安全 柜过滤器 滤材</w:t>
                  </w:r>
                </w:p>
              </w:tc>
              <w:tc>
                <w:tcPr>
                  <w:tcW w:w="355" w:type="pct"/>
                  <w:tcBorders>
                    <w:tl2br w:val="nil"/>
                    <w:tr2bl w:val="nil"/>
                  </w:tcBorders>
                  <w:vAlign w:val="center"/>
                </w:tcPr>
                <w:p w14:paraId="12C0BF0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间歇</w:t>
                  </w:r>
                </w:p>
              </w:tc>
              <w:tc>
                <w:tcPr>
                  <w:tcW w:w="2269" w:type="pct"/>
                  <w:tcBorders>
                    <w:tl2br w:val="nil"/>
                    <w:tr2bl w:val="nil"/>
                  </w:tcBorders>
                  <w:vAlign w:val="center"/>
                </w:tcPr>
                <w:p w14:paraId="1B7F3F9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委托有资质单位处置</w:t>
                  </w:r>
                </w:p>
              </w:tc>
            </w:tr>
            <w:tr w14:paraId="71ED4C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63" w:type="pct"/>
                  <w:vMerge w:val="continue"/>
                  <w:tcBorders>
                    <w:tl2br w:val="nil"/>
                    <w:tr2bl w:val="nil"/>
                  </w:tcBorders>
                  <w:vAlign w:val="center"/>
                </w:tcPr>
                <w:p w14:paraId="21ADB72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bCs/>
                      <w:color w:val="auto"/>
                      <w:szCs w:val="21"/>
                      <w:highlight w:val="none"/>
                      <w:lang w:val="en-US" w:eastAsia="zh-CN"/>
                    </w:rPr>
                  </w:pPr>
                </w:p>
              </w:tc>
              <w:tc>
                <w:tcPr>
                  <w:tcW w:w="382" w:type="pct"/>
                  <w:tcBorders>
                    <w:tl2br w:val="nil"/>
                    <w:tr2bl w:val="nil"/>
                  </w:tcBorders>
                  <w:vAlign w:val="center"/>
                </w:tcPr>
                <w:p w14:paraId="6E5698A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S6</w:t>
                  </w:r>
                </w:p>
              </w:tc>
              <w:tc>
                <w:tcPr>
                  <w:tcW w:w="843" w:type="pct"/>
                  <w:tcBorders>
                    <w:tl2br w:val="nil"/>
                    <w:tr2bl w:val="nil"/>
                  </w:tcBorders>
                  <w:vAlign w:val="center"/>
                </w:tcPr>
                <w:p w14:paraId="7E4FBD8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bCs/>
                      <w:color w:val="auto"/>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纯水制备废滤芯</w:t>
                  </w:r>
                </w:p>
              </w:tc>
              <w:tc>
                <w:tcPr>
                  <w:tcW w:w="885" w:type="pct"/>
                  <w:tcBorders>
                    <w:tl2br w:val="nil"/>
                    <w:tr2bl w:val="nil"/>
                  </w:tcBorders>
                  <w:vAlign w:val="center"/>
                </w:tcPr>
                <w:p w14:paraId="62A24A1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bCs/>
                      <w:color w:val="auto"/>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纯水制备 废滤</w:t>
                  </w:r>
                </w:p>
              </w:tc>
              <w:tc>
                <w:tcPr>
                  <w:tcW w:w="355" w:type="pct"/>
                  <w:tcBorders>
                    <w:tl2br w:val="nil"/>
                    <w:tr2bl w:val="nil"/>
                  </w:tcBorders>
                  <w:vAlign w:val="center"/>
                </w:tcPr>
                <w:p w14:paraId="7B591F6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间歇</w:t>
                  </w:r>
                </w:p>
              </w:tc>
              <w:tc>
                <w:tcPr>
                  <w:tcW w:w="2269" w:type="pct"/>
                  <w:tcBorders>
                    <w:tl2br w:val="nil"/>
                    <w:tr2bl w:val="nil"/>
                  </w:tcBorders>
                  <w:vAlign w:val="center"/>
                </w:tcPr>
                <w:p w14:paraId="293AB6E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委托有资质单位处置</w:t>
                  </w:r>
                </w:p>
              </w:tc>
            </w:tr>
            <w:tr w14:paraId="2D5AD2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4" w:hRule="atLeast"/>
                <w:jc w:val="center"/>
              </w:trPr>
              <w:tc>
                <w:tcPr>
                  <w:tcW w:w="263" w:type="pct"/>
                  <w:vMerge w:val="continue"/>
                  <w:tcBorders>
                    <w:tl2br w:val="nil"/>
                    <w:tr2bl w:val="nil"/>
                  </w:tcBorders>
                  <w:vAlign w:val="center"/>
                </w:tcPr>
                <w:p w14:paraId="7FA873C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bCs/>
                      <w:color w:val="auto"/>
                      <w:szCs w:val="21"/>
                      <w:highlight w:val="none"/>
                      <w:lang w:val="en-US" w:eastAsia="zh-CN"/>
                    </w:rPr>
                  </w:pPr>
                </w:p>
              </w:tc>
              <w:tc>
                <w:tcPr>
                  <w:tcW w:w="382" w:type="pct"/>
                  <w:tcBorders>
                    <w:tl2br w:val="nil"/>
                    <w:tr2bl w:val="nil"/>
                  </w:tcBorders>
                  <w:vAlign w:val="center"/>
                </w:tcPr>
                <w:p w14:paraId="5C9DC12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S7</w:t>
                  </w:r>
                </w:p>
              </w:tc>
              <w:tc>
                <w:tcPr>
                  <w:tcW w:w="843" w:type="pct"/>
                  <w:tcBorders>
                    <w:tl2br w:val="nil"/>
                    <w:tr2bl w:val="nil"/>
                  </w:tcBorders>
                  <w:vAlign w:val="center"/>
                </w:tcPr>
                <w:p w14:paraId="0410C2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bCs/>
                      <w:color w:val="auto"/>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蛋白纯化废滤芯</w:t>
                  </w:r>
                </w:p>
              </w:tc>
              <w:tc>
                <w:tcPr>
                  <w:tcW w:w="885" w:type="pct"/>
                  <w:tcBorders>
                    <w:tl2br w:val="nil"/>
                    <w:tr2bl w:val="nil"/>
                  </w:tcBorders>
                  <w:vAlign w:val="center"/>
                </w:tcPr>
                <w:p w14:paraId="086E75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bCs/>
                      <w:color w:val="auto"/>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蛋白纯化过滤器材</w:t>
                  </w:r>
                </w:p>
              </w:tc>
              <w:tc>
                <w:tcPr>
                  <w:tcW w:w="355" w:type="pct"/>
                  <w:tcBorders>
                    <w:tl2br w:val="nil"/>
                    <w:tr2bl w:val="nil"/>
                  </w:tcBorders>
                  <w:vAlign w:val="center"/>
                </w:tcPr>
                <w:p w14:paraId="517B6F6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间歇</w:t>
                  </w:r>
                </w:p>
              </w:tc>
              <w:tc>
                <w:tcPr>
                  <w:tcW w:w="2269" w:type="pct"/>
                  <w:tcBorders>
                    <w:tl2br w:val="nil"/>
                    <w:tr2bl w:val="nil"/>
                  </w:tcBorders>
                  <w:vAlign w:val="center"/>
                </w:tcPr>
                <w:p w14:paraId="772A6E4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委托有资质单位处置</w:t>
                  </w:r>
                </w:p>
              </w:tc>
            </w:tr>
            <w:tr w14:paraId="316E43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63" w:type="pct"/>
                  <w:vMerge w:val="continue"/>
                  <w:tcBorders>
                    <w:tl2br w:val="nil"/>
                    <w:tr2bl w:val="nil"/>
                  </w:tcBorders>
                  <w:vAlign w:val="center"/>
                </w:tcPr>
                <w:p w14:paraId="281016D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bCs/>
                      <w:color w:val="auto"/>
                      <w:szCs w:val="21"/>
                      <w:highlight w:val="none"/>
                      <w:lang w:val="en-US" w:eastAsia="zh-CN"/>
                    </w:rPr>
                  </w:pPr>
                </w:p>
              </w:tc>
              <w:tc>
                <w:tcPr>
                  <w:tcW w:w="382" w:type="pct"/>
                  <w:tcBorders>
                    <w:tl2br w:val="nil"/>
                    <w:tr2bl w:val="nil"/>
                  </w:tcBorders>
                  <w:vAlign w:val="center"/>
                </w:tcPr>
                <w:p w14:paraId="3794472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olor w:val="auto"/>
                      <w:highlight w:val="none"/>
                      <w:lang w:val="en-US" w:eastAsia="zh-CN"/>
                    </w:rPr>
                  </w:pPr>
                  <w:r>
                    <w:rPr>
                      <w:rFonts w:hint="eastAsia"/>
                      <w:color w:val="auto"/>
                      <w:highlight w:val="none"/>
                      <w:lang w:val="en-US" w:eastAsia="zh-CN"/>
                    </w:rPr>
                    <w:t>S8</w:t>
                  </w:r>
                </w:p>
              </w:tc>
              <w:tc>
                <w:tcPr>
                  <w:tcW w:w="843" w:type="pct"/>
                  <w:tcBorders>
                    <w:tl2br w:val="nil"/>
                    <w:tr2bl w:val="nil"/>
                  </w:tcBorders>
                  <w:vAlign w:val="center"/>
                </w:tcPr>
                <w:p w14:paraId="08000D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bCs/>
                      <w:color w:val="auto"/>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废活性炭</w:t>
                  </w:r>
                </w:p>
              </w:tc>
              <w:tc>
                <w:tcPr>
                  <w:tcW w:w="885" w:type="pct"/>
                  <w:tcBorders>
                    <w:tl2br w:val="nil"/>
                    <w:tr2bl w:val="nil"/>
                  </w:tcBorders>
                  <w:vAlign w:val="center"/>
                </w:tcPr>
                <w:p w14:paraId="32A20F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bCs/>
                      <w:color w:val="auto"/>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活性炭</w:t>
                  </w:r>
                </w:p>
              </w:tc>
              <w:tc>
                <w:tcPr>
                  <w:tcW w:w="355" w:type="pct"/>
                  <w:tcBorders>
                    <w:tl2br w:val="nil"/>
                    <w:tr2bl w:val="nil"/>
                  </w:tcBorders>
                  <w:vAlign w:val="center"/>
                </w:tcPr>
                <w:p w14:paraId="279EA43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olor w:val="auto"/>
                      <w:highlight w:val="none"/>
                      <w:lang w:val="en-US" w:eastAsia="zh-CN"/>
                    </w:rPr>
                  </w:pPr>
                  <w:r>
                    <w:rPr>
                      <w:rFonts w:hint="eastAsia"/>
                      <w:color w:val="auto"/>
                      <w:highlight w:val="none"/>
                      <w:lang w:val="en-US" w:eastAsia="zh-CN"/>
                    </w:rPr>
                    <w:t>间歇</w:t>
                  </w:r>
                </w:p>
              </w:tc>
              <w:tc>
                <w:tcPr>
                  <w:tcW w:w="2269" w:type="pct"/>
                  <w:tcBorders>
                    <w:tl2br w:val="nil"/>
                    <w:tr2bl w:val="nil"/>
                  </w:tcBorders>
                  <w:vAlign w:val="center"/>
                </w:tcPr>
                <w:p w14:paraId="71517D3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委托有资质单位处置</w:t>
                  </w:r>
                </w:p>
              </w:tc>
            </w:tr>
            <w:tr w14:paraId="0F2BAC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63" w:type="pct"/>
                  <w:vMerge w:val="continue"/>
                  <w:tcBorders>
                    <w:tl2br w:val="nil"/>
                    <w:tr2bl w:val="nil"/>
                  </w:tcBorders>
                  <w:vAlign w:val="center"/>
                </w:tcPr>
                <w:p w14:paraId="2A59842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bCs/>
                      <w:color w:val="auto"/>
                      <w:szCs w:val="21"/>
                      <w:highlight w:val="none"/>
                      <w:lang w:val="en-US" w:eastAsia="zh-CN"/>
                    </w:rPr>
                  </w:pPr>
                </w:p>
              </w:tc>
              <w:tc>
                <w:tcPr>
                  <w:tcW w:w="382" w:type="pct"/>
                  <w:tcBorders>
                    <w:tl2br w:val="nil"/>
                    <w:tr2bl w:val="nil"/>
                  </w:tcBorders>
                  <w:vAlign w:val="center"/>
                </w:tcPr>
                <w:p w14:paraId="081193B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olor w:val="auto"/>
                      <w:highlight w:val="none"/>
                      <w:lang w:val="en-US" w:eastAsia="zh-CN"/>
                    </w:rPr>
                  </w:pPr>
                  <w:r>
                    <w:rPr>
                      <w:rFonts w:hint="eastAsia"/>
                      <w:color w:val="auto"/>
                      <w:highlight w:val="none"/>
                      <w:lang w:val="en-US" w:eastAsia="zh-CN"/>
                    </w:rPr>
                    <w:t>S9</w:t>
                  </w:r>
                </w:p>
              </w:tc>
              <w:tc>
                <w:tcPr>
                  <w:tcW w:w="843" w:type="pct"/>
                  <w:tcBorders>
                    <w:tl2br w:val="nil"/>
                    <w:tr2bl w:val="nil"/>
                  </w:tcBorders>
                  <w:vAlign w:val="center"/>
                </w:tcPr>
                <w:p w14:paraId="418585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bCs/>
                      <w:color w:val="auto"/>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生活垃圾</w:t>
                  </w:r>
                </w:p>
              </w:tc>
              <w:tc>
                <w:tcPr>
                  <w:tcW w:w="885" w:type="pct"/>
                  <w:tcBorders>
                    <w:tl2br w:val="nil"/>
                    <w:tr2bl w:val="nil"/>
                  </w:tcBorders>
                  <w:vAlign w:val="center"/>
                </w:tcPr>
                <w:p w14:paraId="15E1C9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bCs/>
                      <w:color w:val="auto"/>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果皮、纸屑</w:t>
                  </w:r>
                </w:p>
              </w:tc>
              <w:tc>
                <w:tcPr>
                  <w:tcW w:w="355" w:type="pct"/>
                  <w:tcBorders>
                    <w:tl2br w:val="nil"/>
                    <w:tr2bl w:val="nil"/>
                  </w:tcBorders>
                  <w:vAlign w:val="center"/>
                </w:tcPr>
                <w:p w14:paraId="0C35C7E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olor w:val="auto"/>
                      <w:highlight w:val="none"/>
                      <w:lang w:val="en-US" w:eastAsia="zh-CN"/>
                    </w:rPr>
                  </w:pPr>
                  <w:r>
                    <w:rPr>
                      <w:rFonts w:hint="eastAsia"/>
                      <w:color w:val="auto"/>
                      <w:highlight w:val="none"/>
                      <w:lang w:val="en-US" w:eastAsia="zh-CN"/>
                    </w:rPr>
                    <w:t>间歇</w:t>
                  </w:r>
                </w:p>
              </w:tc>
              <w:tc>
                <w:tcPr>
                  <w:tcW w:w="2269" w:type="pct"/>
                  <w:tcBorders>
                    <w:tl2br w:val="nil"/>
                    <w:tr2bl w:val="nil"/>
                  </w:tcBorders>
                  <w:vAlign w:val="center"/>
                </w:tcPr>
                <w:p w14:paraId="099A25E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委托有资质单位处置</w:t>
                  </w:r>
                </w:p>
              </w:tc>
            </w:tr>
          </w:tbl>
          <w:p w14:paraId="1D598C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Times New Roman" w:hAnsi="Times New Roman" w:eastAsia="宋体"/>
                <w:b/>
                <w:bCs/>
                <w:color w:val="auto"/>
                <w:sz w:val="24"/>
                <w:szCs w:val="24"/>
                <w:highlight w:val="none"/>
                <w:shd w:val="clear" w:color="auto" w:fill="auto"/>
              </w:rPr>
            </w:pPr>
            <w:r>
              <w:rPr>
                <w:rFonts w:hint="eastAsia" w:ascii="Times New Roman" w:hAnsi="Times New Roman" w:eastAsia="宋体"/>
                <w:b/>
                <w:bCs/>
                <w:color w:val="auto"/>
                <w:sz w:val="24"/>
                <w:szCs w:val="24"/>
                <w:highlight w:val="none"/>
                <w:shd w:val="clear" w:color="auto" w:fill="auto"/>
                <w:lang w:val="en-US" w:eastAsia="zh-CN"/>
              </w:rPr>
              <w:t>3、</w:t>
            </w:r>
            <w:r>
              <w:rPr>
                <w:rFonts w:hint="eastAsia" w:ascii="Times New Roman" w:hAnsi="Times New Roman" w:eastAsia="宋体"/>
                <w:b/>
                <w:bCs/>
                <w:color w:val="auto"/>
                <w:sz w:val="24"/>
                <w:szCs w:val="24"/>
                <w:highlight w:val="none"/>
                <w:shd w:val="clear" w:color="auto" w:fill="auto"/>
                <w:lang w:eastAsia="zh-CN"/>
              </w:rPr>
              <w:t>本项目</w:t>
            </w:r>
            <w:r>
              <w:rPr>
                <w:rFonts w:hint="eastAsia" w:ascii="Times New Roman" w:hAnsi="Times New Roman" w:eastAsia="宋体"/>
                <w:b/>
                <w:bCs/>
                <w:color w:val="auto"/>
                <w:sz w:val="24"/>
                <w:szCs w:val="24"/>
                <w:highlight w:val="none"/>
                <w:shd w:val="clear" w:color="auto" w:fill="auto"/>
              </w:rPr>
              <w:t>租赁厂房概况及租赁依托情况</w:t>
            </w:r>
          </w:p>
          <w:p w14:paraId="5E7560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olor w:val="auto"/>
                <w:sz w:val="24"/>
                <w:szCs w:val="24"/>
                <w:highlight w:val="none"/>
                <w:shd w:val="clear" w:color="auto" w:fill="auto"/>
              </w:rPr>
            </w:pPr>
            <w:r>
              <w:rPr>
                <w:rFonts w:hint="eastAsia" w:ascii="Times New Roman" w:hAnsi="Times New Roman" w:eastAsia="宋体"/>
                <w:color w:val="auto"/>
                <w:sz w:val="24"/>
                <w:szCs w:val="24"/>
                <w:highlight w:val="none"/>
                <w:shd w:val="clear" w:color="auto" w:fill="auto"/>
                <w:lang w:val="en-US" w:eastAsia="zh-CN"/>
              </w:rPr>
              <w:t>（1）</w:t>
            </w:r>
            <w:r>
              <w:rPr>
                <w:rFonts w:hint="eastAsia" w:ascii="Times New Roman" w:hAnsi="Times New Roman" w:eastAsia="宋体"/>
                <w:color w:val="auto"/>
                <w:sz w:val="24"/>
                <w:szCs w:val="24"/>
                <w:highlight w:val="none"/>
                <w:shd w:val="clear" w:color="auto" w:fill="auto"/>
              </w:rPr>
              <w:t>租赁厂房基本情况</w:t>
            </w:r>
          </w:p>
          <w:p w14:paraId="3A1E36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olor w:val="auto"/>
                <w:sz w:val="24"/>
                <w:szCs w:val="24"/>
                <w:highlight w:val="none"/>
                <w:shd w:val="clear" w:color="auto" w:fill="auto"/>
              </w:rPr>
            </w:pPr>
            <w:r>
              <w:rPr>
                <w:rFonts w:hint="eastAsia" w:ascii="Times New Roman" w:hAnsi="Times New Roman" w:eastAsia="宋体"/>
                <w:color w:val="auto"/>
                <w:sz w:val="24"/>
                <w:szCs w:val="24"/>
                <w:highlight w:val="none"/>
                <w:shd w:val="clear" w:color="auto" w:fill="auto"/>
                <w:lang w:val="en-US" w:eastAsia="zh-CN"/>
              </w:rPr>
              <w:t>本项目租赁</w:t>
            </w:r>
            <w:r>
              <w:rPr>
                <w:rFonts w:hint="eastAsia"/>
                <w:color w:val="auto"/>
                <w:sz w:val="24"/>
                <w:szCs w:val="24"/>
                <w:highlight w:val="none"/>
                <w:shd w:val="clear" w:color="auto" w:fill="auto"/>
                <w:lang w:val="en-US" w:eastAsia="zh-CN"/>
              </w:rPr>
              <w:t>无锡生命科学产业发展有限公司</w:t>
            </w:r>
            <w:r>
              <w:rPr>
                <w:rFonts w:hint="eastAsia" w:ascii="Times New Roman" w:hAnsi="Times New Roman" w:eastAsia="宋体"/>
                <w:color w:val="auto"/>
                <w:sz w:val="24"/>
                <w:szCs w:val="24"/>
                <w:highlight w:val="none"/>
                <w:shd w:val="clear" w:color="auto" w:fill="auto"/>
                <w:lang w:val="en-US" w:eastAsia="zh-CN"/>
              </w:rPr>
              <w:t>位于F栋2层的厂房展开建设</w:t>
            </w:r>
            <w:r>
              <w:rPr>
                <w:rFonts w:hint="eastAsia" w:ascii="Times New Roman" w:hAnsi="Times New Roman" w:eastAsia="宋体"/>
                <w:color w:val="auto"/>
                <w:sz w:val="24"/>
                <w:szCs w:val="24"/>
                <w:highlight w:val="none"/>
                <w:shd w:val="clear" w:color="auto" w:fill="auto"/>
              </w:rPr>
              <w:t>。目前厂房已经建设完成，雨污水管网及排放口也已铺设完成。本项目依托</w:t>
            </w:r>
            <w:r>
              <w:rPr>
                <w:rFonts w:hint="eastAsia"/>
                <w:color w:val="auto"/>
                <w:sz w:val="24"/>
                <w:szCs w:val="24"/>
                <w:highlight w:val="none"/>
                <w:shd w:val="clear" w:color="auto" w:fill="auto"/>
                <w:lang w:val="en-US" w:eastAsia="zh-CN"/>
              </w:rPr>
              <w:t>无锡生命科学产业发展有限公司</w:t>
            </w:r>
            <w:r>
              <w:rPr>
                <w:rFonts w:hint="eastAsia" w:ascii="Times New Roman" w:hAnsi="Times New Roman" w:eastAsia="宋体"/>
                <w:color w:val="auto"/>
                <w:sz w:val="24"/>
                <w:highlight w:val="none"/>
                <w:shd w:val="clear" w:color="auto" w:fill="auto"/>
                <w:lang w:val="en-US" w:eastAsia="zh-CN"/>
              </w:rPr>
              <w:t>已</w:t>
            </w:r>
            <w:r>
              <w:rPr>
                <w:rFonts w:hint="eastAsia" w:ascii="Times New Roman" w:hAnsi="Times New Roman" w:eastAsia="宋体"/>
                <w:color w:val="auto"/>
                <w:sz w:val="24"/>
                <w:szCs w:val="24"/>
                <w:highlight w:val="none"/>
                <w:shd w:val="clear" w:color="auto" w:fill="auto"/>
              </w:rPr>
              <w:t>建设的雨污水管网及排口。</w:t>
            </w:r>
          </w:p>
          <w:p w14:paraId="7CC780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olor w:val="auto"/>
                <w:sz w:val="24"/>
                <w:szCs w:val="24"/>
                <w:highlight w:val="none"/>
                <w:shd w:val="clear" w:color="auto" w:fill="auto"/>
                <w:lang w:val="en-US" w:eastAsia="zh-CN"/>
              </w:rPr>
            </w:pPr>
            <w:r>
              <w:rPr>
                <w:rFonts w:hint="eastAsia" w:ascii="Times New Roman" w:hAnsi="Times New Roman" w:eastAsia="宋体"/>
                <w:color w:val="auto"/>
                <w:sz w:val="24"/>
                <w:szCs w:val="24"/>
                <w:highlight w:val="none"/>
                <w:shd w:val="clear" w:color="auto" w:fill="auto"/>
                <w:lang w:val="en-US" w:eastAsia="zh-CN"/>
              </w:rPr>
              <w:t>（2）公用及辅助工程依托情况</w:t>
            </w:r>
          </w:p>
          <w:p w14:paraId="3EEB29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olor w:val="auto"/>
                <w:sz w:val="24"/>
                <w:szCs w:val="24"/>
                <w:highlight w:val="none"/>
                <w:shd w:val="clear" w:color="auto" w:fill="auto"/>
              </w:rPr>
            </w:pPr>
            <w:r>
              <w:rPr>
                <w:rFonts w:hint="eastAsia" w:ascii="Times New Roman" w:hAnsi="Times New Roman" w:eastAsia="宋体"/>
                <w:color w:val="auto"/>
                <w:sz w:val="24"/>
                <w:szCs w:val="24"/>
                <w:highlight w:val="none"/>
                <w:shd w:val="clear" w:color="auto" w:fill="auto"/>
                <w:lang w:val="en-US" w:eastAsia="zh-CN"/>
              </w:rPr>
              <w:t>①</w:t>
            </w:r>
            <w:r>
              <w:rPr>
                <w:rFonts w:hint="eastAsia" w:ascii="Times New Roman" w:hAnsi="Times New Roman" w:eastAsia="宋体"/>
                <w:color w:val="auto"/>
                <w:sz w:val="24"/>
                <w:szCs w:val="24"/>
                <w:highlight w:val="none"/>
                <w:shd w:val="clear" w:color="auto" w:fill="auto"/>
              </w:rPr>
              <w:t>供电：本项目利用</w:t>
            </w:r>
            <w:r>
              <w:rPr>
                <w:rFonts w:hint="eastAsia"/>
                <w:color w:val="auto"/>
                <w:sz w:val="24"/>
                <w:szCs w:val="24"/>
                <w:highlight w:val="none"/>
                <w:shd w:val="clear" w:color="auto" w:fill="auto"/>
                <w:lang w:val="en-US" w:eastAsia="zh-CN"/>
              </w:rPr>
              <w:t>无锡生命科学产业发展有限公司</w:t>
            </w:r>
            <w:r>
              <w:rPr>
                <w:rFonts w:hint="eastAsia" w:ascii="Times New Roman" w:hAnsi="Times New Roman" w:eastAsia="宋体"/>
                <w:color w:val="auto"/>
                <w:sz w:val="24"/>
                <w:szCs w:val="24"/>
                <w:highlight w:val="none"/>
                <w:shd w:val="clear" w:color="auto" w:fill="auto"/>
              </w:rPr>
              <w:t>现有供电、配电系统，现有供配电系统可满足本项目用电需求，不改变现有供配电系统。</w:t>
            </w:r>
          </w:p>
          <w:p w14:paraId="10B40E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olor w:val="auto"/>
                <w:sz w:val="24"/>
                <w:szCs w:val="24"/>
                <w:highlight w:val="none"/>
                <w:shd w:val="clear" w:color="auto" w:fill="auto"/>
              </w:rPr>
            </w:pPr>
            <w:r>
              <w:rPr>
                <w:rFonts w:hint="eastAsia" w:ascii="Times New Roman" w:hAnsi="Times New Roman" w:eastAsia="宋体"/>
                <w:color w:val="auto"/>
                <w:sz w:val="24"/>
                <w:szCs w:val="24"/>
                <w:highlight w:val="none"/>
                <w:shd w:val="clear" w:color="auto" w:fill="auto"/>
                <w:lang w:val="en-US" w:eastAsia="zh-CN"/>
              </w:rPr>
              <w:t>②</w:t>
            </w:r>
            <w:r>
              <w:rPr>
                <w:rFonts w:hint="eastAsia" w:ascii="Times New Roman" w:hAnsi="Times New Roman" w:eastAsia="宋体"/>
                <w:color w:val="auto"/>
                <w:sz w:val="24"/>
                <w:szCs w:val="24"/>
                <w:highlight w:val="none"/>
                <w:shd w:val="clear" w:color="auto" w:fill="auto"/>
              </w:rPr>
              <w:t>给水：本项目利用</w:t>
            </w:r>
            <w:r>
              <w:rPr>
                <w:rFonts w:hint="eastAsia"/>
                <w:color w:val="auto"/>
                <w:sz w:val="24"/>
                <w:szCs w:val="24"/>
                <w:highlight w:val="none"/>
                <w:shd w:val="clear" w:color="auto" w:fill="auto"/>
                <w:lang w:val="en-US" w:eastAsia="zh-CN"/>
              </w:rPr>
              <w:t>无锡生命科学产业发展有限公司</w:t>
            </w:r>
            <w:r>
              <w:rPr>
                <w:rFonts w:hint="eastAsia" w:ascii="Times New Roman" w:hAnsi="Times New Roman" w:eastAsia="宋体"/>
                <w:color w:val="auto"/>
                <w:sz w:val="24"/>
                <w:szCs w:val="24"/>
                <w:highlight w:val="none"/>
                <w:shd w:val="clear" w:color="auto" w:fill="auto"/>
              </w:rPr>
              <w:t>现有给水系统。本项目全年新鲜用水量</w:t>
            </w:r>
            <w:r>
              <w:rPr>
                <w:rFonts w:hint="eastAsia"/>
                <w:color w:val="FF0000"/>
                <w:sz w:val="24"/>
                <w:szCs w:val="24"/>
                <w:highlight w:val="none"/>
                <w:shd w:val="clear" w:color="auto" w:fill="auto"/>
                <w:lang w:val="en-US" w:eastAsia="zh-CN"/>
              </w:rPr>
              <w:t>391.55</w:t>
            </w:r>
            <w:r>
              <w:rPr>
                <w:rFonts w:hint="eastAsia" w:ascii="Times New Roman" w:hAnsi="Times New Roman" w:eastAsia="宋体"/>
                <w:color w:val="FF0000"/>
                <w:sz w:val="24"/>
                <w:szCs w:val="24"/>
                <w:highlight w:val="none"/>
                <w:shd w:val="clear" w:color="auto" w:fill="auto"/>
              </w:rPr>
              <w:t>吨，</w:t>
            </w:r>
            <w:r>
              <w:rPr>
                <w:rFonts w:hint="eastAsia" w:ascii="Times New Roman" w:hAnsi="Times New Roman" w:eastAsia="宋体"/>
                <w:color w:val="auto"/>
                <w:sz w:val="24"/>
                <w:szCs w:val="24"/>
                <w:highlight w:val="none"/>
                <w:shd w:val="clear" w:color="auto" w:fill="auto"/>
                <w:lang w:eastAsia="zh-CN"/>
              </w:rPr>
              <w:t>园</w:t>
            </w:r>
            <w:r>
              <w:rPr>
                <w:rFonts w:hint="eastAsia" w:ascii="Times New Roman" w:hAnsi="Times New Roman" w:eastAsia="宋体"/>
                <w:color w:val="auto"/>
                <w:sz w:val="24"/>
                <w:szCs w:val="24"/>
                <w:highlight w:val="none"/>
                <w:shd w:val="clear" w:color="auto" w:fill="auto"/>
              </w:rPr>
              <w:t>区内现有供水系统可满足本项目用水需求。</w:t>
            </w:r>
          </w:p>
          <w:p w14:paraId="5E1E48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olor w:val="auto"/>
                <w:sz w:val="24"/>
                <w:szCs w:val="24"/>
                <w:highlight w:val="none"/>
                <w:shd w:val="clear" w:color="auto" w:fill="auto"/>
                <w:lang w:val="en-US" w:eastAsia="zh-CN"/>
              </w:rPr>
            </w:pPr>
            <w:r>
              <w:rPr>
                <w:rFonts w:hint="eastAsia" w:ascii="Times New Roman" w:hAnsi="Times New Roman" w:eastAsia="宋体"/>
                <w:color w:val="auto"/>
                <w:sz w:val="24"/>
                <w:szCs w:val="24"/>
                <w:highlight w:val="none"/>
                <w:shd w:val="clear" w:color="auto" w:fill="auto"/>
                <w:lang w:val="en-US" w:eastAsia="zh-CN"/>
              </w:rPr>
              <w:t>（3）环保工程依托情况</w:t>
            </w:r>
          </w:p>
          <w:p w14:paraId="48ABEA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olor w:val="auto"/>
                <w:sz w:val="24"/>
                <w:szCs w:val="24"/>
                <w:highlight w:val="none"/>
                <w:shd w:val="clear" w:color="auto" w:fill="auto"/>
              </w:rPr>
            </w:pPr>
            <w:r>
              <w:rPr>
                <w:rFonts w:hint="eastAsia" w:ascii="Times New Roman" w:hAnsi="Times New Roman" w:eastAsia="宋体"/>
                <w:color w:val="auto"/>
                <w:sz w:val="24"/>
                <w:szCs w:val="24"/>
                <w:highlight w:val="none"/>
                <w:shd w:val="clear" w:color="auto" w:fill="auto"/>
              </w:rPr>
              <w:t>雨、污水管网及排放口：</w:t>
            </w:r>
            <w:r>
              <w:rPr>
                <w:rFonts w:hint="eastAsia"/>
                <w:color w:val="auto"/>
                <w:sz w:val="24"/>
                <w:szCs w:val="24"/>
                <w:highlight w:val="none"/>
                <w:shd w:val="clear" w:color="auto" w:fill="auto"/>
                <w:lang w:val="en-US" w:eastAsia="zh-CN"/>
              </w:rPr>
              <w:t>无锡生命科学产业发展有限公司</w:t>
            </w:r>
            <w:r>
              <w:rPr>
                <w:rFonts w:hint="eastAsia" w:ascii="Times New Roman" w:hAnsi="Times New Roman" w:eastAsia="宋体"/>
                <w:color w:val="auto"/>
                <w:sz w:val="24"/>
                <w:szCs w:val="24"/>
                <w:highlight w:val="none"/>
                <w:shd w:val="clear" w:color="auto" w:fill="auto"/>
              </w:rPr>
              <w:t>已按雨污水分流原则建设管网，且雨污分流管网已覆盖整个</w:t>
            </w:r>
            <w:r>
              <w:rPr>
                <w:rFonts w:hint="eastAsia" w:ascii="Times New Roman" w:hAnsi="Times New Roman" w:eastAsia="宋体"/>
                <w:color w:val="auto"/>
                <w:sz w:val="24"/>
                <w:szCs w:val="24"/>
                <w:highlight w:val="none"/>
                <w:shd w:val="clear" w:color="auto" w:fill="auto"/>
                <w:lang w:val="en-US" w:eastAsia="zh-CN"/>
              </w:rPr>
              <w:t>园区。</w:t>
            </w:r>
          </w:p>
          <w:p w14:paraId="30C2E7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olor w:val="auto"/>
                <w:sz w:val="24"/>
                <w:szCs w:val="24"/>
                <w:highlight w:val="none"/>
                <w:shd w:val="clear" w:color="auto" w:fill="auto"/>
              </w:rPr>
            </w:pPr>
            <w:r>
              <w:rPr>
                <w:rFonts w:hint="eastAsia" w:ascii="Times New Roman" w:hAnsi="Times New Roman" w:eastAsia="宋体"/>
                <w:color w:val="auto"/>
                <w:sz w:val="24"/>
                <w:szCs w:val="24"/>
                <w:highlight w:val="none"/>
                <w:shd w:val="clear" w:color="auto" w:fill="auto"/>
              </w:rPr>
              <w:t>本项目</w:t>
            </w:r>
            <w:r>
              <w:rPr>
                <w:rFonts w:hint="eastAsia"/>
                <w:color w:val="auto"/>
                <w:sz w:val="24"/>
                <w:szCs w:val="24"/>
                <w:highlight w:val="none"/>
                <w:shd w:val="clear" w:color="auto" w:fill="auto"/>
                <w:lang w:val="en-US" w:eastAsia="zh-CN"/>
              </w:rPr>
              <w:t>纯水制备浓水、水浴锅排水和经过化粪池处理后的员工生活污水、淋浴废水</w:t>
            </w:r>
            <w:r>
              <w:rPr>
                <w:rFonts w:hint="eastAsia" w:ascii="Times New Roman" w:hAnsi="Times New Roman" w:eastAsia="宋体"/>
                <w:color w:val="auto"/>
                <w:sz w:val="24"/>
                <w:szCs w:val="24"/>
                <w:highlight w:val="none"/>
                <w:shd w:val="clear" w:color="auto" w:fill="auto"/>
              </w:rPr>
              <w:t>经</w:t>
            </w:r>
            <w:r>
              <w:rPr>
                <w:rFonts w:hint="eastAsia"/>
                <w:color w:val="auto"/>
                <w:sz w:val="24"/>
                <w:szCs w:val="24"/>
                <w:highlight w:val="none"/>
                <w:shd w:val="clear" w:color="auto" w:fill="auto"/>
                <w:lang w:val="en-US" w:eastAsia="zh-CN"/>
              </w:rPr>
              <w:t>无锡生命科学产业发展有限公司已建成的</w:t>
            </w:r>
            <w:r>
              <w:rPr>
                <w:rFonts w:hint="eastAsia" w:ascii="Times New Roman" w:hAnsi="Times New Roman" w:eastAsia="宋体"/>
                <w:color w:val="auto"/>
                <w:sz w:val="24"/>
                <w:szCs w:val="24"/>
                <w:highlight w:val="none"/>
                <w:shd w:val="clear" w:color="auto" w:fill="auto"/>
              </w:rPr>
              <w:t>污水管网接入</w:t>
            </w:r>
            <w:r>
              <w:rPr>
                <w:rFonts w:hint="eastAsia" w:ascii="Times New Roman" w:hAnsi="Times New Roman" w:eastAsia="宋体"/>
                <w:sz w:val="24"/>
                <w:lang w:eastAsia="zh-CN"/>
              </w:rPr>
              <w:t>太湖新城污水处理厂</w:t>
            </w:r>
            <w:r>
              <w:rPr>
                <w:rFonts w:hint="eastAsia" w:ascii="Times New Roman" w:hAnsi="Times New Roman" w:eastAsia="宋体"/>
                <w:sz w:val="24"/>
              </w:rPr>
              <w:t>集中处理</w:t>
            </w:r>
            <w:r>
              <w:rPr>
                <w:rFonts w:hint="eastAsia" w:ascii="Times New Roman" w:hAnsi="Times New Roman" w:eastAsia="宋体"/>
                <w:color w:val="auto"/>
                <w:sz w:val="24"/>
                <w:szCs w:val="24"/>
                <w:highlight w:val="none"/>
                <w:shd w:val="clear" w:color="auto" w:fill="auto"/>
              </w:rPr>
              <w:t>，不单独自建雨、污水管网和排污口，均依托</w:t>
            </w:r>
            <w:r>
              <w:rPr>
                <w:rFonts w:hint="eastAsia"/>
                <w:color w:val="auto"/>
                <w:sz w:val="24"/>
                <w:szCs w:val="24"/>
                <w:highlight w:val="none"/>
                <w:shd w:val="clear" w:color="auto" w:fill="auto"/>
                <w:lang w:val="en-US" w:eastAsia="zh-CN"/>
              </w:rPr>
              <w:t>无锡生命科学产业发展有限公司</w:t>
            </w:r>
            <w:r>
              <w:rPr>
                <w:rFonts w:hint="eastAsia" w:ascii="Times New Roman" w:hAnsi="Times New Roman" w:eastAsia="宋体"/>
                <w:color w:val="auto"/>
                <w:sz w:val="24"/>
                <w:szCs w:val="24"/>
                <w:highlight w:val="none"/>
                <w:shd w:val="clear" w:color="auto" w:fill="auto"/>
              </w:rPr>
              <w:t>现有排污</w:t>
            </w:r>
            <w:r>
              <w:rPr>
                <w:rFonts w:hint="eastAsia" w:ascii="Times New Roman" w:hAnsi="Times New Roman" w:eastAsia="宋体"/>
                <w:color w:val="auto"/>
                <w:sz w:val="24"/>
                <w:szCs w:val="24"/>
                <w:highlight w:val="none"/>
                <w:shd w:val="clear" w:color="auto" w:fill="auto"/>
                <w:lang w:val="en-US" w:eastAsia="zh-CN"/>
              </w:rPr>
              <w:t>口</w:t>
            </w:r>
            <w:r>
              <w:rPr>
                <w:rFonts w:hint="eastAsia" w:ascii="Times New Roman" w:hAnsi="Times New Roman" w:eastAsia="宋体"/>
                <w:color w:val="auto"/>
                <w:sz w:val="24"/>
                <w:szCs w:val="24"/>
                <w:highlight w:val="none"/>
                <w:shd w:val="clear" w:color="auto" w:fill="auto"/>
              </w:rPr>
              <w:t>。</w:t>
            </w:r>
          </w:p>
          <w:p w14:paraId="56DE2E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olor w:val="auto"/>
                <w:sz w:val="24"/>
                <w:szCs w:val="24"/>
                <w:highlight w:val="none"/>
                <w:shd w:val="clear" w:color="auto" w:fill="auto"/>
                <w:lang w:eastAsia="zh-CN"/>
              </w:rPr>
            </w:pPr>
            <w:r>
              <w:rPr>
                <w:rFonts w:hint="eastAsia" w:ascii="Times New Roman" w:hAnsi="Times New Roman" w:eastAsia="宋体"/>
                <w:color w:val="auto"/>
                <w:sz w:val="24"/>
                <w:szCs w:val="24"/>
                <w:highlight w:val="none"/>
                <w:shd w:val="clear" w:color="auto" w:fill="auto"/>
                <w:lang w:val="en-US" w:eastAsia="zh-CN"/>
              </w:rPr>
              <w:t>无锡奕拓医药科技有限责任公司</w:t>
            </w:r>
            <w:r>
              <w:rPr>
                <w:rFonts w:hint="eastAsia" w:ascii="Times New Roman" w:hAnsi="Times New Roman" w:eastAsia="宋体"/>
                <w:color w:val="auto"/>
                <w:sz w:val="24"/>
                <w:szCs w:val="24"/>
                <w:highlight w:val="none"/>
                <w:shd w:val="clear" w:color="auto" w:fill="auto"/>
              </w:rPr>
              <w:t>为本项目废水排放情况的环境责任主体，为本项目突发环境事件的环保责任主体</w:t>
            </w:r>
            <w:r>
              <w:rPr>
                <w:rFonts w:hint="eastAsia" w:ascii="Times New Roman" w:hAnsi="Times New Roman" w:eastAsia="宋体"/>
                <w:color w:val="auto"/>
                <w:sz w:val="24"/>
                <w:szCs w:val="24"/>
                <w:highlight w:val="none"/>
                <w:shd w:val="clear" w:color="auto" w:fill="auto"/>
                <w:lang w:eastAsia="zh-CN"/>
              </w:rPr>
              <w:t>，</w:t>
            </w:r>
            <w:r>
              <w:rPr>
                <w:rFonts w:hint="eastAsia" w:ascii="Times New Roman" w:hAnsi="Times New Roman" w:eastAsia="宋体"/>
                <w:color w:val="auto"/>
                <w:sz w:val="24"/>
                <w:szCs w:val="24"/>
                <w:highlight w:val="none"/>
                <w:shd w:val="clear" w:color="auto" w:fill="auto"/>
              </w:rPr>
              <w:t>应做好定期监测和管理</w:t>
            </w:r>
            <w:r>
              <w:rPr>
                <w:rFonts w:hint="eastAsia" w:ascii="Times New Roman" w:hAnsi="Times New Roman" w:eastAsia="宋体"/>
                <w:color w:val="auto"/>
                <w:sz w:val="24"/>
                <w:szCs w:val="24"/>
                <w:highlight w:val="none"/>
                <w:shd w:val="clear" w:color="auto" w:fill="auto"/>
                <w:lang w:eastAsia="zh-CN"/>
              </w:rPr>
              <w:t>。</w:t>
            </w:r>
          </w:p>
          <w:p w14:paraId="212253DF">
            <w:pPr>
              <w:pStyle w:val="13"/>
              <w:keepNext w:val="0"/>
              <w:keepLines w:val="0"/>
              <w:numPr>
                <w:ilvl w:val="0"/>
                <w:numId w:val="0"/>
              </w:numPr>
              <w:suppressLineNumbers w:val="0"/>
              <w:tabs>
                <w:tab w:val="clear" w:pos="2040"/>
              </w:tabs>
              <w:spacing w:before="0" w:beforeAutospacing="0" w:after="0" w:afterAutospacing="0"/>
              <w:ind w:left="0" w:right="0"/>
              <w:rPr>
                <w:rFonts w:hint="default" w:ascii="Times New Roman" w:hAnsi="Times New Roman" w:eastAsia="宋体"/>
                <w:color w:val="auto"/>
                <w:vertAlign w:val="baseline"/>
              </w:rPr>
            </w:pPr>
          </w:p>
        </w:tc>
      </w:tr>
    </w:tbl>
    <w:p w14:paraId="7ED887FB">
      <w:pPr>
        <w:pStyle w:val="13"/>
        <w:numPr>
          <w:ilvl w:val="0"/>
          <w:numId w:val="0"/>
        </w:numPr>
        <w:tabs>
          <w:tab w:val="clear" w:pos="2040"/>
        </w:tabs>
        <w:rPr>
          <w:rFonts w:ascii="Times New Roman" w:hAnsi="Times New Roman" w:eastAsia="宋体"/>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0D326DC">
      <w:pPr>
        <w:pStyle w:val="24"/>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eastAsia="宋体"/>
          <w:snapToGrid w:val="0"/>
          <w:color w:val="auto"/>
          <w:sz w:val="30"/>
          <w:szCs w:val="30"/>
          <w:highlight w:val="none"/>
        </w:rPr>
      </w:pPr>
      <w:bookmarkStart w:id="5" w:name="_Toc23955"/>
      <w:r>
        <w:rPr>
          <w:rFonts w:ascii="Times New Roman" w:hAnsi="Times New Roman" w:eastAsia="宋体"/>
          <w:snapToGrid w:val="0"/>
          <w:color w:val="auto"/>
          <w:sz w:val="30"/>
          <w:szCs w:val="30"/>
          <w:highlight w:val="none"/>
        </w:rPr>
        <w:t>三、区域环境质量现状、环境保护目标及评价标准</w:t>
      </w:r>
      <w:bookmarkEnd w:id="5"/>
    </w:p>
    <w:tbl>
      <w:tblPr>
        <w:tblStyle w:val="25"/>
        <w:tblW w:w="568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9227"/>
      </w:tblGrid>
      <w:tr w14:paraId="3D2E16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8" w:type="dxa"/>
            <w:vAlign w:val="center"/>
          </w:tcPr>
          <w:p w14:paraId="5C0E789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kern w:val="0"/>
                <w:sz w:val="24"/>
                <w:highlight w:val="none"/>
              </w:rPr>
            </w:pPr>
            <w:r>
              <w:rPr>
                <w:rFonts w:hint="default" w:ascii="Times New Roman" w:hAnsi="Times New Roman" w:eastAsia="宋体"/>
                <w:color w:val="auto"/>
                <w:kern w:val="0"/>
                <w:sz w:val="24"/>
                <w:highlight w:val="none"/>
              </w:rPr>
              <w:t>区域</w:t>
            </w:r>
          </w:p>
          <w:p w14:paraId="2781051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kern w:val="0"/>
                <w:sz w:val="24"/>
                <w:highlight w:val="none"/>
              </w:rPr>
            </w:pPr>
            <w:r>
              <w:rPr>
                <w:rFonts w:hint="default" w:ascii="Times New Roman" w:hAnsi="Times New Roman" w:eastAsia="宋体"/>
                <w:color w:val="auto"/>
                <w:kern w:val="0"/>
                <w:sz w:val="24"/>
                <w:highlight w:val="none"/>
              </w:rPr>
              <w:t>环境</w:t>
            </w:r>
          </w:p>
          <w:p w14:paraId="0BEB041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kern w:val="0"/>
                <w:sz w:val="24"/>
                <w:highlight w:val="none"/>
              </w:rPr>
            </w:pPr>
            <w:r>
              <w:rPr>
                <w:rFonts w:hint="default" w:ascii="Times New Roman" w:hAnsi="Times New Roman" w:eastAsia="宋体"/>
                <w:color w:val="auto"/>
                <w:kern w:val="0"/>
                <w:sz w:val="24"/>
                <w:highlight w:val="none"/>
              </w:rPr>
              <w:t>质量</w:t>
            </w:r>
          </w:p>
          <w:p w14:paraId="68291D9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olor w:val="auto"/>
                <w:kern w:val="0"/>
                <w:szCs w:val="21"/>
                <w:highlight w:val="none"/>
              </w:rPr>
            </w:pPr>
            <w:r>
              <w:rPr>
                <w:rFonts w:hint="default" w:ascii="Times New Roman" w:hAnsi="Times New Roman" w:eastAsia="宋体"/>
                <w:color w:val="auto"/>
                <w:kern w:val="0"/>
                <w:sz w:val="24"/>
                <w:highlight w:val="none"/>
              </w:rPr>
              <w:t>现状</w:t>
            </w:r>
          </w:p>
        </w:tc>
        <w:tc>
          <w:tcPr>
            <w:tcW w:w="9227" w:type="dxa"/>
            <w:vAlign w:val="center"/>
          </w:tcPr>
          <w:p w14:paraId="547CC32D">
            <w:pPr>
              <w:keepNext w:val="0"/>
              <w:keepLines w:val="0"/>
              <w:suppressLineNumbers w:val="0"/>
              <w:adjustRightInd w:val="0"/>
              <w:snapToGrid w:val="0"/>
              <w:spacing w:before="0" w:beforeAutospacing="0" w:after="0" w:afterAutospacing="0" w:line="360" w:lineRule="auto"/>
              <w:ind w:left="0" w:right="0"/>
              <w:jc w:val="left"/>
              <w:rPr>
                <w:rFonts w:hint="default" w:ascii="Times New Roman" w:hAnsi="Times New Roman" w:eastAsia="宋体"/>
                <w:color w:val="auto"/>
                <w:kern w:val="0"/>
                <w:sz w:val="24"/>
              </w:rPr>
            </w:pPr>
            <w:r>
              <w:rPr>
                <w:rFonts w:hint="default" w:ascii="Times New Roman" w:hAnsi="Times New Roman" w:eastAsia="宋体"/>
                <w:b/>
                <w:bCs/>
                <w:color w:val="auto"/>
                <w:kern w:val="0"/>
                <w:sz w:val="24"/>
              </w:rPr>
              <w:t>1</w:t>
            </w:r>
            <w:r>
              <w:rPr>
                <w:rFonts w:hint="eastAsia" w:ascii="Times New Roman" w:hAnsi="Times New Roman" w:eastAsia="宋体"/>
                <w:b/>
                <w:bCs/>
                <w:color w:val="auto"/>
                <w:kern w:val="0"/>
                <w:sz w:val="24"/>
              </w:rPr>
              <w:t>、</w:t>
            </w:r>
            <w:r>
              <w:rPr>
                <w:rFonts w:hint="default" w:ascii="Times New Roman" w:hAnsi="Times New Roman" w:eastAsia="宋体"/>
                <w:b/>
                <w:bCs/>
                <w:color w:val="auto"/>
                <w:kern w:val="0"/>
                <w:sz w:val="24"/>
              </w:rPr>
              <w:t>大气环境</w:t>
            </w:r>
          </w:p>
          <w:p w14:paraId="0A70828C">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olor w:val="auto"/>
                <w:sz w:val="24"/>
              </w:rPr>
            </w:pPr>
            <w:r>
              <w:rPr>
                <w:rFonts w:hint="eastAsia" w:ascii="Times New Roman" w:hAnsi="Times New Roman" w:eastAsia="宋体" w:cs="宋体"/>
                <w:b/>
                <w:color w:val="auto"/>
                <w:sz w:val="24"/>
                <w:szCs w:val="24"/>
                <w:highlight w:val="none"/>
              </w:rPr>
              <w:t>①</w:t>
            </w:r>
            <w:r>
              <w:rPr>
                <w:rFonts w:hint="default" w:ascii="Times New Roman" w:hAnsi="Times New Roman" w:eastAsia="宋体"/>
                <w:b/>
                <w:color w:val="auto"/>
                <w:sz w:val="24"/>
                <w:szCs w:val="24"/>
                <w:highlight w:val="none"/>
              </w:rPr>
              <w:t>环境质量达标区判定</w:t>
            </w:r>
          </w:p>
          <w:p w14:paraId="3F6D6951">
            <w:pPr>
              <w:pStyle w:val="40"/>
              <w:keepNext w:val="0"/>
              <w:keepLines w:val="0"/>
              <w:suppressLineNumbers w:val="0"/>
              <w:spacing w:before="0" w:beforeAutospacing="0" w:after="0" w:afterAutospacing="0" w:line="360" w:lineRule="auto"/>
              <w:ind w:left="0" w:right="0" w:firstLine="48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根据《环境影响评价技术导则-大气环境》（HJ2.2-2018），项目所在区域达标判定，优先采用国家或地方生态环境主管部门公开发布的评价基准年环境质量公告或环境质量报告中的数据或结论。本报告选取202</w:t>
            </w:r>
            <w:r>
              <w:rPr>
                <w:rFonts w:hint="eastAsia" w:ascii="Times New Roman" w:hAnsi="Times New Roman" w:eastAsia="宋体" w:cs="Times New Roman"/>
                <w:color w:val="auto"/>
                <w:sz w:val="24"/>
                <w:highlight w:val="none"/>
                <w:lang w:val="en-US" w:eastAsia="zh-CN"/>
              </w:rPr>
              <w:t>3</w:t>
            </w:r>
            <w:r>
              <w:rPr>
                <w:rFonts w:hint="eastAsia" w:ascii="Times New Roman" w:hAnsi="Times New Roman" w:eastAsia="宋体" w:cs="Times New Roman"/>
                <w:color w:val="auto"/>
                <w:sz w:val="24"/>
                <w:highlight w:val="none"/>
              </w:rPr>
              <w:t>年作为评价基准年，根据《无锡市生态环境状况公报（202</w:t>
            </w:r>
            <w:r>
              <w:rPr>
                <w:rFonts w:hint="eastAsia" w:ascii="Times New Roman" w:hAnsi="Times New Roman" w:eastAsia="宋体" w:cs="Times New Roman"/>
                <w:color w:val="auto"/>
                <w:sz w:val="24"/>
                <w:highlight w:val="none"/>
                <w:lang w:val="en-US" w:eastAsia="zh-CN"/>
              </w:rPr>
              <w:t>3</w:t>
            </w:r>
            <w:r>
              <w:rPr>
                <w:rFonts w:hint="eastAsia" w:ascii="Times New Roman" w:hAnsi="Times New Roman" w:eastAsia="宋体" w:cs="Times New Roman"/>
                <w:color w:val="auto"/>
                <w:sz w:val="24"/>
                <w:highlight w:val="none"/>
              </w:rPr>
              <w:t>年度）》，全市环境空气中臭氧最大8h第90百分位浓度（O</w:t>
            </w:r>
            <w:r>
              <w:rPr>
                <w:rFonts w:hint="eastAsia" w:ascii="Times New Roman" w:hAnsi="Times New Roman" w:eastAsia="宋体" w:cs="Times New Roman"/>
                <w:color w:val="auto"/>
                <w:sz w:val="24"/>
                <w:highlight w:val="none"/>
                <w:vertAlign w:val="subscript"/>
              </w:rPr>
              <w:t>3</w:t>
            </w:r>
            <w:r>
              <w:rPr>
                <w:rFonts w:hint="eastAsia" w:ascii="Times New Roman" w:hAnsi="Times New Roman" w:eastAsia="宋体" w:cs="Times New Roman"/>
                <w:color w:val="auto"/>
                <w:sz w:val="24"/>
                <w:highlight w:val="none"/>
              </w:rPr>
              <w:t>-90per）167微克/立方米，较2022年改善6.7%；细颗粒物（PM</w:t>
            </w:r>
            <w:r>
              <w:rPr>
                <w:rFonts w:hint="eastAsia" w:ascii="Times New Roman" w:hAnsi="Times New Roman" w:eastAsia="宋体" w:cs="Times New Roman"/>
                <w:color w:val="auto"/>
                <w:sz w:val="24"/>
                <w:highlight w:val="none"/>
                <w:vertAlign w:val="subscript"/>
              </w:rPr>
              <w:t>2.5</w:t>
            </w:r>
            <w:r>
              <w:rPr>
                <w:rFonts w:hint="eastAsia" w:ascii="Times New Roman" w:hAnsi="Times New Roman" w:eastAsia="宋体" w:cs="Times New Roman"/>
                <w:color w:val="auto"/>
                <w:sz w:val="24"/>
                <w:highlight w:val="none"/>
              </w:rPr>
              <w:t>）和二氧化硫（SO</w:t>
            </w:r>
            <w:r>
              <w:rPr>
                <w:rFonts w:hint="eastAsia" w:ascii="Times New Roman" w:hAnsi="Times New Roman" w:eastAsia="宋体" w:cs="Times New Roman"/>
                <w:color w:val="auto"/>
                <w:sz w:val="24"/>
                <w:highlight w:val="none"/>
                <w:vertAlign w:val="subscript"/>
              </w:rPr>
              <w:t>2</w:t>
            </w:r>
            <w:r>
              <w:rPr>
                <w:rFonts w:hint="eastAsia" w:ascii="Times New Roman" w:hAnsi="Times New Roman" w:eastAsia="宋体" w:cs="Times New Roman"/>
                <w:color w:val="auto"/>
                <w:sz w:val="24"/>
                <w:highlight w:val="none"/>
              </w:rPr>
              <w:t>）年均浓度分别为28微克/立方米和8微克/立方米，较2022年持平；可吸入颗粒物（PM</w:t>
            </w:r>
            <w:r>
              <w:rPr>
                <w:rFonts w:hint="eastAsia" w:ascii="Times New Roman" w:hAnsi="Times New Roman" w:eastAsia="宋体" w:cs="Times New Roman"/>
                <w:color w:val="auto"/>
                <w:sz w:val="24"/>
                <w:highlight w:val="none"/>
                <w:vertAlign w:val="subscript"/>
              </w:rPr>
              <w:t>10</w:t>
            </w:r>
            <w:r>
              <w:rPr>
                <w:rFonts w:hint="eastAsia" w:ascii="Times New Roman" w:hAnsi="Times New Roman" w:eastAsia="宋体" w:cs="Times New Roman"/>
                <w:color w:val="auto"/>
                <w:sz w:val="24"/>
                <w:highlight w:val="none"/>
              </w:rPr>
              <w:t>）、二氧化氮（NO</w:t>
            </w:r>
            <w:r>
              <w:rPr>
                <w:rFonts w:hint="eastAsia" w:ascii="Times New Roman" w:hAnsi="Times New Roman" w:eastAsia="宋体" w:cs="Times New Roman"/>
                <w:color w:val="auto"/>
                <w:sz w:val="24"/>
                <w:highlight w:val="none"/>
                <w:vertAlign w:val="subscript"/>
              </w:rPr>
              <w:t>2</w:t>
            </w:r>
            <w:r>
              <w:rPr>
                <w:rFonts w:hint="eastAsia" w:ascii="Times New Roman" w:hAnsi="Times New Roman" w:eastAsia="宋体" w:cs="Times New Roman"/>
                <w:color w:val="auto"/>
                <w:sz w:val="24"/>
                <w:highlight w:val="none"/>
              </w:rPr>
              <w:t>）和一氧化碳（CO）年均浓度分别为50微克/立方米、32微克/立方米和1.2毫克/立方米，较2022年分别</w:t>
            </w:r>
            <w:r>
              <w:rPr>
                <w:rFonts w:hint="eastAsia" w:ascii="Times New Roman" w:hAnsi="Times New Roman" w:eastAsia="宋体" w:cs="Times New Roman"/>
                <w:color w:val="auto"/>
                <w:sz w:val="24"/>
                <w:highlight w:val="none"/>
                <w:lang w:eastAsia="zh-CN"/>
              </w:rPr>
              <w:t>上升</w:t>
            </w:r>
            <w:r>
              <w:rPr>
                <w:rFonts w:hint="eastAsia" w:ascii="Times New Roman" w:hAnsi="Times New Roman" w:eastAsia="宋体" w:cs="Times New Roman"/>
                <w:color w:val="auto"/>
                <w:sz w:val="24"/>
                <w:highlight w:val="none"/>
              </w:rPr>
              <w:t>2.0%、23.1%和9.1%。</w:t>
            </w:r>
          </w:p>
          <w:p w14:paraId="01DA8938">
            <w:pPr>
              <w:pStyle w:val="40"/>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按照《环境空气质量标准》（GB3095-2012）二级标准进行年度评价，所辖“二市六区”臭氧浓度均未达标，其余指标均已达标。因此判定为不达标区。</w:t>
            </w:r>
          </w:p>
          <w:p w14:paraId="60A6C937">
            <w:pPr>
              <w:pStyle w:val="40"/>
              <w:keepNext w:val="0"/>
              <w:keepLines w:val="0"/>
              <w:suppressLineNumbers w:val="0"/>
              <w:spacing w:before="0" w:beforeAutospacing="0" w:after="0" w:afterAutospacing="0" w:line="360" w:lineRule="auto"/>
              <w:ind w:left="0" w:right="0" w:firstLine="480"/>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根据《中华人民共和国大气污染防治法》的要求，未达标城市需要编制限期达标规划，明确限期达标，制定有效的大气污染防治措施。无锡市已按要求开展限期达标规划。</w:t>
            </w:r>
          </w:p>
          <w:p w14:paraId="752378B3">
            <w:pPr>
              <w:pStyle w:val="40"/>
              <w:keepNext w:val="0"/>
              <w:keepLines w:val="0"/>
              <w:suppressLineNumbers w:val="0"/>
              <w:spacing w:before="0" w:beforeAutospacing="0" w:after="0" w:afterAutospacing="0" w:line="360" w:lineRule="auto"/>
              <w:ind w:left="0" w:right="0" w:firstLine="480"/>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根据《无锡市大气环境质量限期达标规划（2018-2025年）》，无锡市达标规划的规划范围为：整个无锡市全市范围（4650平方公里）。无锡市区面积1643.88平方公里，另有太湖水域397.8平方公里。下辖共5个区2个市（梁溪区、滨湖区、惠山区、锡山区、新吴区、江阴市、宜兴市）、7个镇、41个街道。</w:t>
            </w:r>
          </w:p>
          <w:p w14:paraId="13FA9E5D">
            <w:pPr>
              <w:pStyle w:val="40"/>
              <w:keepNext w:val="0"/>
              <w:keepLines w:val="0"/>
              <w:suppressLineNumbers w:val="0"/>
              <w:spacing w:before="0" w:beforeAutospacing="0" w:after="0" w:afterAutospacing="0" w:line="360" w:lineRule="auto"/>
              <w:ind w:left="0" w:right="0" w:firstLine="480"/>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达标期限：无锡市环境空气质量在2025年实现全面达标。</w:t>
            </w:r>
          </w:p>
          <w:p w14:paraId="47FAEE04">
            <w:pPr>
              <w:pStyle w:val="40"/>
              <w:keepNext w:val="0"/>
              <w:keepLines w:val="0"/>
              <w:suppressLineNumbers w:val="0"/>
              <w:spacing w:before="0" w:beforeAutospacing="0" w:after="0" w:afterAutospacing="0" w:line="360" w:lineRule="auto"/>
              <w:ind w:left="0" w:right="0" w:firstLine="480"/>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远期目标：力争到2025年，无锡市PM</w:t>
            </w:r>
            <w:r>
              <w:rPr>
                <w:rFonts w:hint="default" w:ascii="Times New Roman" w:hAnsi="Times New Roman" w:eastAsia="宋体"/>
                <w:color w:val="auto"/>
                <w:sz w:val="24"/>
                <w:highlight w:val="none"/>
                <w:vertAlign w:val="subscript"/>
              </w:rPr>
              <w:t>2.5</w:t>
            </w:r>
            <w:r>
              <w:rPr>
                <w:rFonts w:hint="default" w:ascii="Times New Roman" w:hAnsi="Times New Roman" w:eastAsia="宋体"/>
                <w:color w:val="auto"/>
                <w:sz w:val="24"/>
                <w:highlight w:val="none"/>
              </w:rPr>
              <w:t>浓度达到35</w:t>
            </w:r>
            <w:r>
              <w:rPr>
                <w:rFonts w:hint="default" w:ascii="Times New Roman" w:hAnsi="Times New Roman" w:eastAsia="宋体"/>
                <w:color w:val="auto"/>
                <w:sz w:val="24"/>
                <w:highlight w:val="none"/>
                <w:shd w:val="clear" w:color="auto" w:fill="FFFFFF"/>
              </w:rPr>
              <w:t>μ</w:t>
            </w:r>
            <w:r>
              <w:rPr>
                <w:rFonts w:hint="default" w:ascii="Times New Roman" w:hAnsi="Times New Roman" w:eastAsia="宋体"/>
                <w:color w:val="auto"/>
                <w:sz w:val="24"/>
                <w:highlight w:val="none"/>
              </w:rPr>
              <w:t>g/m</w:t>
            </w:r>
            <w:r>
              <w:rPr>
                <w:rFonts w:hint="default" w:ascii="Times New Roman" w:hAnsi="Times New Roman" w:eastAsia="宋体"/>
                <w:color w:val="auto"/>
                <w:sz w:val="24"/>
                <w:highlight w:val="none"/>
                <w:vertAlign w:val="superscript"/>
              </w:rPr>
              <w:t>3</w:t>
            </w:r>
            <w:r>
              <w:rPr>
                <w:rFonts w:hint="default" w:ascii="Times New Roman" w:hAnsi="Times New Roman" w:eastAsia="宋体"/>
                <w:color w:val="auto"/>
                <w:sz w:val="24"/>
                <w:highlight w:val="none"/>
              </w:rPr>
              <w:t>左右，O</w:t>
            </w:r>
            <w:r>
              <w:rPr>
                <w:rFonts w:hint="default" w:ascii="Times New Roman" w:hAnsi="Times New Roman" w:eastAsia="宋体"/>
                <w:color w:val="auto"/>
                <w:sz w:val="24"/>
                <w:highlight w:val="none"/>
                <w:vertAlign w:val="subscript"/>
              </w:rPr>
              <w:t>3</w:t>
            </w:r>
            <w:r>
              <w:rPr>
                <w:rFonts w:hint="default" w:ascii="Times New Roman" w:hAnsi="Times New Roman" w:eastAsia="宋体"/>
                <w:color w:val="auto"/>
                <w:sz w:val="24"/>
                <w:highlight w:val="none"/>
              </w:rPr>
              <w:t>浓度达到拐点，除O</w:t>
            </w:r>
            <w:r>
              <w:rPr>
                <w:rFonts w:hint="default" w:ascii="Times New Roman" w:hAnsi="Times New Roman" w:eastAsia="宋体"/>
                <w:color w:val="auto"/>
                <w:sz w:val="24"/>
                <w:highlight w:val="none"/>
                <w:vertAlign w:val="subscript"/>
              </w:rPr>
              <w:t>3</w:t>
            </w:r>
            <w:r>
              <w:rPr>
                <w:rFonts w:hint="default" w:ascii="Times New Roman" w:hAnsi="Times New Roman" w:eastAsia="宋体"/>
                <w:color w:val="auto"/>
                <w:sz w:val="24"/>
                <w:highlight w:val="none"/>
              </w:rPr>
              <w:t>以外的主要大气污染物浓度达到国家二级标准要求，空气质量优良天数比率达到80%。</w:t>
            </w:r>
          </w:p>
          <w:p w14:paraId="6D2D8C2A">
            <w:pPr>
              <w:pStyle w:val="40"/>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textAlignment w:val="auto"/>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总体战略：以不断降低PM</w:t>
            </w:r>
            <w:r>
              <w:rPr>
                <w:rFonts w:hint="default" w:ascii="Times New Roman" w:hAnsi="Times New Roman" w:eastAsia="宋体"/>
                <w:color w:val="auto"/>
                <w:sz w:val="24"/>
                <w:highlight w:val="none"/>
                <w:vertAlign w:val="subscript"/>
              </w:rPr>
              <w:t>2.5</w:t>
            </w:r>
            <w:r>
              <w:rPr>
                <w:rFonts w:hint="default" w:ascii="Times New Roman" w:hAnsi="Times New Roman" w:eastAsia="宋体"/>
                <w:color w:val="auto"/>
                <w:sz w:val="24"/>
                <w:highlight w:val="none"/>
              </w:rPr>
              <w:t>浓度，明显减少重污染天数，明显改善环境空气质量，明显增强人民的蓝天幸福感为核心目标，推进能源结构调整，推进热电整合，优化产业结构和布局；提高各行业清洁化生产水平，全面执行大气污染物特别排放限值，完成重点企业颗粒物无组织排放深度治理，从化工、电子（半导体）、涂装等工业行业挖掘VOCs减排潜力，完成重点行业低VOCs含量原辅料替代目标；以港口码头和堆场为重点提高扬尘污染控制水平。促进PM</w:t>
            </w:r>
            <w:r>
              <w:rPr>
                <w:rFonts w:hint="default" w:ascii="Times New Roman" w:hAnsi="Times New Roman" w:eastAsia="宋体"/>
                <w:color w:val="auto"/>
                <w:sz w:val="24"/>
                <w:highlight w:val="none"/>
                <w:vertAlign w:val="subscript"/>
              </w:rPr>
              <w:t>2.5</w:t>
            </w:r>
            <w:r>
              <w:rPr>
                <w:rFonts w:hint="default" w:ascii="Times New Roman" w:hAnsi="Times New Roman" w:eastAsia="宋体"/>
                <w:color w:val="auto"/>
                <w:sz w:val="24"/>
                <w:highlight w:val="none"/>
              </w:rPr>
              <w:t>和臭氧协同控制，推进区域联防联控，提升大气污染精细化防控能力。</w:t>
            </w:r>
          </w:p>
          <w:p w14:paraId="63B6BF18">
            <w:pPr>
              <w:keepNext w:val="0"/>
              <w:keepLines w:val="0"/>
              <w:pageBreakBefore w:val="0"/>
              <w:widowControl w:val="0"/>
              <w:suppressLineNumbers w:val="0"/>
              <w:tabs>
                <w:tab w:val="left" w:pos="9555"/>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olor w:val="auto"/>
                <w:sz w:val="24"/>
                <w:highlight w:val="none"/>
              </w:rPr>
              <w:t>分阶段战略：到2025年，实施清洁能源利用，优化能源结构，以江阴市为重点推进热电整合。完成重点行业低VOCs含量原辅料替代目标。升级工艺技术，优化工艺流程，提高各行业清洁化生产水平。大幅提升新能源汽车特别是电动车比例。推进PM</w:t>
            </w:r>
            <w:r>
              <w:rPr>
                <w:rFonts w:hint="default" w:ascii="Times New Roman" w:hAnsi="Times New Roman" w:eastAsia="宋体"/>
                <w:color w:val="auto"/>
                <w:sz w:val="24"/>
                <w:highlight w:val="none"/>
                <w:vertAlign w:val="subscript"/>
              </w:rPr>
              <w:t>2.5</w:t>
            </w:r>
            <w:r>
              <w:rPr>
                <w:rFonts w:hint="default" w:ascii="Times New Roman" w:hAnsi="Times New Roman" w:eastAsia="宋体"/>
                <w:color w:val="auto"/>
                <w:sz w:val="24"/>
                <w:highlight w:val="none"/>
              </w:rPr>
              <w:t>和臭氧的协同控制，推进区域联防联控。</w:t>
            </w:r>
          </w:p>
          <w:p w14:paraId="05418B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b/>
                <w:bCs/>
                <w:color w:val="auto"/>
                <w:kern w:val="0"/>
                <w:sz w:val="24"/>
              </w:rPr>
            </w:pPr>
            <w:r>
              <w:rPr>
                <w:rFonts w:hint="eastAsia" w:ascii="Times New Roman" w:hAnsi="Times New Roman" w:eastAsia="宋体" w:cs="宋体"/>
                <w:b/>
                <w:bCs/>
                <w:color w:val="auto"/>
                <w:sz w:val="24"/>
                <w:szCs w:val="24"/>
                <w:highlight w:val="none"/>
              </w:rPr>
              <w:t>②</w:t>
            </w:r>
            <w:r>
              <w:rPr>
                <w:rFonts w:hint="default" w:ascii="Times New Roman" w:hAnsi="Times New Roman" w:eastAsia="宋体"/>
                <w:b/>
                <w:bCs/>
                <w:color w:val="auto"/>
                <w:sz w:val="24"/>
                <w:szCs w:val="24"/>
                <w:highlight w:val="none"/>
              </w:rPr>
              <w:t>其他污染物环境质量现状</w:t>
            </w:r>
          </w:p>
          <w:p w14:paraId="218993AA">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val="en-US" w:eastAsia="zh-CN"/>
              </w:rPr>
              <w:t>本项目特征污染物</w:t>
            </w:r>
            <w:r>
              <w:rPr>
                <w:rFonts w:hint="default" w:ascii="Times New Roman" w:hAnsi="Times New Roman" w:eastAsia="宋体"/>
                <w:color w:val="auto"/>
                <w:sz w:val="24"/>
                <w:highlight w:val="none"/>
              </w:rPr>
              <w:t>非甲烷总烃</w:t>
            </w:r>
            <w:r>
              <w:rPr>
                <w:rFonts w:hint="default" w:ascii="Times New Roman" w:hAnsi="Times New Roman" w:eastAsia="宋体" w:cs="Times New Roman"/>
                <w:color w:val="auto"/>
                <w:sz w:val="24"/>
                <w:highlight w:val="none"/>
              </w:rPr>
              <w:t>现状数据引用</w:t>
            </w:r>
            <w:r>
              <w:rPr>
                <w:rFonts w:hint="default" w:ascii="Times New Roman" w:hAnsi="Times New Roman" w:eastAsia="宋体"/>
                <w:color w:val="auto"/>
                <w:sz w:val="24"/>
                <w:highlight w:val="none"/>
              </w:rPr>
              <w:t>无锡</w:t>
            </w:r>
            <w:r>
              <w:rPr>
                <w:rFonts w:hint="eastAsia" w:ascii="Times New Roman" w:hAnsi="Times New Roman" w:eastAsia="宋体"/>
                <w:color w:val="auto"/>
                <w:sz w:val="24"/>
                <w:highlight w:val="none"/>
                <w:lang w:eastAsia="zh-CN"/>
              </w:rPr>
              <w:t>市恒信安全技术服务</w:t>
            </w:r>
            <w:r>
              <w:rPr>
                <w:rFonts w:hint="default" w:ascii="Times New Roman" w:hAnsi="Times New Roman" w:eastAsia="宋体"/>
                <w:color w:val="auto"/>
                <w:sz w:val="24"/>
                <w:highlight w:val="none"/>
              </w:rPr>
              <w:t>有限公司</w:t>
            </w:r>
            <w:r>
              <w:rPr>
                <w:rFonts w:hint="eastAsia" w:ascii="Times New Roman" w:hAnsi="Times New Roman" w:eastAsia="宋体"/>
                <w:color w:val="auto"/>
                <w:sz w:val="24"/>
                <w:highlight w:val="none"/>
                <w:lang w:eastAsia="zh-CN"/>
              </w:rPr>
              <w:t>于</w:t>
            </w:r>
            <w:r>
              <w:rPr>
                <w:rFonts w:hint="eastAsia" w:ascii="Times New Roman" w:hAnsi="Times New Roman" w:eastAsia="宋体"/>
                <w:color w:val="auto"/>
                <w:sz w:val="24"/>
                <w:highlight w:val="none"/>
                <w:lang w:val="en-US" w:eastAsia="zh-CN"/>
              </w:rPr>
              <w:t>2023年8月10日~8月15日对敦南科技（无锡）有限公司的监测数据（监测</w:t>
            </w:r>
            <w:r>
              <w:rPr>
                <w:rFonts w:hint="eastAsia" w:ascii="Times New Roman" w:hAnsi="Times New Roman" w:eastAsia="宋体"/>
                <w:color w:val="auto"/>
                <w:sz w:val="24"/>
                <w:highlight w:val="none"/>
                <w:lang w:eastAsia="zh-CN"/>
              </w:rPr>
              <w:t>报告编号</w:t>
            </w:r>
            <w:r>
              <w:rPr>
                <w:rFonts w:hint="default" w:ascii="Times New Roman" w:hAnsi="Times New Roman" w:eastAsia="宋体"/>
                <w:color w:val="auto"/>
                <w:sz w:val="24"/>
                <w:highlight w:val="none"/>
              </w:rPr>
              <w:t>：</w:t>
            </w:r>
            <w:r>
              <w:rPr>
                <w:rFonts w:hint="eastAsia" w:ascii="Times New Roman" w:hAnsi="Times New Roman" w:eastAsia="宋体"/>
                <w:color w:val="auto"/>
                <w:sz w:val="24"/>
                <w:highlight w:val="none"/>
                <w:lang w:eastAsia="zh-CN"/>
              </w:rPr>
              <w:t>恒信（环）字第</w:t>
            </w:r>
            <w:r>
              <w:rPr>
                <w:rFonts w:hint="eastAsia" w:ascii="Times New Roman" w:hAnsi="Times New Roman" w:eastAsia="宋体"/>
                <w:color w:val="auto"/>
                <w:sz w:val="24"/>
                <w:highlight w:val="none"/>
                <w:lang w:val="en-US" w:eastAsia="zh-CN"/>
              </w:rPr>
              <w:t>HXHJ202308018））</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位于本项目东北约2000m处，监测结果见下表。</w:t>
            </w:r>
          </w:p>
          <w:p w14:paraId="38A4F2D9">
            <w:pPr>
              <w:pStyle w:val="45"/>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b/>
                <w:bCs/>
                <w:color w:val="auto"/>
                <w:szCs w:val="24"/>
                <w:highlight w:val="none"/>
              </w:rPr>
            </w:pPr>
            <w:r>
              <w:rPr>
                <w:rFonts w:hint="default" w:ascii="Times New Roman" w:hAnsi="Times New Roman" w:eastAsia="宋体" w:cs="Times New Roman"/>
                <w:b/>
                <w:bCs/>
                <w:color w:val="auto"/>
                <w:kern w:val="0"/>
                <w:sz w:val="24"/>
                <w:szCs w:val="24"/>
                <w:highlight w:val="none"/>
                <w:lang w:val="en-US" w:eastAsia="zh-CN" w:bidi="ar-SA"/>
              </w:rPr>
              <w:t>表3-1</w:t>
            </w:r>
            <w:r>
              <w:rPr>
                <w:rFonts w:hint="eastAsia" w:ascii="Times New Roman" w:hAnsi="Times New Roman" w:eastAsia="宋体" w:cs="Times New Roman"/>
                <w:b/>
                <w:bCs/>
                <w:color w:val="auto"/>
                <w:kern w:val="0"/>
                <w:sz w:val="24"/>
                <w:szCs w:val="24"/>
                <w:highlight w:val="none"/>
                <w:lang w:val="en-US" w:eastAsia="zh-CN" w:bidi="ar-SA"/>
              </w:rPr>
              <w:t xml:space="preserve">  </w:t>
            </w:r>
            <w:r>
              <w:rPr>
                <w:rFonts w:hint="default" w:ascii="Times New Roman" w:hAnsi="Times New Roman" w:eastAsia="宋体" w:cs="Times New Roman"/>
                <w:b/>
                <w:bCs/>
                <w:color w:val="auto"/>
                <w:szCs w:val="24"/>
                <w:highlight w:val="none"/>
              </w:rPr>
              <w:t>其他污染物环境质量现状监测结果表</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108" w:type="dxa"/>
                <w:bottom w:w="0" w:type="dxa"/>
                <w:right w:w="108" w:type="dxa"/>
              </w:tblCellMar>
            </w:tblPr>
            <w:tblGrid>
              <w:gridCol w:w="2930"/>
              <w:gridCol w:w="1574"/>
              <w:gridCol w:w="2192"/>
              <w:gridCol w:w="959"/>
              <w:gridCol w:w="1356"/>
            </w:tblGrid>
            <w:tr w14:paraId="6038182E">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625" w:type="pct"/>
                  <w:vMerge w:val="restart"/>
                  <w:tcBorders>
                    <w:tl2br w:val="nil"/>
                    <w:tr2bl w:val="nil"/>
                  </w:tcBorders>
                  <w:vAlign w:val="center"/>
                </w:tcPr>
                <w:p w14:paraId="38E66CE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 w:val="21"/>
                      <w:szCs w:val="21"/>
                      <w:highlight w:val="none"/>
                    </w:rPr>
                  </w:pPr>
                  <w:r>
                    <w:rPr>
                      <w:rFonts w:hint="default" w:ascii="Times New Roman" w:hAnsi="Times New Roman" w:eastAsia="宋体"/>
                      <w:b/>
                      <w:bCs/>
                      <w:color w:val="auto"/>
                      <w:sz w:val="21"/>
                      <w:szCs w:val="21"/>
                      <w:highlight w:val="none"/>
                    </w:rPr>
                    <w:t>监测点名称</w:t>
                  </w:r>
                </w:p>
              </w:tc>
              <w:tc>
                <w:tcPr>
                  <w:tcW w:w="873" w:type="pct"/>
                  <w:vMerge w:val="restart"/>
                  <w:tcBorders>
                    <w:tl2br w:val="nil"/>
                    <w:tr2bl w:val="nil"/>
                  </w:tcBorders>
                  <w:vAlign w:val="center"/>
                </w:tcPr>
                <w:p w14:paraId="23F2432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 w:val="21"/>
                      <w:szCs w:val="21"/>
                      <w:highlight w:val="none"/>
                    </w:rPr>
                  </w:pPr>
                  <w:r>
                    <w:rPr>
                      <w:rFonts w:hint="default" w:ascii="Times New Roman" w:hAnsi="Times New Roman" w:eastAsia="宋体"/>
                      <w:b/>
                      <w:bCs/>
                      <w:color w:val="auto"/>
                      <w:sz w:val="21"/>
                      <w:szCs w:val="21"/>
                      <w:highlight w:val="none"/>
                    </w:rPr>
                    <w:t>监测因子</w:t>
                  </w:r>
                </w:p>
              </w:tc>
              <w:tc>
                <w:tcPr>
                  <w:tcW w:w="1216" w:type="pct"/>
                  <w:vMerge w:val="restart"/>
                  <w:tcBorders>
                    <w:tl2br w:val="nil"/>
                    <w:tr2bl w:val="nil"/>
                  </w:tcBorders>
                  <w:vAlign w:val="center"/>
                </w:tcPr>
                <w:p w14:paraId="2BC8BC5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 w:val="21"/>
                      <w:szCs w:val="21"/>
                      <w:highlight w:val="none"/>
                    </w:rPr>
                  </w:pPr>
                  <w:r>
                    <w:rPr>
                      <w:rFonts w:hint="default" w:ascii="Times New Roman" w:hAnsi="Times New Roman" w:eastAsia="宋体"/>
                      <w:b/>
                      <w:bCs/>
                      <w:color w:val="auto"/>
                      <w:sz w:val="21"/>
                      <w:szCs w:val="21"/>
                      <w:highlight w:val="none"/>
                    </w:rPr>
                    <w:t>检测时段</w:t>
                  </w:r>
                </w:p>
              </w:tc>
              <w:tc>
                <w:tcPr>
                  <w:tcW w:w="532" w:type="pct"/>
                  <w:vMerge w:val="restart"/>
                  <w:tcBorders>
                    <w:tl2br w:val="nil"/>
                    <w:tr2bl w:val="nil"/>
                  </w:tcBorders>
                  <w:vAlign w:val="center"/>
                </w:tcPr>
                <w:p w14:paraId="646575D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 w:val="21"/>
                      <w:szCs w:val="21"/>
                      <w:highlight w:val="none"/>
                    </w:rPr>
                  </w:pPr>
                  <w:r>
                    <w:rPr>
                      <w:rFonts w:hint="default" w:ascii="Times New Roman" w:hAnsi="Times New Roman" w:eastAsia="宋体"/>
                      <w:b/>
                      <w:bCs/>
                      <w:color w:val="auto"/>
                      <w:sz w:val="21"/>
                      <w:szCs w:val="21"/>
                      <w:highlight w:val="none"/>
                    </w:rPr>
                    <w:t>相对厂址方位</w:t>
                  </w:r>
                </w:p>
              </w:tc>
              <w:tc>
                <w:tcPr>
                  <w:tcW w:w="752" w:type="pct"/>
                  <w:vMerge w:val="restart"/>
                  <w:tcBorders>
                    <w:tl2br w:val="nil"/>
                    <w:tr2bl w:val="nil"/>
                  </w:tcBorders>
                  <w:vAlign w:val="center"/>
                </w:tcPr>
                <w:p w14:paraId="4CA6F0C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 w:val="21"/>
                      <w:szCs w:val="21"/>
                      <w:highlight w:val="none"/>
                    </w:rPr>
                  </w:pPr>
                  <w:r>
                    <w:rPr>
                      <w:rFonts w:hint="default" w:ascii="Times New Roman" w:hAnsi="Times New Roman" w:eastAsia="宋体"/>
                      <w:b/>
                      <w:bCs/>
                      <w:color w:val="auto"/>
                      <w:sz w:val="21"/>
                      <w:szCs w:val="21"/>
                      <w:highlight w:val="none"/>
                    </w:rPr>
                    <w:t>相对厂界距离/m</w:t>
                  </w:r>
                </w:p>
              </w:tc>
            </w:tr>
            <w:tr w14:paraId="4F1659A1">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12" w:hRule="atLeast"/>
                <w:jc w:val="center"/>
              </w:trPr>
              <w:tc>
                <w:tcPr>
                  <w:tcW w:w="1625" w:type="pct"/>
                  <w:vMerge w:val="continue"/>
                  <w:tcBorders>
                    <w:tl2br w:val="nil"/>
                    <w:tr2bl w:val="nil"/>
                  </w:tcBorders>
                  <w:vAlign w:val="center"/>
                </w:tcPr>
                <w:p w14:paraId="46911D9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 w:val="21"/>
                      <w:szCs w:val="21"/>
                      <w:highlight w:val="none"/>
                    </w:rPr>
                  </w:pPr>
                </w:p>
              </w:tc>
              <w:tc>
                <w:tcPr>
                  <w:tcW w:w="873" w:type="pct"/>
                  <w:vMerge w:val="continue"/>
                  <w:tcBorders>
                    <w:tl2br w:val="nil"/>
                    <w:tr2bl w:val="nil"/>
                  </w:tcBorders>
                  <w:vAlign w:val="center"/>
                </w:tcPr>
                <w:p w14:paraId="58656FD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 w:val="21"/>
                      <w:szCs w:val="21"/>
                      <w:highlight w:val="none"/>
                    </w:rPr>
                  </w:pPr>
                </w:p>
              </w:tc>
              <w:tc>
                <w:tcPr>
                  <w:tcW w:w="1216" w:type="pct"/>
                  <w:vMerge w:val="continue"/>
                  <w:tcBorders>
                    <w:tl2br w:val="nil"/>
                    <w:tr2bl w:val="nil"/>
                  </w:tcBorders>
                  <w:vAlign w:val="center"/>
                </w:tcPr>
                <w:p w14:paraId="738E8C2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 w:val="21"/>
                      <w:szCs w:val="21"/>
                      <w:highlight w:val="none"/>
                    </w:rPr>
                  </w:pPr>
                </w:p>
              </w:tc>
              <w:tc>
                <w:tcPr>
                  <w:tcW w:w="532" w:type="pct"/>
                  <w:vMerge w:val="continue"/>
                  <w:tcBorders>
                    <w:tl2br w:val="nil"/>
                    <w:tr2bl w:val="nil"/>
                  </w:tcBorders>
                  <w:vAlign w:val="center"/>
                </w:tcPr>
                <w:p w14:paraId="1B586BC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 w:val="21"/>
                      <w:szCs w:val="21"/>
                      <w:highlight w:val="none"/>
                    </w:rPr>
                  </w:pPr>
                </w:p>
              </w:tc>
              <w:tc>
                <w:tcPr>
                  <w:tcW w:w="752" w:type="pct"/>
                  <w:vMerge w:val="continue"/>
                  <w:tcBorders>
                    <w:tl2br w:val="nil"/>
                    <w:tr2bl w:val="nil"/>
                  </w:tcBorders>
                  <w:vAlign w:val="center"/>
                </w:tcPr>
                <w:p w14:paraId="021930C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 w:val="21"/>
                      <w:szCs w:val="21"/>
                      <w:highlight w:val="none"/>
                    </w:rPr>
                  </w:pPr>
                </w:p>
              </w:tc>
            </w:tr>
            <w:tr w14:paraId="2A0B8659">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625" w:type="pct"/>
                  <w:tcBorders>
                    <w:tl2br w:val="nil"/>
                    <w:tr2bl w:val="nil"/>
                  </w:tcBorders>
                  <w:vAlign w:val="center"/>
                </w:tcPr>
                <w:p w14:paraId="45938B6A">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敦南科技（无锡）有限公司</w:t>
                  </w:r>
                </w:p>
              </w:tc>
              <w:tc>
                <w:tcPr>
                  <w:tcW w:w="873" w:type="pct"/>
                  <w:tcBorders>
                    <w:tl2br w:val="nil"/>
                    <w:tr2bl w:val="nil"/>
                  </w:tcBorders>
                  <w:vAlign w:val="center"/>
                </w:tcPr>
                <w:p w14:paraId="427402C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非甲烷总烃</w:t>
                  </w:r>
                </w:p>
              </w:tc>
              <w:tc>
                <w:tcPr>
                  <w:tcW w:w="1216" w:type="pct"/>
                  <w:tcBorders>
                    <w:tl2br w:val="nil"/>
                    <w:tr2bl w:val="nil"/>
                  </w:tcBorders>
                  <w:vAlign w:val="center"/>
                </w:tcPr>
                <w:p w14:paraId="34A2E8DB">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rPr>
                    <w:t>202</w:t>
                  </w:r>
                  <w:r>
                    <w:rPr>
                      <w:rFonts w:hint="eastAsia" w:ascii="Times New Roman" w:hAnsi="Times New Roman" w:eastAsia="宋体"/>
                      <w:color w:val="auto"/>
                      <w:sz w:val="21"/>
                      <w:szCs w:val="21"/>
                      <w:highlight w:val="none"/>
                      <w:lang w:val="en-US" w:eastAsia="zh-CN"/>
                    </w:rPr>
                    <w:t>3.8.10</w:t>
                  </w:r>
                  <w:r>
                    <w:rPr>
                      <w:rFonts w:hint="default" w:ascii="Times New Roman" w:hAnsi="Times New Roman" w:eastAsia="宋体"/>
                      <w:color w:val="auto"/>
                      <w:sz w:val="21"/>
                      <w:szCs w:val="21"/>
                      <w:highlight w:val="none"/>
                    </w:rPr>
                    <w:t>~202</w:t>
                  </w:r>
                  <w:r>
                    <w:rPr>
                      <w:rFonts w:hint="eastAsia" w:ascii="Times New Roman" w:hAnsi="Times New Roman" w:eastAsia="宋体"/>
                      <w:color w:val="auto"/>
                      <w:sz w:val="21"/>
                      <w:szCs w:val="21"/>
                      <w:highlight w:val="none"/>
                      <w:lang w:val="en-US" w:eastAsia="zh-CN"/>
                    </w:rPr>
                    <w:t>3.8.15</w:t>
                  </w:r>
                </w:p>
              </w:tc>
              <w:tc>
                <w:tcPr>
                  <w:tcW w:w="532" w:type="pct"/>
                  <w:tcBorders>
                    <w:tl2br w:val="nil"/>
                    <w:tr2bl w:val="nil"/>
                  </w:tcBorders>
                  <w:vAlign w:val="center"/>
                </w:tcPr>
                <w:p w14:paraId="16CB7BC2">
                  <w:pPr>
                    <w:pStyle w:val="10"/>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N</w:t>
                  </w:r>
                  <w:r>
                    <w:rPr>
                      <w:rFonts w:hint="eastAsia" w:ascii="Times New Roman" w:hAnsi="Times New Roman" w:eastAsia="宋体"/>
                      <w:color w:val="auto"/>
                      <w:sz w:val="21"/>
                      <w:szCs w:val="21"/>
                      <w:highlight w:val="none"/>
                    </w:rPr>
                    <w:t>E</w:t>
                  </w:r>
                </w:p>
              </w:tc>
              <w:tc>
                <w:tcPr>
                  <w:tcW w:w="752" w:type="pct"/>
                  <w:tcBorders>
                    <w:tl2br w:val="nil"/>
                    <w:tr2bl w:val="nil"/>
                  </w:tcBorders>
                  <w:vAlign w:val="center"/>
                </w:tcPr>
                <w:p w14:paraId="01F679D7">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2000</w:t>
                  </w:r>
                </w:p>
              </w:tc>
            </w:tr>
          </w:tbl>
          <w:p w14:paraId="736994C8">
            <w:pPr>
              <w:pStyle w:val="45"/>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b/>
                <w:bCs/>
                <w:color w:val="auto"/>
                <w:szCs w:val="24"/>
              </w:rPr>
            </w:pPr>
            <w:r>
              <w:rPr>
                <w:rFonts w:hint="default" w:ascii="Times New Roman" w:hAnsi="Times New Roman" w:eastAsia="宋体" w:cs="Times New Roman"/>
                <w:b/>
                <w:bCs/>
                <w:color w:val="auto"/>
                <w:kern w:val="0"/>
                <w:sz w:val="24"/>
                <w:szCs w:val="24"/>
                <w:lang w:val="en-US" w:eastAsia="zh-CN" w:bidi="ar-SA"/>
              </w:rPr>
              <w:t>表3-2</w:t>
            </w:r>
            <w:r>
              <w:rPr>
                <w:rFonts w:hint="eastAsia" w:ascii="Times New Roman" w:hAnsi="Times New Roman" w:eastAsia="宋体" w:cs="Times New Roman"/>
                <w:b/>
                <w:bCs/>
                <w:color w:val="auto"/>
                <w:kern w:val="0"/>
                <w:sz w:val="24"/>
                <w:szCs w:val="24"/>
                <w:lang w:val="en-US" w:eastAsia="zh-CN" w:bidi="ar-SA"/>
              </w:rPr>
              <w:t xml:space="preserve">  </w:t>
            </w:r>
            <w:r>
              <w:rPr>
                <w:rFonts w:hint="default" w:ascii="Times New Roman" w:hAnsi="Times New Roman" w:eastAsia="宋体" w:cs="Times New Roman"/>
                <w:b/>
                <w:bCs/>
                <w:color w:val="auto"/>
                <w:szCs w:val="24"/>
              </w:rPr>
              <w:t>其他污染物环境质量现状表</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09"/>
              <w:gridCol w:w="1295"/>
              <w:gridCol w:w="941"/>
              <w:gridCol w:w="1116"/>
              <w:gridCol w:w="1316"/>
              <w:gridCol w:w="1093"/>
              <w:gridCol w:w="754"/>
              <w:gridCol w:w="787"/>
            </w:tblGrid>
            <w:tr w14:paraId="19BAEF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8" w:type="pct"/>
                  <w:vMerge w:val="restart"/>
                  <w:tcMar>
                    <w:top w:w="0" w:type="dxa"/>
                    <w:left w:w="51" w:type="dxa"/>
                    <w:bottom w:w="0" w:type="dxa"/>
                    <w:right w:w="51" w:type="dxa"/>
                  </w:tcMar>
                  <w:vAlign w:val="center"/>
                </w:tcPr>
                <w:p w14:paraId="45CEEE5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r>
                    <w:rPr>
                      <w:rFonts w:hint="default" w:ascii="Times New Roman" w:hAnsi="Times New Roman" w:eastAsia="宋体"/>
                      <w:b/>
                      <w:color w:val="auto"/>
                      <w:szCs w:val="21"/>
                      <w:highlight w:val="none"/>
                    </w:rPr>
                    <w:t>监测点位</w:t>
                  </w:r>
                </w:p>
              </w:tc>
              <w:tc>
                <w:tcPr>
                  <w:tcW w:w="718" w:type="pct"/>
                  <w:vMerge w:val="restart"/>
                  <w:tcMar>
                    <w:top w:w="0" w:type="dxa"/>
                    <w:left w:w="51" w:type="dxa"/>
                    <w:bottom w:w="0" w:type="dxa"/>
                    <w:right w:w="51" w:type="dxa"/>
                  </w:tcMar>
                  <w:vAlign w:val="center"/>
                </w:tcPr>
                <w:p w14:paraId="6CD3449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b/>
                      <w:color w:val="auto"/>
                      <w:szCs w:val="21"/>
                      <w:highlight w:val="none"/>
                    </w:rPr>
                    <w:t>污染物</w:t>
                  </w:r>
                </w:p>
              </w:tc>
              <w:tc>
                <w:tcPr>
                  <w:tcW w:w="522" w:type="pct"/>
                  <w:vMerge w:val="restart"/>
                  <w:tcMar>
                    <w:top w:w="0" w:type="dxa"/>
                    <w:left w:w="51" w:type="dxa"/>
                    <w:bottom w:w="0" w:type="dxa"/>
                    <w:right w:w="51" w:type="dxa"/>
                  </w:tcMar>
                  <w:vAlign w:val="center"/>
                </w:tcPr>
                <w:p w14:paraId="65808D6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r>
                    <w:rPr>
                      <w:rFonts w:hint="default" w:ascii="Times New Roman" w:hAnsi="Times New Roman" w:eastAsia="宋体"/>
                      <w:b/>
                      <w:color w:val="auto"/>
                      <w:szCs w:val="21"/>
                      <w:highlight w:val="none"/>
                    </w:rPr>
                    <w:t>平均</w:t>
                  </w:r>
                </w:p>
                <w:p w14:paraId="40CA5B5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r>
                    <w:rPr>
                      <w:rFonts w:hint="default" w:ascii="Times New Roman" w:hAnsi="Times New Roman" w:eastAsia="宋体"/>
                      <w:b/>
                      <w:color w:val="auto"/>
                      <w:szCs w:val="21"/>
                      <w:highlight w:val="none"/>
                    </w:rPr>
                    <w:t>时间</w:t>
                  </w:r>
                </w:p>
              </w:tc>
              <w:tc>
                <w:tcPr>
                  <w:tcW w:w="619" w:type="pct"/>
                  <w:vMerge w:val="restart"/>
                  <w:tcMar>
                    <w:top w:w="0" w:type="dxa"/>
                    <w:left w:w="51" w:type="dxa"/>
                    <w:bottom w:w="0" w:type="dxa"/>
                    <w:right w:w="51" w:type="dxa"/>
                  </w:tcMar>
                  <w:vAlign w:val="center"/>
                </w:tcPr>
                <w:p w14:paraId="529548F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r>
                    <w:rPr>
                      <w:rFonts w:hint="default" w:ascii="Times New Roman" w:hAnsi="Times New Roman" w:eastAsia="宋体"/>
                      <w:b/>
                      <w:color w:val="auto"/>
                      <w:szCs w:val="21"/>
                      <w:highlight w:val="none"/>
                    </w:rPr>
                    <w:t>评价标准mg/m</w:t>
                  </w:r>
                  <w:r>
                    <w:rPr>
                      <w:rFonts w:hint="default" w:ascii="Times New Roman" w:hAnsi="Times New Roman" w:eastAsia="宋体"/>
                      <w:b/>
                      <w:color w:val="auto"/>
                      <w:szCs w:val="21"/>
                      <w:highlight w:val="none"/>
                      <w:vertAlign w:val="superscript"/>
                    </w:rPr>
                    <w:t>3</w:t>
                  </w:r>
                </w:p>
              </w:tc>
              <w:tc>
                <w:tcPr>
                  <w:tcW w:w="730" w:type="pct"/>
                  <w:vMerge w:val="restart"/>
                  <w:tcMar>
                    <w:top w:w="0" w:type="dxa"/>
                    <w:left w:w="51" w:type="dxa"/>
                    <w:bottom w:w="0" w:type="dxa"/>
                    <w:right w:w="51" w:type="dxa"/>
                  </w:tcMar>
                  <w:vAlign w:val="center"/>
                </w:tcPr>
                <w:p w14:paraId="2128CFD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r>
                    <w:rPr>
                      <w:rFonts w:hint="default" w:ascii="Times New Roman" w:hAnsi="Times New Roman" w:eastAsia="宋体"/>
                      <w:b/>
                      <w:color w:val="auto"/>
                      <w:szCs w:val="21"/>
                      <w:highlight w:val="none"/>
                    </w:rPr>
                    <w:t>监测浓度</w:t>
                  </w:r>
                </w:p>
                <w:p w14:paraId="704F122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r>
                    <w:rPr>
                      <w:rFonts w:hint="default" w:ascii="Times New Roman" w:hAnsi="Times New Roman" w:eastAsia="宋体"/>
                      <w:b/>
                      <w:color w:val="auto"/>
                      <w:szCs w:val="21"/>
                      <w:highlight w:val="none"/>
                    </w:rPr>
                    <w:t>范围mg/m</w:t>
                  </w:r>
                  <w:r>
                    <w:rPr>
                      <w:rFonts w:hint="default" w:ascii="Times New Roman" w:hAnsi="Times New Roman" w:eastAsia="宋体"/>
                      <w:b/>
                      <w:color w:val="auto"/>
                      <w:szCs w:val="21"/>
                      <w:highlight w:val="none"/>
                      <w:vertAlign w:val="superscript"/>
                    </w:rPr>
                    <w:t>3</w:t>
                  </w:r>
                </w:p>
              </w:tc>
              <w:tc>
                <w:tcPr>
                  <w:tcW w:w="606" w:type="pct"/>
                  <w:vMerge w:val="restart"/>
                  <w:tcMar>
                    <w:top w:w="0" w:type="dxa"/>
                    <w:left w:w="51" w:type="dxa"/>
                    <w:bottom w:w="0" w:type="dxa"/>
                    <w:right w:w="51" w:type="dxa"/>
                  </w:tcMar>
                  <w:vAlign w:val="center"/>
                </w:tcPr>
                <w:p w14:paraId="4A262ED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r>
                    <w:rPr>
                      <w:rFonts w:hint="default" w:ascii="Times New Roman" w:hAnsi="Times New Roman" w:eastAsia="宋体"/>
                      <w:b/>
                      <w:color w:val="auto"/>
                      <w:szCs w:val="21"/>
                      <w:highlight w:val="none"/>
                    </w:rPr>
                    <w:t>最大浓度占标率%</w:t>
                  </w:r>
                </w:p>
              </w:tc>
              <w:tc>
                <w:tcPr>
                  <w:tcW w:w="418" w:type="pct"/>
                  <w:vMerge w:val="restart"/>
                  <w:tcMar>
                    <w:top w:w="0" w:type="dxa"/>
                    <w:left w:w="51" w:type="dxa"/>
                    <w:bottom w:w="0" w:type="dxa"/>
                    <w:right w:w="51" w:type="dxa"/>
                  </w:tcMar>
                  <w:vAlign w:val="center"/>
                </w:tcPr>
                <w:p w14:paraId="3943263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r>
                    <w:rPr>
                      <w:rFonts w:hint="default" w:ascii="Times New Roman" w:hAnsi="Times New Roman" w:eastAsia="宋体"/>
                      <w:b/>
                      <w:color w:val="auto"/>
                      <w:szCs w:val="21"/>
                      <w:highlight w:val="none"/>
                    </w:rPr>
                    <w:t>超标率%</w:t>
                  </w:r>
                </w:p>
              </w:tc>
              <w:tc>
                <w:tcPr>
                  <w:tcW w:w="436" w:type="pct"/>
                  <w:vMerge w:val="restart"/>
                  <w:tcMar>
                    <w:top w:w="0" w:type="dxa"/>
                    <w:left w:w="51" w:type="dxa"/>
                    <w:bottom w:w="0" w:type="dxa"/>
                    <w:right w:w="51" w:type="dxa"/>
                  </w:tcMar>
                  <w:vAlign w:val="center"/>
                </w:tcPr>
                <w:p w14:paraId="67D3A03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r>
                    <w:rPr>
                      <w:rFonts w:hint="default" w:ascii="Times New Roman" w:hAnsi="Times New Roman" w:eastAsia="宋体"/>
                      <w:b/>
                      <w:color w:val="auto"/>
                      <w:szCs w:val="21"/>
                      <w:highlight w:val="none"/>
                    </w:rPr>
                    <w:t>达标情况</w:t>
                  </w:r>
                </w:p>
              </w:tc>
            </w:tr>
            <w:tr w14:paraId="6464D3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8" w:type="pct"/>
                  <w:vMerge w:val="continue"/>
                  <w:tcMar>
                    <w:top w:w="0" w:type="dxa"/>
                    <w:left w:w="51" w:type="dxa"/>
                    <w:bottom w:w="0" w:type="dxa"/>
                    <w:right w:w="51" w:type="dxa"/>
                  </w:tcMar>
                  <w:vAlign w:val="center"/>
                </w:tcPr>
                <w:p w14:paraId="628370C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p>
              </w:tc>
              <w:tc>
                <w:tcPr>
                  <w:tcW w:w="718" w:type="pct"/>
                  <w:vMerge w:val="continue"/>
                  <w:tcBorders>
                    <w:bottom w:val="single" w:color="auto" w:sz="4" w:space="0"/>
                  </w:tcBorders>
                  <w:tcMar>
                    <w:top w:w="0" w:type="dxa"/>
                    <w:left w:w="51" w:type="dxa"/>
                    <w:bottom w:w="0" w:type="dxa"/>
                    <w:right w:w="51" w:type="dxa"/>
                  </w:tcMar>
                  <w:vAlign w:val="center"/>
                </w:tcPr>
                <w:p w14:paraId="21DE380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p>
              </w:tc>
              <w:tc>
                <w:tcPr>
                  <w:tcW w:w="522" w:type="pct"/>
                  <w:vMerge w:val="continue"/>
                  <w:tcBorders>
                    <w:bottom w:val="single" w:color="auto" w:sz="4" w:space="0"/>
                  </w:tcBorders>
                  <w:tcMar>
                    <w:top w:w="0" w:type="dxa"/>
                    <w:left w:w="51" w:type="dxa"/>
                    <w:bottom w:w="0" w:type="dxa"/>
                    <w:right w:w="51" w:type="dxa"/>
                  </w:tcMar>
                  <w:vAlign w:val="center"/>
                </w:tcPr>
                <w:p w14:paraId="7EB138D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p>
              </w:tc>
              <w:tc>
                <w:tcPr>
                  <w:tcW w:w="619" w:type="pct"/>
                  <w:vMerge w:val="continue"/>
                  <w:tcMar>
                    <w:top w:w="0" w:type="dxa"/>
                    <w:left w:w="51" w:type="dxa"/>
                    <w:bottom w:w="0" w:type="dxa"/>
                    <w:right w:w="51" w:type="dxa"/>
                  </w:tcMar>
                  <w:vAlign w:val="center"/>
                </w:tcPr>
                <w:p w14:paraId="726AC45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p>
              </w:tc>
              <w:tc>
                <w:tcPr>
                  <w:tcW w:w="730" w:type="pct"/>
                  <w:vMerge w:val="continue"/>
                  <w:tcMar>
                    <w:top w:w="0" w:type="dxa"/>
                    <w:left w:w="51" w:type="dxa"/>
                    <w:bottom w:w="0" w:type="dxa"/>
                    <w:right w:w="51" w:type="dxa"/>
                  </w:tcMar>
                  <w:vAlign w:val="center"/>
                </w:tcPr>
                <w:p w14:paraId="3D32FCB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p>
              </w:tc>
              <w:tc>
                <w:tcPr>
                  <w:tcW w:w="606" w:type="pct"/>
                  <w:vMerge w:val="continue"/>
                  <w:tcMar>
                    <w:top w:w="0" w:type="dxa"/>
                    <w:left w:w="51" w:type="dxa"/>
                    <w:bottom w:w="0" w:type="dxa"/>
                    <w:right w:w="51" w:type="dxa"/>
                  </w:tcMar>
                  <w:vAlign w:val="center"/>
                </w:tcPr>
                <w:p w14:paraId="609C612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p>
              </w:tc>
              <w:tc>
                <w:tcPr>
                  <w:tcW w:w="418" w:type="pct"/>
                  <w:vMerge w:val="continue"/>
                  <w:tcMar>
                    <w:top w:w="0" w:type="dxa"/>
                    <w:left w:w="51" w:type="dxa"/>
                    <w:bottom w:w="0" w:type="dxa"/>
                    <w:right w:w="51" w:type="dxa"/>
                  </w:tcMar>
                  <w:vAlign w:val="center"/>
                </w:tcPr>
                <w:p w14:paraId="2FC5E29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p>
              </w:tc>
              <w:tc>
                <w:tcPr>
                  <w:tcW w:w="436" w:type="pct"/>
                  <w:vMerge w:val="continue"/>
                  <w:tcMar>
                    <w:top w:w="0" w:type="dxa"/>
                    <w:left w:w="51" w:type="dxa"/>
                    <w:bottom w:w="0" w:type="dxa"/>
                    <w:right w:w="51" w:type="dxa"/>
                  </w:tcMar>
                  <w:vAlign w:val="center"/>
                </w:tcPr>
                <w:p w14:paraId="561E1E4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p>
              </w:tc>
            </w:tr>
            <w:tr w14:paraId="5960BA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8" w:type="pct"/>
                  <w:tcMar>
                    <w:top w:w="0" w:type="dxa"/>
                    <w:left w:w="51" w:type="dxa"/>
                    <w:bottom w:w="0" w:type="dxa"/>
                    <w:right w:w="51" w:type="dxa"/>
                  </w:tcMar>
                  <w:vAlign w:val="center"/>
                </w:tcPr>
                <w:p w14:paraId="1F71446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r>
                    <w:rPr>
                      <w:rFonts w:hint="eastAsia" w:ascii="Times New Roman" w:hAnsi="Times New Roman" w:eastAsia="宋体"/>
                      <w:color w:val="auto"/>
                      <w:sz w:val="21"/>
                      <w:szCs w:val="21"/>
                      <w:highlight w:val="none"/>
                      <w:lang w:val="en-US" w:eastAsia="zh-CN"/>
                    </w:rPr>
                    <w:t>敦南科技（无锡）有限公司</w:t>
                  </w:r>
                </w:p>
              </w:tc>
              <w:tc>
                <w:tcPr>
                  <w:tcW w:w="718" w:type="pct"/>
                  <w:tcMar>
                    <w:top w:w="0" w:type="dxa"/>
                    <w:left w:w="51" w:type="dxa"/>
                    <w:bottom w:w="0" w:type="dxa"/>
                    <w:right w:w="51" w:type="dxa"/>
                  </w:tcMar>
                  <w:vAlign w:val="center"/>
                </w:tcPr>
                <w:p w14:paraId="1557D51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pacing w:val="2"/>
                      <w:szCs w:val="21"/>
                      <w:highlight w:val="none"/>
                    </w:rPr>
                  </w:pPr>
                  <w:r>
                    <w:rPr>
                      <w:rFonts w:hint="default" w:ascii="Times New Roman" w:hAnsi="Times New Roman" w:eastAsia="宋体"/>
                      <w:color w:val="auto"/>
                      <w:spacing w:val="2"/>
                      <w:szCs w:val="21"/>
                      <w:highlight w:val="none"/>
                    </w:rPr>
                    <w:t>非甲烷总烃</w:t>
                  </w:r>
                </w:p>
              </w:tc>
              <w:tc>
                <w:tcPr>
                  <w:tcW w:w="522" w:type="pct"/>
                  <w:tcMar>
                    <w:top w:w="0" w:type="dxa"/>
                    <w:left w:w="51" w:type="dxa"/>
                    <w:bottom w:w="0" w:type="dxa"/>
                    <w:right w:w="51" w:type="dxa"/>
                  </w:tcMar>
                  <w:vAlign w:val="center"/>
                </w:tcPr>
                <w:p w14:paraId="5F95E7E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pacing w:val="2"/>
                      <w:szCs w:val="21"/>
                      <w:highlight w:val="none"/>
                    </w:rPr>
                  </w:pPr>
                  <w:r>
                    <w:rPr>
                      <w:rFonts w:hint="default" w:ascii="Times New Roman" w:hAnsi="Times New Roman" w:eastAsia="宋体"/>
                      <w:color w:val="auto"/>
                      <w:spacing w:val="2"/>
                      <w:szCs w:val="21"/>
                      <w:highlight w:val="none"/>
                    </w:rPr>
                    <w:t>1小时平均值</w:t>
                  </w:r>
                </w:p>
              </w:tc>
              <w:tc>
                <w:tcPr>
                  <w:tcW w:w="619" w:type="pct"/>
                  <w:tcMar>
                    <w:top w:w="0" w:type="dxa"/>
                    <w:left w:w="51" w:type="dxa"/>
                    <w:bottom w:w="0" w:type="dxa"/>
                    <w:right w:w="51" w:type="dxa"/>
                  </w:tcMar>
                  <w:vAlign w:val="center"/>
                </w:tcPr>
                <w:p w14:paraId="51AB589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pacing w:val="2"/>
                      <w:szCs w:val="21"/>
                      <w:highlight w:val="none"/>
                    </w:rPr>
                  </w:pPr>
                  <w:r>
                    <w:rPr>
                      <w:rFonts w:hint="default" w:ascii="Times New Roman" w:hAnsi="Times New Roman" w:eastAsia="宋体"/>
                      <w:color w:val="auto"/>
                      <w:spacing w:val="2"/>
                      <w:szCs w:val="21"/>
                      <w:highlight w:val="none"/>
                    </w:rPr>
                    <w:t>2.0</w:t>
                  </w:r>
                </w:p>
              </w:tc>
              <w:tc>
                <w:tcPr>
                  <w:tcW w:w="730" w:type="pct"/>
                  <w:tcMar>
                    <w:top w:w="0" w:type="dxa"/>
                    <w:left w:w="51" w:type="dxa"/>
                    <w:bottom w:w="0" w:type="dxa"/>
                    <w:right w:w="51" w:type="dxa"/>
                  </w:tcMar>
                  <w:vAlign w:val="center"/>
                </w:tcPr>
                <w:p w14:paraId="0EB40E3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pacing w:val="2"/>
                      <w:szCs w:val="21"/>
                      <w:highlight w:val="none"/>
                      <w:lang w:val="en-US" w:eastAsia="zh-CN"/>
                    </w:rPr>
                  </w:pPr>
                  <w:r>
                    <w:rPr>
                      <w:rFonts w:hint="eastAsia" w:ascii="Times New Roman" w:hAnsi="Times New Roman" w:eastAsia="宋体"/>
                      <w:color w:val="auto"/>
                      <w:spacing w:val="2"/>
                      <w:szCs w:val="21"/>
                      <w:highlight w:val="none"/>
                      <w:lang w:val="en-US" w:eastAsia="zh-CN"/>
                    </w:rPr>
                    <w:t>0.09~0.63</w:t>
                  </w:r>
                </w:p>
              </w:tc>
              <w:tc>
                <w:tcPr>
                  <w:tcW w:w="606" w:type="pct"/>
                  <w:tcMar>
                    <w:top w:w="0" w:type="dxa"/>
                    <w:left w:w="51" w:type="dxa"/>
                    <w:bottom w:w="0" w:type="dxa"/>
                    <w:right w:w="51" w:type="dxa"/>
                  </w:tcMar>
                  <w:vAlign w:val="center"/>
                </w:tcPr>
                <w:p w14:paraId="7FF796B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pacing w:val="2"/>
                      <w:szCs w:val="21"/>
                      <w:highlight w:val="none"/>
                      <w:lang w:val="en-US" w:eastAsia="zh-CN"/>
                    </w:rPr>
                  </w:pPr>
                  <w:r>
                    <w:rPr>
                      <w:rFonts w:hint="eastAsia" w:ascii="Times New Roman" w:hAnsi="Times New Roman" w:eastAsia="宋体"/>
                      <w:color w:val="auto"/>
                      <w:spacing w:val="2"/>
                      <w:szCs w:val="21"/>
                      <w:highlight w:val="none"/>
                      <w:lang w:val="en-US" w:eastAsia="zh-CN"/>
                    </w:rPr>
                    <w:t>31.5</w:t>
                  </w:r>
                </w:p>
              </w:tc>
              <w:tc>
                <w:tcPr>
                  <w:tcW w:w="418" w:type="pct"/>
                  <w:tcMar>
                    <w:top w:w="0" w:type="dxa"/>
                    <w:left w:w="51" w:type="dxa"/>
                    <w:bottom w:w="0" w:type="dxa"/>
                    <w:right w:w="51" w:type="dxa"/>
                  </w:tcMar>
                  <w:vAlign w:val="center"/>
                </w:tcPr>
                <w:p w14:paraId="073DD59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pacing w:val="2"/>
                      <w:szCs w:val="21"/>
                      <w:highlight w:val="none"/>
                    </w:rPr>
                  </w:pPr>
                  <w:r>
                    <w:rPr>
                      <w:rFonts w:hint="default" w:ascii="Times New Roman" w:hAnsi="Times New Roman" w:eastAsia="宋体"/>
                      <w:color w:val="auto"/>
                      <w:spacing w:val="2"/>
                      <w:szCs w:val="21"/>
                      <w:highlight w:val="none"/>
                    </w:rPr>
                    <w:t>0</w:t>
                  </w:r>
                </w:p>
              </w:tc>
              <w:tc>
                <w:tcPr>
                  <w:tcW w:w="436" w:type="pct"/>
                  <w:tcMar>
                    <w:top w:w="0" w:type="dxa"/>
                    <w:left w:w="51" w:type="dxa"/>
                    <w:bottom w:w="0" w:type="dxa"/>
                    <w:right w:w="51" w:type="dxa"/>
                  </w:tcMar>
                  <w:vAlign w:val="center"/>
                </w:tcPr>
                <w:p w14:paraId="634D860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达标</w:t>
                  </w:r>
                </w:p>
              </w:tc>
            </w:tr>
          </w:tbl>
          <w:p w14:paraId="7A706ECB">
            <w:pPr>
              <w:keepNext w:val="0"/>
              <w:keepLines w:val="0"/>
              <w:pageBreakBefore w:val="0"/>
              <w:widowControl w:val="0"/>
              <w:suppressLineNumbers w:val="0"/>
              <w:kinsoku/>
              <w:wordWrap/>
              <w:overflowPunct/>
              <w:topLinePunct w:val="0"/>
              <w:autoSpaceDE/>
              <w:autoSpaceDN/>
              <w:bidi w:val="0"/>
              <w:adjustRightInd/>
              <w:snapToGrid w:val="0"/>
              <w:spacing w:before="157" w:beforeLines="50" w:beforeAutospacing="0" w:after="0" w:afterAutospacing="0" w:line="360" w:lineRule="auto"/>
              <w:ind w:left="0" w:right="0" w:firstLine="480" w:firstLineChars="200"/>
              <w:textAlignment w:val="auto"/>
              <w:rPr>
                <w:rFonts w:hint="eastAsia" w:ascii="Times New Roman" w:hAnsi="Times New Roman" w:eastAsia="宋体"/>
                <w:color w:val="auto"/>
                <w:sz w:val="24"/>
                <w:highlight w:val="none"/>
                <w:lang w:eastAsia="zh-CN"/>
              </w:rPr>
            </w:pPr>
            <w:r>
              <w:rPr>
                <w:rFonts w:hint="default" w:ascii="Times New Roman" w:hAnsi="Times New Roman" w:eastAsia="宋体"/>
                <w:color w:val="auto"/>
                <w:sz w:val="24"/>
                <w:highlight w:val="none"/>
              </w:rPr>
              <w:t>从上表可见，项目所在地非甲烷总烃满足《大气污染物综合排放标准详解》中</w:t>
            </w:r>
            <w:r>
              <w:rPr>
                <w:rFonts w:hint="eastAsia" w:ascii="Times New Roman" w:hAnsi="Times New Roman" w:eastAsia="宋体"/>
                <w:color w:val="auto"/>
                <w:sz w:val="24"/>
                <w:highlight w:val="none"/>
              </w:rPr>
              <w:t>推荐值</w:t>
            </w:r>
            <w:r>
              <w:rPr>
                <w:rFonts w:hint="eastAsia" w:ascii="Times New Roman" w:hAnsi="Times New Roman" w:eastAsia="宋体"/>
                <w:color w:val="auto"/>
                <w:sz w:val="24"/>
                <w:highlight w:val="none"/>
                <w:lang w:val="en-US" w:eastAsia="zh-CN"/>
              </w:rPr>
              <w:t>标准。</w:t>
            </w:r>
          </w:p>
          <w:p w14:paraId="4E490813">
            <w:pPr>
              <w:keepNext w:val="0"/>
              <w:keepLines w:val="0"/>
              <w:suppressLineNumbers w:val="0"/>
              <w:adjustRightInd w:val="0"/>
              <w:snapToGrid w:val="0"/>
              <w:spacing w:before="0" w:beforeAutospacing="0" w:after="0" w:afterAutospacing="0" w:line="360" w:lineRule="auto"/>
              <w:ind w:left="0" w:right="0"/>
              <w:jc w:val="left"/>
              <w:rPr>
                <w:rFonts w:hint="default" w:ascii="Times New Roman" w:hAnsi="Times New Roman" w:eastAsia="宋体"/>
                <w:b/>
                <w:bCs/>
                <w:color w:val="auto"/>
                <w:kern w:val="0"/>
                <w:sz w:val="24"/>
              </w:rPr>
            </w:pPr>
            <w:r>
              <w:rPr>
                <w:rFonts w:hint="default" w:ascii="Times New Roman" w:hAnsi="Times New Roman" w:eastAsia="宋体"/>
                <w:b/>
                <w:bCs/>
                <w:color w:val="auto"/>
                <w:kern w:val="0"/>
                <w:sz w:val="24"/>
              </w:rPr>
              <w:t>2</w:t>
            </w:r>
            <w:r>
              <w:rPr>
                <w:rFonts w:hint="eastAsia" w:ascii="Times New Roman" w:hAnsi="Times New Roman" w:eastAsia="宋体"/>
                <w:b/>
                <w:bCs/>
                <w:color w:val="auto"/>
                <w:kern w:val="0"/>
                <w:sz w:val="24"/>
              </w:rPr>
              <w:t>、</w:t>
            </w:r>
            <w:r>
              <w:rPr>
                <w:rFonts w:hint="default" w:ascii="Times New Roman" w:hAnsi="Times New Roman" w:eastAsia="宋体"/>
                <w:b/>
                <w:bCs/>
                <w:color w:val="auto"/>
                <w:kern w:val="0"/>
                <w:sz w:val="24"/>
              </w:rPr>
              <w:t>地表水环境</w:t>
            </w:r>
          </w:p>
          <w:p w14:paraId="4EC7EA1A">
            <w:pPr>
              <w:pStyle w:val="19"/>
              <w:keepNext w:val="0"/>
              <w:keepLines w:val="0"/>
              <w:suppressLineNumbers w:val="0"/>
              <w:adjustRightInd w:val="0"/>
              <w:snapToGrid w:val="0"/>
              <w:spacing w:beforeAutospacing="0" w:after="0" w:afterAutospacing="0" w:line="360" w:lineRule="auto"/>
              <w:ind w:left="0" w:firstLine="480" w:firstLineChars="200"/>
              <w:rPr>
                <w:rFonts w:hint="default" w:ascii="Times New Roman" w:hAnsi="Times New Roman" w:eastAsia="宋体"/>
                <w:color w:val="auto"/>
                <w:sz w:val="24"/>
                <w:szCs w:val="24"/>
                <w:highlight w:val="none"/>
              </w:rPr>
            </w:pPr>
            <w:r>
              <w:rPr>
                <w:rStyle w:val="30"/>
                <w:rFonts w:hint="eastAsia" w:cs="Times New Roman"/>
                <w:b w:val="0"/>
                <w:bCs w:val="0"/>
                <w:color w:val="auto"/>
                <w:kern w:val="2"/>
                <w:sz w:val="24"/>
                <w:szCs w:val="24"/>
                <w:highlight w:val="none"/>
                <w:lang w:val="en-US" w:eastAsia="zh-CN"/>
              </w:rPr>
              <w:t>本项目纯水制备浓水、水浴锅排水和经化粪池处理后的员工生活污水、淋浴废水一并</w:t>
            </w:r>
            <w:r>
              <w:rPr>
                <w:rStyle w:val="30"/>
                <w:rFonts w:hint="eastAsia" w:ascii="Times New Roman" w:hAnsi="Times New Roman" w:eastAsia="宋体" w:cs="Times New Roman"/>
                <w:b w:val="0"/>
                <w:bCs w:val="0"/>
                <w:color w:val="auto"/>
                <w:kern w:val="2"/>
                <w:sz w:val="24"/>
                <w:szCs w:val="24"/>
                <w:highlight w:val="none"/>
                <w:lang w:val="en-US" w:eastAsia="zh-CN"/>
              </w:rPr>
              <w:t>接管至太湖新城污水处理厂</w:t>
            </w:r>
            <w:r>
              <w:rPr>
                <w:rFonts w:hint="eastAsia" w:ascii="Times New Roman" w:hAnsi="Times New Roman" w:eastAsia="宋体"/>
                <w:color w:val="auto"/>
                <w:sz w:val="24"/>
                <w:szCs w:val="24"/>
                <w:highlight w:val="none"/>
                <w:lang w:eastAsia="zh-CN"/>
              </w:rPr>
              <w:t>集中</w:t>
            </w:r>
            <w:r>
              <w:rPr>
                <w:rFonts w:hint="default" w:ascii="Times New Roman" w:hAnsi="Times New Roman" w:eastAsia="宋体"/>
                <w:color w:val="auto"/>
                <w:sz w:val="24"/>
                <w:szCs w:val="24"/>
                <w:highlight w:val="none"/>
              </w:rPr>
              <w:t>处理，尾水排入京杭运河。</w:t>
            </w:r>
            <w:r>
              <w:rPr>
                <w:rFonts w:hint="default" w:ascii="Times New Roman" w:hAnsi="Times New Roman" w:eastAsia="宋体"/>
                <w:color w:val="auto"/>
                <w:sz w:val="24"/>
                <w:highlight w:val="none"/>
              </w:rPr>
              <w:t>根据《江苏省地表水（环境）功能区划</w:t>
            </w:r>
            <w:r>
              <w:rPr>
                <w:rFonts w:hint="eastAsia" w:ascii="Times New Roman" w:hAnsi="Times New Roman" w:eastAsia="宋体"/>
                <w:color w:val="auto"/>
                <w:sz w:val="24"/>
                <w:highlight w:val="none"/>
                <w:lang w:eastAsia="zh-CN"/>
              </w:rPr>
              <w:t>（</w:t>
            </w:r>
            <w:r>
              <w:rPr>
                <w:rFonts w:hint="eastAsia" w:ascii="Times New Roman" w:hAnsi="Times New Roman" w:eastAsia="宋体"/>
                <w:color w:val="auto"/>
                <w:sz w:val="24"/>
                <w:highlight w:val="none"/>
                <w:lang w:val="en-US" w:eastAsia="zh-CN"/>
              </w:rPr>
              <w:t>2021-2030年</w:t>
            </w:r>
            <w:r>
              <w:rPr>
                <w:rFonts w:hint="eastAsia" w:ascii="Times New Roman" w:hAnsi="Times New Roman" w:eastAsia="宋体"/>
                <w:color w:val="auto"/>
                <w:sz w:val="24"/>
                <w:highlight w:val="none"/>
                <w:lang w:eastAsia="zh-CN"/>
              </w:rPr>
              <w:t>）</w:t>
            </w:r>
            <w:r>
              <w:rPr>
                <w:rFonts w:hint="default" w:ascii="Times New Roman" w:hAnsi="Times New Roman" w:eastAsia="宋体"/>
                <w:color w:val="auto"/>
                <w:sz w:val="24"/>
                <w:highlight w:val="none"/>
              </w:rPr>
              <w:t>》</w:t>
            </w:r>
            <w:r>
              <w:rPr>
                <w:rFonts w:hint="default" w:ascii="Times New Roman" w:hAnsi="Times New Roman" w:eastAsia="宋体"/>
                <w:color w:val="auto"/>
                <w:sz w:val="24"/>
                <w:szCs w:val="24"/>
                <w:highlight w:val="none"/>
              </w:rPr>
              <w:t>，京杭运河20</w:t>
            </w:r>
            <w:r>
              <w:rPr>
                <w:rFonts w:hint="eastAsia" w:ascii="Times New Roman" w:hAnsi="Times New Roman" w:eastAsia="宋体"/>
                <w:color w:val="auto"/>
                <w:sz w:val="24"/>
                <w:szCs w:val="24"/>
                <w:highlight w:val="none"/>
                <w:lang w:val="en-US" w:eastAsia="zh-CN"/>
              </w:rPr>
              <w:t>3</w:t>
            </w:r>
            <w:r>
              <w:rPr>
                <w:rFonts w:hint="default" w:ascii="Times New Roman" w:hAnsi="Times New Roman" w:eastAsia="宋体"/>
                <w:color w:val="auto"/>
                <w:sz w:val="24"/>
                <w:szCs w:val="24"/>
                <w:highlight w:val="none"/>
              </w:rPr>
              <w:t>0年水域功能目标类别为Ⅳ类。</w:t>
            </w:r>
          </w:p>
          <w:p w14:paraId="048E9F81">
            <w:pPr>
              <w:keepNext w:val="0"/>
              <w:keepLines w:val="0"/>
              <w:suppressLineNumbers w:val="0"/>
              <w:tabs>
                <w:tab w:val="left" w:pos="9555"/>
              </w:tabs>
              <w:adjustRightInd w:val="0"/>
              <w:snapToGrid w:val="0"/>
              <w:spacing w:before="0" w:beforeAutospacing="0" w:after="0" w:afterAutospacing="0" w:line="360" w:lineRule="auto"/>
              <w:ind w:left="0" w:right="0" w:firstLine="480" w:firstLineChars="200"/>
              <w:rPr>
                <w:rFonts w:hint="default" w:ascii="Times New Roman" w:hAnsi="Times New Roman" w:eastAsia="宋体"/>
                <w:color w:val="auto"/>
                <w:sz w:val="24"/>
                <w:szCs w:val="24"/>
                <w:highlight w:val="none"/>
              </w:rPr>
            </w:pPr>
            <w:r>
              <w:rPr>
                <w:rFonts w:hint="default" w:ascii="Times New Roman" w:hAnsi="Times New Roman" w:eastAsia="宋体" w:cs="Times New Roman"/>
                <w:color w:val="auto"/>
                <w:sz w:val="24"/>
                <w:highlight w:val="none"/>
              </w:rPr>
              <w:t>本报告地表水环境质量现状引用</w:t>
            </w:r>
            <w:r>
              <w:rPr>
                <w:rFonts w:hint="default" w:ascii="Times New Roman" w:hAnsi="Times New Roman" w:eastAsia="宋体"/>
                <w:color w:val="auto"/>
                <w:sz w:val="24"/>
                <w:highlight w:val="none"/>
              </w:rPr>
              <w:t>无锡</w:t>
            </w:r>
            <w:r>
              <w:rPr>
                <w:rFonts w:hint="eastAsia" w:ascii="Times New Roman" w:hAnsi="Times New Roman" w:eastAsia="宋体"/>
                <w:color w:val="auto"/>
                <w:sz w:val="24"/>
                <w:highlight w:val="none"/>
                <w:lang w:eastAsia="zh-CN"/>
              </w:rPr>
              <w:t>市恒信安全技术服务</w:t>
            </w:r>
            <w:r>
              <w:rPr>
                <w:rFonts w:hint="default" w:ascii="Times New Roman" w:hAnsi="Times New Roman" w:eastAsia="宋体"/>
                <w:color w:val="auto"/>
                <w:sz w:val="24"/>
                <w:highlight w:val="none"/>
              </w:rPr>
              <w:t>有限公司</w:t>
            </w:r>
            <w:r>
              <w:rPr>
                <w:rFonts w:hint="eastAsia" w:ascii="Times New Roman" w:hAnsi="Times New Roman" w:eastAsia="宋体"/>
                <w:color w:val="auto"/>
                <w:sz w:val="24"/>
                <w:szCs w:val="24"/>
                <w:highlight w:val="none"/>
              </w:rPr>
              <w:t>于202</w:t>
            </w:r>
            <w:r>
              <w:rPr>
                <w:rFonts w:hint="eastAsia" w:ascii="Times New Roman" w:hAnsi="Times New Roman" w:eastAsia="宋体"/>
                <w:color w:val="auto"/>
                <w:sz w:val="24"/>
                <w:szCs w:val="24"/>
                <w:highlight w:val="none"/>
                <w:lang w:val="en-US" w:eastAsia="zh-CN"/>
              </w:rPr>
              <w:t>4</w:t>
            </w:r>
            <w:r>
              <w:rPr>
                <w:rFonts w:hint="eastAsia" w:ascii="Times New Roman" w:hAnsi="Times New Roman" w:eastAsia="宋体"/>
                <w:color w:val="auto"/>
                <w:sz w:val="24"/>
                <w:szCs w:val="24"/>
                <w:highlight w:val="none"/>
              </w:rPr>
              <w:t>年</w:t>
            </w:r>
            <w:r>
              <w:rPr>
                <w:rFonts w:hint="eastAsia" w:ascii="Times New Roman" w:hAnsi="Times New Roman" w:eastAsia="宋体"/>
                <w:color w:val="auto"/>
                <w:sz w:val="24"/>
                <w:szCs w:val="24"/>
                <w:highlight w:val="none"/>
                <w:lang w:val="en-US" w:eastAsia="zh-CN"/>
              </w:rPr>
              <w:t>5</w:t>
            </w:r>
            <w:r>
              <w:rPr>
                <w:rFonts w:hint="eastAsia" w:ascii="Times New Roman" w:hAnsi="Times New Roman" w:eastAsia="宋体"/>
                <w:color w:val="auto"/>
                <w:sz w:val="24"/>
                <w:szCs w:val="24"/>
                <w:highlight w:val="none"/>
              </w:rPr>
              <w:t>月</w:t>
            </w:r>
            <w:r>
              <w:rPr>
                <w:rFonts w:hint="eastAsia" w:ascii="Times New Roman" w:hAnsi="Times New Roman" w:eastAsia="宋体"/>
                <w:color w:val="auto"/>
                <w:sz w:val="24"/>
                <w:szCs w:val="24"/>
                <w:highlight w:val="none"/>
                <w:lang w:val="en-US" w:eastAsia="zh-CN"/>
              </w:rPr>
              <w:t>30</w:t>
            </w:r>
            <w:r>
              <w:rPr>
                <w:rFonts w:hint="eastAsia" w:ascii="Times New Roman" w:hAnsi="Times New Roman" w:eastAsia="宋体"/>
                <w:color w:val="auto"/>
                <w:sz w:val="24"/>
                <w:szCs w:val="24"/>
                <w:highlight w:val="none"/>
              </w:rPr>
              <w:t>日</w:t>
            </w:r>
            <w:r>
              <w:rPr>
                <w:rFonts w:hint="eastAsia" w:ascii="Times New Roman" w:hAnsi="Times New Roman" w:eastAsia="宋体"/>
                <w:color w:val="auto"/>
                <w:sz w:val="24"/>
                <w:szCs w:val="24"/>
                <w:highlight w:val="none"/>
                <w:lang w:val="en-US" w:eastAsia="zh-CN"/>
              </w:rPr>
              <w:t>~</w:t>
            </w:r>
            <w:r>
              <w:rPr>
                <w:rFonts w:hint="eastAsia" w:ascii="Times New Roman" w:hAnsi="Times New Roman" w:eastAsia="宋体"/>
                <w:color w:val="auto"/>
                <w:sz w:val="24"/>
                <w:szCs w:val="24"/>
                <w:highlight w:val="none"/>
              </w:rPr>
              <w:t>202</w:t>
            </w:r>
            <w:r>
              <w:rPr>
                <w:rFonts w:hint="eastAsia" w:ascii="Times New Roman" w:hAnsi="Times New Roman" w:eastAsia="宋体"/>
                <w:color w:val="auto"/>
                <w:sz w:val="24"/>
                <w:szCs w:val="24"/>
                <w:highlight w:val="none"/>
                <w:lang w:val="en-US" w:eastAsia="zh-CN"/>
              </w:rPr>
              <w:t>4</w:t>
            </w:r>
            <w:r>
              <w:rPr>
                <w:rFonts w:hint="eastAsia" w:ascii="Times New Roman" w:hAnsi="Times New Roman" w:eastAsia="宋体"/>
                <w:color w:val="auto"/>
                <w:sz w:val="24"/>
                <w:szCs w:val="24"/>
                <w:highlight w:val="none"/>
              </w:rPr>
              <w:t>年</w:t>
            </w:r>
            <w:r>
              <w:rPr>
                <w:rFonts w:hint="eastAsia" w:ascii="Times New Roman" w:hAnsi="Times New Roman" w:eastAsia="宋体"/>
                <w:color w:val="auto"/>
                <w:sz w:val="24"/>
                <w:szCs w:val="24"/>
                <w:highlight w:val="none"/>
                <w:lang w:val="en-US" w:eastAsia="zh-CN"/>
              </w:rPr>
              <w:t>6</w:t>
            </w:r>
            <w:r>
              <w:rPr>
                <w:rFonts w:hint="eastAsia" w:ascii="Times New Roman" w:hAnsi="Times New Roman" w:eastAsia="宋体"/>
                <w:color w:val="auto"/>
                <w:sz w:val="24"/>
                <w:szCs w:val="24"/>
                <w:highlight w:val="none"/>
              </w:rPr>
              <w:t>月</w:t>
            </w:r>
            <w:r>
              <w:rPr>
                <w:rFonts w:hint="eastAsia" w:ascii="Times New Roman" w:hAnsi="Times New Roman" w:eastAsia="宋体"/>
                <w:color w:val="auto"/>
                <w:sz w:val="24"/>
                <w:szCs w:val="24"/>
                <w:highlight w:val="none"/>
                <w:lang w:val="en-US" w:eastAsia="zh-CN"/>
              </w:rPr>
              <w:t>1</w:t>
            </w:r>
            <w:r>
              <w:rPr>
                <w:rFonts w:hint="eastAsia" w:ascii="Times New Roman" w:hAnsi="Times New Roman" w:eastAsia="宋体"/>
                <w:color w:val="auto"/>
                <w:sz w:val="24"/>
                <w:szCs w:val="24"/>
                <w:highlight w:val="none"/>
              </w:rPr>
              <w:t>日对</w:t>
            </w:r>
            <w:r>
              <w:rPr>
                <w:rFonts w:hint="eastAsia" w:ascii="Times New Roman" w:hAnsi="Times New Roman" w:eastAsia="宋体"/>
                <w:color w:val="auto"/>
                <w:sz w:val="24"/>
                <w:szCs w:val="24"/>
                <w:highlight w:val="none"/>
                <w:lang w:eastAsia="zh-CN"/>
              </w:rPr>
              <w:t>太湖新城污水处理厂上游</w:t>
            </w:r>
            <w:r>
              <w:rPr>
                <w:rFonts w:hint="eastAsia" w:ascii="Times New Roman" w:hAnsi="Times New Roman" w:eastAsia="宋体"/>
                <w:color w:val="auto"/>
                <w:sz w:val="24"/>
                <w:szCs w:val="24"/>
                <w:highlight w:val="none"/>
                <w:lang w:val="en-US" w:eastAsia="zh-CN"/>
              </w:rPr>
              <w:t>500m、太湖新城污水处理厂下游500m</w:t>
            </w:r>
            <w:r>
              <w:rPr>
                <w:rFonts w:hint="eastAsia" w:ascii="Times New Roman" w:hAnsi="Times New Roman" w:eastAsia="宋体"/>
                <w:color w:val="auto"/>
                <w:sz w:val="24"/>
                <w:szCs w:val="24"/>
                <w:highlight w:val="none"/>
                <w:lang w:eastAsia="zh-CN"/>
              </w:rPr>
              <w:t>的监测数据（监测报告编号：</w:t>
            </w:r>
            <w:r>
              <w:rPr>
                <w:rFonts w:hint="eastAsia" w:ascii="Times New Roman" w:hAnsi="Times New Roman" w:eastAsia="宋体"/>
                <w:color w:val="auto"/>
                <w:sz w:val="24"/>
                <w:highlight w:val="none"/>
                <w:lang w:eastAsia="zh-CN"/>
              </w:rPr>
              <w:t>恒信（环）字第</w:t>
            </w:r>
            <w:r>
              <w:rPr>
                <w:rFonts w:hint="eastAsia" w:ascii="Times New Roman" w:hAnsi="Times New Roman" w:eastAsia="宋体"/>
                <w:color w:val="auto"/>
                <w:sz w:val="24"/>
                <w:highlight w:val="none"/>
                <w:lang w:val="en-US" w:eastAsia="zh-CN"/>
              </w:rPr>
              <w:t>HXHJ202405052号</w:t>
            </w:r>
            <w:r>
              <w:rPr>
                <w:rFonts w:hint="eastAsia" w:ascii="Times New Roman" w:hAnsi="Times New Roman" w:eastAsia="宋体"/>
                <w:color w:val="auto"/>
                <w:sz w:val="24"/>
                <w:szCs w:val="24"/>
                <w:highlight w:val="none"/>
                <w:lang w:eastAsia="zh-CN"/>
              </w:rPr>
              <w:t>），</w:t>
            </w:r>
            <w:r>
              <w:rPr>
                <w:rFonts w:hint="default" w:ascii="Times New Roman" w:hAnsi="Times New Roman" w:eastAsia="宋体" w:cs="Times New Roman"/>
                <w:color w:val="auto"/>
                <w:sz w:val="24"/>
                <w:highlight w:val="none"/>
              </w:rPr>
              <w:t>监测结果见</w:t>
            </w:r>
            <w:r>
              <w:rPr>
                <w:rFonts w:hint="eastAsia" w:ascii="Times New Roman" w:hAnsi="Times New Roman" w:eastAsia="宋体" w:cs="Times New Roman"/>
                <w:color w:val="auto"/>
                <w:sz w:val="24"/>
                <w:highlight w:val="none"/>
                <w:lang w:eastAsia="zh-CN"/>
              </w:rPr>
              <w:t>下表</w:t>
            </w:r>
            <w:r>
              <w:rPr>
                <w:rFonts w:hint="default" w:ascii="Times New Roman" w:hAnsi="Times New Roman" w:eastAsia="宋体" w:cs="Times New Roman"/>
                <w:color w:val="auto"/>
                <w:sz w:val="24"/>
                <w:highlight w:val="none"/>
              </w:rPr>
              <w:t>。</w:t>
            </w:r>
          </w:p>
          <w:p w14:paraId="60960850">
            <w:pPr>
              <w:keepNext w:val="0"/>
              <w:keepLines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snapToGrid w:val="0"/>
                <w:color w:val="auto"/>
                <w:spacing w:val="-8"/>
                <w:kern w:val="2"/>
                <w:sz w:val="24"/>
                <w:szCs w:val="24"/>
                <w:lang w:val="en-US" w:eastAsia="zh-CN" w:bidi="ar-SA"/>
              </w:rPr>
            </w:pPr>
          </w:p>
          <w:p w14:paraId="68F138B9">
            <w:pPr>
              <w:keepNext w:val="0"/>
              <w:keepLines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snapToGrid w:val="0"/>
                <w:color w:val="auto"/>
                <w:spacing w:val="-8"/>
                <w:kern w:val="2"/>
                <w:sz w:val="24"/>
                <w:szCs w:val="24"/>
                <w:lang w:val="en-US" w:eastAsia="zh-CN" w:bidi="ar-SA"/>
              </w:rPr>
            </w:pPr>
          </w:p>
          <w:p w14:paraId="464200EA">
            <w:pPr>
              <w:keepNext w:val="0"/>
              <w:keepLines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snapToGrid w:val="0"/>
                <w:color w:val="auto"/>
                <w:spacing w:val="-8"/>
                <w:kern w:val="2"/>
                <w:sz w:val="24"/>
                <w:szCs w:val="24"/>
                <w:lang w:val="en-US" w:eastAsia="zh-CN" w:bidi="ar-SA"/>
              </w:rPr>
            </w:pPr>
          </w:p>
          <w:p w14:paraId="2F25D30F">
            <w:pPr>
              <w:keepNext w:val="0"/>
              <w:keepLines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snapToGrid w:val="0"/>
                <w:color w:val="auto"/>
                <w:spacing w:val="-8"/>
                <w:kern w:val="2"/>
                <w:sz w:val="24"/>
                <w:szCs w:val="24"/>
                <w:lang w:val="en-US" w:eastAsia="zh-CN" w:bidi="ar-SA"/>
              </w:rPr>
            </w:pPr>
          </w:p>
          <w:p w14:paraId="56581392">
            <w:pPr>
              <w:keepNext w:val="0"/>
              <w:keepLines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snapToGrid w:val="0"/>
                <w:color w:val="auto"/>
                <w:spacing w:val="-8"/>
                <w:sz w:val="24"/>
                <w:highlight w:val="none"/>
              </w:rPr>
            </w:pPr>
            <w:r>
              <w:rPr>
                <w:rFonts w:hint="default" w:ascii="Times New Roman" w:hAnsi="Times New Roman" w:eastAsia="宋体" w:cs="Times New Roman"/>
                <w:b/>
                <w:snapToGrid w:val="0"/>
                <w:color w:val="auto"/>
                <w:spacing w:val="-8"/>
                <w:kern w:val="2"/>
                <w:sz w:val="24"/>
                <w:szCs w:val="24"/>
                <w:lang w:val="en-US" w:eastAsia="zh-CN" w:bidi="ar-SA"/>
              </w:rPr>
              <w:t>表3-3</w:t>
            </w:r>
            <w:r>
              <w:rPr>
                <w:rFonts w:hint="eastAsia" w:ascii="Times New Roman" w:hAnsi="Times New Roman" w:eastAsia="宋体" w:cs="Times New Roman"/>
                <w:b/>
                <w:snapToGrid w:val="0"/>
                <w:color w:val="auto"/>
                <w:spacing w:val="-8"/>
                <w:kern w:val="2"/>
                <w:sz w:val="24"/>
                <w:szCs w:val="24"/>
                <w:lang w:val="en-US" w:eastAsia="zh-CN" w:bidi="ar-SA"/>
              </w:rPr>
              <w:t xml:space="preserve">  </w:t>
            </w:r>
            <w:r>
              <w:rPr>
                <w:rFonts w:hint="default" w:ascii="Times New Roman" w:hAnsi="Times New Roman" w:eastAsia="宋体" w:cs="Times New Roman"/>
                <w:b/>
                <w:bCs/>
                <w:snapToGrid w:val="0"/>
                <w:color w:val="auto"/>
                <w:spacing w:val="-8"/>
                <w:sz w:val="24"/>
                <w:highlight w:val="none"/>
              </w:rPr>
              <w:t>地表</w:t>
            </w:r>
            <w:r>
              <w:rPr>
                <w:rFonts w:hint="default" w:ascii="Times New Roman" w:hAnsi="Times New Roman" w:eastAsia="宋体" w:cs="Times New Roman"/>
                <w:b/>
                <w:snapToGrid w:val="0"/>
                <w:color w:val="auto"/>
                <w:spacing w:val="-8"/>
                <w:sz w:val="24"/>
                <w:highlight w:val="none"/>
              </w:rPr>
              <w:t>水环境质量监测结果   单位：mg/L，pH无量纲</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51"/>
              <w:gridCol w:w="1583"/>
              <w:gridCol w:w="1318"/>
              <w:gridCol w:w="1318"/>
              <w:gridCol w:w="1318"/>
              <w:gridCol w:w="1323"/>
            </w:tblGrid>
            <w:tr w14:paraId="21AAF0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3" w:type="pct"/>
                  <w:tcBorders>
                    <w:tl2br w:val="nil"/>
                    <w:tr2bl w:val="nil"/>
                  </w:tcBorders>
                  <w:vAlign w:val="center"/>
                </w:tcPr>
                <w:p w14:paraId="591AA448">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断面名称</w:t>
                  </w:r>
                </w:p>
              </w:tc>
              <w:tc>
                <w:tcPr>
                  <w:tcW w:w="877" w:type="pct"/>
                  <w:tcBorders>
                    <w:tl2br w:val="nil"/>
                    <w:tr2bl w:val="nil"/>
                  </w:tcBorders>
                  <w:vAlign w:val="center"/>
                </w:tcPr>
                <w:p w14:paraId="5975FD66">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监测日期</w:t>
                  </w:r>
                </w:p>
              </w:tc>
              <w:tc>
                <w:tcPr>
                  <w:tcW w:w="731" w:type="pct"/>
                  <w:tcBorders>
                    <w:tl2br w:val="nil"/>
                    <w:tr2bl w:val="nil"/>
                  </w:tcBorders>
                  <w:vAlign w:val="center"/>
                </w:tcPr>
                <w:p w14:paraId="6EBA3ABE">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pH</w:t>
                  </w:r>
                </w:p>
              </w:tc>
              <w:tc>
                <w:tcPr>
                  <w:tcW w:w="731" w:type="pct"/>
                  <w:tcBorders>
                    <w:tl2br w:val="nil"/>
                    <w:tr2bl w:val="nil"/>
                  </w:tcBorders>
                  <w:vAlign w:val="center"/>
                </w:tcPr>
                <w:p w14:paraId="5A6D00CF">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COD</w:t>
                  </w:r>
                </w:p>
              </w:tc>
              <w:tc>
                <w:tcPr>
                  <w:tcW w:w="731" w:type="pct"/>
                  <w:tcBorders>
                    <w:tl2br w:val="nil"/>
                    <w:tr2bl w:val="nil"/>
                  </w:tcBorders>
                  <w:vAlign w:val="center"/>
                </w:tcPr>
                <w:p w14:paraId="6176DCA5">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氨氮</w:t>
                  </w:r>
                </w:p>
              </w:tc>
              <w:tc>
                <w:tcPr>
                  <w:tcW w:w="733" w:type="pct"/>
                  <w:tcBorders>
                    <w:tl2br w:val="nil"/>
                    <w:tr2bl w:val="nil"/>
                  </w:tcBorders>
                  <w:vAlign w:val="center"/>
                </w:tcPr>
                <w:p w14:paraId="17F96C42">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总磷</w:t>
                  </w:r>
                </w:p>
              </w:tc>
            </w:tr>
            <w:tr w14:paraId="1D15E9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3" w:type="pct"/>
                  <w:vMerge w:val="restart"/>
                  <w:tcBorders>
                    <w:tl2br w:val="nil"/>
                    <w:tr2bl w:val="nil"/>
                  </w:tcBorders>
                  <w:vAlign w:val="center"/>
                </w:tcPr>
                <w:p w14:paraId="4832D74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eastAsia="zh-CN"/>
                    </w:rPr>
                    <w:t>太湖新城污水处理厂上游</w:t>
                  </w:r>
                  <w:r>
                    <w:rPr>
                      <w:rFonts w:hint="default" w:ascii="Times New Roman" w:hAnsi="Times New Roman" w:eastAsia="宋体" w:cs="Times New Roman"/>
                      <w:color w:val="auto"/>
                      <w:szCs w:val="21"/>
                      <w:highlight w:val="none"/>
                      <w:lang w:val="en-US" w:eastAsia="zh-CN"/>
                    </w:rPr>
                    <w:t>500m</w:t>
                  </w:r>
                </w:p>
              </w:tc>
              <w:tc>
                <w:tcPr>
                  <w:tcW w:w="877" w:type="pct"/>
                  <w:tcBorders>
                    <w:tl2br w:val="nil"/>
                    <w:tr2bl w:val="nil"/>
                  </w:tcBorders>
                  <w:vAlign w:val="center"/>
                </w:tcPr>
                <w:p w14:paraId="4D33756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202</w:t>
                  </w:r>
                  <w:r>
                    <w:rPr>
                      <w:rFonts w:hint="eastAsia" w:ascii="Times New Roman" w:hAnsi="Times New Roman" w:eastAsia="宋体" w:cs="Times New Roman"/>
                      <w:color w:val="auto"/>
                      <w:szCs w:val="21"/>
                      <w:highlight w:val="none"/>
                      <w:lang w:val="en-US" w:eastAsia="zh-CN"/>
                    </w:rPr>
                    <w:t>4.5.30</w:t>
                  </w:r>
                </w:p>
              </w:tc>
              <w:tc>
                <w:tcPr>
                  <w:tcW w:w="731" w:type="pct"/>
                  <w:tcBorders>
                    <w:tl2br w:val="nil"/>
                    <w:tr2bl w:val="nil"/>
                  </w:tcBorders>
                  <w:vAlign w:val="center"/>
                </w:tcPr>
                <w:p w14:paraId="7547401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7.6</w:t>
                  </w:r>
                </w:p>
              </w:tc>
              <w:tc>
                <w:tcPr>
                  <w:tcW w:w="731" w:type="pct"/>
                  <w:tcBorders>
                    <w:tl2br w:val="nil"/>
                    <w:tr2bl w:val="nil"/>
                  </w:tcBorders>
                  <w:vAlign w:val="center"/>
                </w:tcPr>
                <w:p w14:paraId="2911869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26</w:t>
                  </w:r>
                </w:p>
              </w:tc>
              <w:tc>
                <w:tcPr>
                  <w:tcW w:w="731" w:type="pct"/>
                  <w:tcBorders>
                    <w:tl2br w:val="nil"/>
                    <w:tr2bl w:val="nil"/>
                  </w:tcBorders>
                  <w:vAlign w:val="center"/>
                </w:tcPr>
                <w:p w14:paraId="681EFA8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0.730</w:t>
                  </w:r>
                </w:p>
              </w:tc>
              <w:tc>
                <w:tcPr>
                  <w:tcW w:w="733" w:type="pct"/>
                  <w:tcBorders>
                    <w:tl2br w:val="nil"/>
                    <w:tr2bl w:val="nil"/>
                  </w:tcBorders>
                  <w:vAlign w:val="center"/>
                </w:tcPr>
                <w:p w14:paraId="53D7DAF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0.22</w:t>
                  </w:r>
                </w:p>
              </w:tc>
            </w:tr>
            <w:tr w14:paraId="50175C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3" w:type="pct"/>
                  <w:vMerge w:val="continue"/>
                  <w:tcBorders>
                    <w:tl2br w:val="nil"/>
                    <w:tr2bl w:val="nil"/>
                  </w:tcBorders>
                  <w:vAlign w:val="center"/>
                </w:tcPr>
                <w:p w14:paraId="4D04CC5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p>
              </w:tc>
              <w:tc>
                <w:tcPr>
                  <w:tcW w:w="877" w:type="pct"/>
                  <w:tcBorders>
                    <w:tl2br w:val="nil"/>
                    <w:tr2bl w:val="nil"/>
                  </w:tcBorders>
                  <w:vAlign w:val="center"/>
                </w:tcPr>
                <w:p w14:paraId="301EF5B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202</w:t>
                  </w:r>
                  <w:r>
                    <w:rPr>
                      <w:rFonts w:hint="eastAsia" w:ascii="Times New Roman" w:hAnsi="Times New Roman" w:eastAsia="宋体" w:cs="Times New Roman"/>
                      <w:color w:val="auto"/>
                      <w:szCs w:val="21"/>
                      <w:highlight w:val="none"/>
                      <w:lang w:val="en-US" w:eastAsia="zh-CN"/>
                    </w:rPr>
                    <w:t>4.5.31</w:t>
                  </w:r>
                </w:p>
              </w:tc>
              <w:tc>
                <w:tcPr>
                  <w:tcW w:w="731" w:type="pct"/>
                  <w:tcBorders>
                    <w:tl2br w:val="nil"/>
                    <w:tr2bl w:val="nil"/>
                  </w:tcBorders>
                  <w:vAlign w:val="center"/>
                </w:tcPr>
                <w:p w14:paraId="3BA9DC7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7.7</w:t>
                  </w:r>
                </w:p>
              </w:tc>
              <w:tc>
                <w:tcPr>
                  <w:tcW w:w="731" w:type="pct"/>
                  <w:tcBorders>
                    <w:tl2br w:val="nil"/>
                    <w:tr2bl w:val="nil"/>
                  </w:tcBorders>
                  <w:vAlign w:val="center"/>
                </w:tcPr>
                <w:p w14:paraId="6E93E15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26</w:t>
                  </w:r>
                </w:p>
              </w:tc>
              <w:tc>
                <w:tcPr>
                  <w:tcW w:w="731" w:type="pct"/>
                  <w:tcBorders>
                    <w:tl2br w:val="nil"/>
                    <w:tr2bl w:val="nil"/>
                  </w:tcBorders>
                  <w:vAlign w:val="center"/>
                </w:tcPr>
                <w:p w14:paraId="5C92529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0.781</w:t>
                  </w:r>
                </w:p>
              </w:tc>
              <w:tc>
                <w:tcPr>
                  <w:tcW w:w="733" w:type="pct"/>
                  <w:tcBorders>
                    <w:tl2br w:val="nil"/>
                    <w:tr2bl w:val="nil"/>
                  </w:tcBorders>
                  <w:vAlign w:val="center"/>
                </w:tcPr>
                <w:p w14:paraId="1984F27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0.29</w:t>
                  </w:r>
                </w:p>
              </w:tc>
            </w:tr>
            <w:tr w14:paraId="0966D5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3" w:type="pct"/>
                  <w:vMerge w:val="continue"/>
                  <w:tcBorders>
                    <w:tl2br w:val="nil"/>
                    <w:tr2bl w:val="nil"/>
                  </w:tcBorders>
                  <w:vAlign w:val="center"/>
                </w:tcPr>
                <w:p w14:paraId="3C36113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p>
              </w:tc>
              <w:tc>
                <w:tcPr>
                  <w:tcW w:w="877" w:type="pct"/>
                  <w:tcBorders>
                    <w:tl2br w:val="nil"/>
                    <w:tr2bl w:val="nil"/>
                  </w:tcBorders>
                  <w:vAlign w:val="center"/>
                </w:tcPr>
                <w:p w14:paraId="088C7BE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202</w:t>
                  </w:r>
                  <w:r>
                    <w:rPr>
                      <w:rFonts w:hint="eastAsia" w:ascii="Times New Roman" w:hAnsi="Times New Roman" w:eastAsia="宋体" w:cs="Times New Roman"/>
                      <w:color w:val="auto"/>
                      <w:szCs w:val="21"/>
                      <w:highlight w:val="none"/>
                      <w:lang w:val="en-US" w:eastAsia="zh-CN"/>
                    </w:rPr>
                    <w:t>4.6.1</w:t>
                  </w:r>
                </w:p>
              </w:tc>
              <w:tc>
                <w:tcPr>
                  <w:tcW w:w="731" w:type="pct"/>
                  <w:tcBorders>
                    <w:tl2br w:val="nil"/>
                    <w:tr2bl w:val="nil"/>
                  </w:tcBorders>
                  <w:vAlign w:val="center"/>
                </w:tcPr>
                <w:p w14:paraId="6785B05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7.7</w:t>
                  </w:r>
                </w:p>
              </w:tc>
              <w:tc>
                <w:tcPr>
                  <w:tcW w:w="731" w:type="pct"/>
                  <w:tcBorders>
                    <w:tl2br w:val="nil"/>
                    <w:tr2bl w:val="nil"/>
                  </w:tcBorders>
                  <w:vAlign w:val="center"/>
                </w:tcPr>
                <w:p w14:paraId="09CCBCE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21</w:t>
                  </w:r>
                </w:p>
              </w:tc>
              <w:tc>
                <w:tcPr>
                  <w:tcW w:w="731" w:type="pct"/>
                  <w:tcBorders>
                    <w:tl2br w:val="nil"/>
                    <w:tr2bl w:val="nil"/>
                  </w:tcBorders>
                  <w:vAlign w:val="center"/>
                </w:tcPr>
                <w:p w14:paraId="482C1FC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0.679</w:t>
                  </w:r>
                </w:p>
              </w:tc>
              <w:tc>
                <w:tcPr>
                  <w:tcW w:w="733" w:type="pct"/>
                  <w:tcBorders>
                    <w:tl2br w:val="nil"/>
                    <w:tr2bl w:val="nil"/>
                  </w:tcBorders>
                  <w:vAlign w:val="center"/>
                </w:tcPr>
                <w:p w14:paraId="52E3F69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0.28</w:t>
                  </w:r>
                </w:p>
              </w:tc>
            </w:tr>
            <w:tr w14:paraId="26F9E7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3" w:type="pct"/>
                  <w:vMerge w:val="restart"/>
                  <w:tcBorders>
                    <w:tl2br w:val="nil"/>
                    <w:tr2bl w:val="nil"/>
                  </w:tcBorders>
                  <w:vAlign w:val="center"/>
                </w:tcPr>
                <w:p w14:paraId="4289C4E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太湖新城污水处理厂下游</w:t>
                  </w:r>
                  <w:r>
                    <w:rPr>
                      <w:rFonts w:hint="eastAsia" w:ascii="Times New Roman" w:hAnsi="Times New Roman" w:eastAsia="宋体" w:cs="Times New Roman"/>
                      <w:color w:val="auto"/>
                      <w:szCs w:val="21"/>
                      <w:highlight w:val="none"/>
                      <w:lang w:val="en-US" w:eastAsia="zh-CN"/>
                    </w:rPr>
                    <w:t>5</w:t>
                  </w:r>
                  <w:r>
                    <w:rPr>
                      <w:rFonts w:hint="default" w:ascii="Times New Roman" w:hAnsi="Times New Roman" w:eastAsia="宋体" w:cs="Times New Roman"/>
                      <w:color w:val="auto"/>
                      <w:szCs w:val="21"/>
                      <w:highlight w:val="none"/>
                      <w:lang w:val="en-US" w:eastAsia="zh-CN"/>
                    </w:rPr>
                    <w:t>00m</w:t>
                  </w:r>
                </w:p>
              </w:tc>
              <w:tc>
                <w:tcPr>
                  <w:tcW w:w="877" w:type="pct"/>
                  <w:tcBorders>
                    <w:tl2br w:val="nil"/>
                    <w:tr2bl w:val="nil"/>
                  </w:tcBorders>
                  <w:vAlign w:val="center"/>
                </w:tcPr>
                <w:p w14:paraId="7ED7280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202</w:t>
                  </w:r>
                  <w:r>
                    <w:rPr>
                      <w:rFonts w:hint="eastAsia" w:ascii="Times New Roman" w:hAnsi="Times New Roman" w:eastAsia="宋体" w:cs="Times New Roman"/>
                      <w:color w:val="auto"/>
                      <w:szCs w:val="21"/>
                      <w:highlight w:val="none"/>
                      <w:lang w:val="en-US" w:eastAsia="zh-CN"/>
                    </w:rPr>
                    <w:t>4.5.30</w:t>
                  </w:r>
                </w:p>
              </w:tc>
              <w:tc>
                <w:tcPr>
                  <w:tcW w:w="731" w:type="pct"/>
                  <w:tcBorders>
                    <w:tl2br w:val="nil"/>
                    <w:tr2bl w:val="nil"/>
                  </w:tcBorders>
                  <w:vAlign w:val="center"/>
                </w:tcPr>
                <w:p w14:paraId="08C5CAC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7.9</w:t>
                  </w:r>
                </w:p>
              </w:tc>
              <w:tc>
                <w:tcPr>
                  <w:tcW w:w="731" w:type="pct"/>
                  <w:tcBorders>
                    <w:tl2br w:val="nil"/>
                    <w:tr2bl w:val="nil"/>
                  </w:tcBorders>
                  <w:vAlign w:val="center"/>
                </w:tcPr>
                <w:p w14:paraId="7B1CD2D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27</w:t>
                  </w:r>
                </w:p>
              </w:tc>
              <w:tc>
                <w:tcPr>
                  <w:tcW w:w="731" w:type="pct"/>
                  <w:tcBorders>
                    <w:tl2br w:val="nil"/>
                    <w:tr2bl w:val="nil"/>
                  </w:tcBorders>
                  <w:vAlign w:val="center"/>
                </w:tcPr>
                <w:p w14:paraId="4F70813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0.157</w:t>
                  </w:r>
                </w:p>
              </w:tc>
              <w:tc>
                <w:tcPr>
                  <w:tcW w:w="733" w:type="pct"/>
                  <w:tcBorders>
                    <w:tl2br w:val="nil"/>
                    <w:tr2bl w:val="nil"/>
                  </w:tcBorders>
                  <w:vAlign w:val="center"/>
                </w:tcPr>
                <w:p w14:paraId="4B2F885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0.3</w:t>
                  </w:r>
                </w:p>
              </w:tc>
            </w:tr>
            <w:tr w14:paraId="247C44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3" w:type="pct"/>
                  <w:vMerge w:val="continue"/>
                  <w:tcBorders>
                    <w:tl2br w:val="nil"/>
                    <w:tr2bl w:val="nil"/>
                  </w:tcBorders>
                  <w:vAlign w:val="center"/>
                </w:tcPr>
                <w:p w14:paraId="0CF7EF0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p>
              </w:tc>
              <w:tc>
                <w:tcPr>
                  <w:tcW w:w="877" w:type="pct"/>
                  <w:tcBorders>
                    <w:tl2br w:val="nil"/>
                    <w:tr2bl w:val="nil"/>
                  </w:tcBorders>
                  <w:vAlign w:val="center"/>
                </w:tcPr>
                <w:p w14:paraId="54D2300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202</w:t>
                  </w:r>
                  <w:r>
                    <w:rPr>
                      <w:rFonts w:hint="eastAsia" w:ascii="Times New Roman" w:hAnsi="Times New Roman" w:eastAsia="宋体" w:cs="Times New Roman"/>
                      <w:color w:val="auto"/>
                      <w:szCs w:val="21"/>
                      <w:highlight w:val="none"/>
                      <w:lang w:val="en-US" w:eastAsia="zh-CN"/>
                    </w:rPr>
                    <w:t>4.5.31</w:t>
                  </w:r>
                </w:p>
              </w:tc>
              <w:tc>
                <w:tcPr>
                  <w:tcW w:w="731" w:type="pct"/>
                  <w:tcBorders>
                    <w:tl2br w:val="nil"/>
                    <w:tr2bl w:val="nil"/>
                  </w:tcBorders>
                  <w:vAlign w:val="center"/>
                </w:tcPr>
                <w:p w14:paraId="4F68450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8.1</w:t>
                  </w:r>
                </w:p>
              </w:tc>
              <w:tc>
                <w:tcPr>
                  <w:tcW w:w="731" w:type="pct"/>
                  <w:tcBorders>
                    <w:tl2br w:val="nil"/>
                    <w:tr2bl w:val="nil"/>
                  </w:tcBorders>
                  <w:vAlign w:val="center"/>
                </w:tcPr>
                <w:p w14:paraId="527E730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18</w:t>
                  </w:r>
                </w:p>
              </w:tc>
              <w:tc>
                <w:tcPr>
                  <w:tcW w:w="731" w:type="pct"/>
                  <w:tcBorders>
                    <w:tl2br w:val="nil"/>
                    <w:tr2bl w:val="nil"/>
                  </w:tcBorders>
                  <w:vAlign w:val="center"/>
                </w:tcPr>
                <w:p w14:paraId="1D144C3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0.111</w:t>
                  </w:r>
                </w:p>
              </w:tc>
              <w:tc>
                <w:tcPr>
                  <w:tcW w:w="733" w:type="pct"/>
                  <w:tcBorders>
                    <w:tl2br w:val="nil"/>
                    <w:tr2bl w:val="nil"/>
                  </w:tcBorders>
                  <w:vAlign w:val="center"/>
                </w:tcPr>
                <w:p w14:paraId="5179862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0.28</w:t>
                  </w:r>
                </w:p>
              </w:tc>
            </w:tr>
            <w:tr w14:paraId="5A19B8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3" w:type="pct"/>
                  <w:vMerge w:val="continue"/>
                  <w:tcBorders>
                    <w:tl2br w:val="nil"/>
                    <w:tr2bl w:val="nil"/>
                  </w:tcBorders>
                  <w:vAlign w:val="center"/>
                </w:tcPr>
                <w:p w14:paraId="24504E4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p>
              </w:tc>
              <w:tc>
                <w:tcPr>
                  <w:tcW w:w="877" w:type="pct"/>
                  <w:tcBorders>
                    <w:tl2br w:val="nil"/>
                    <w:tr2bl w:val="nil"/>
                  </w:tcBorders>
                  <w:vAlign w:val="center"/>
                </w:tcPr>
                <w:p w14:paraId="1088ECA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202</w:t>
                  </w:r>
                  <w:r>
                    <w:rPr>
                      <w:rFonts w:hint="eastAsia" w:ascii="Times New Roman" w:hAnsi="Times New Roman" w:eastAsia="宋体" w:cs="Times New Roman"/>
                      <w:color w:val="auto"/>
                      <w:szCs w:val="21"/>
                      <w:highlight w:val="none"/>
                      <w:lang w:val="en-US" w:eastAsia="zh-CN"/>
                    </w:rPr>
                    <w:t>4.6.1</w:t>
                  </w:r>
                </w:p>
              </w:tc>
              <w:tc>
                <w:tcPr>
                  <w:tcW w:w="731" w:type="pct"/>
                  <w:tcBorders>
                    <w:tl2br w:val="nil"/>
                    <w:tr2bl w:val="nil"/>
                  </w:tcBorders>
                  <w:vAlign w:val="center"/>
                </w:tcPr>
                <w:p w14:paraId="62D2162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8.0</w:t>
                  </w:r>
                </w:p>
              </w:tc>
              <w:tc>
                <w:tcPr>
                  <w:tcW w:w="731" w:type="pct"/>
                  <w:tcBorders>
                    <w:tl2br w:val="nil"/>
                    <w:tr2bl w:val="nil"/>
                  </w:tcBorders>
                  <w:vAlign w:val="center"/>
                </w:tcPr>
                <w:p w14:paraId="050821B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14</w:t>
                  </w:r>
                </w:p>
              </w:tc>
              <w:tc>
                <w:tcPr>
                  <w:tcW w:w="731" w:type="pct"/>
                  <w:tcBorders>
                    <w:tl2br w:val="nil"/>
                    <w:tr2bl w:val="nil"/>
                  </w:tcBorders>
                  <w:vAlign w:val="center"/>
                </w:tcPr>
                <w:p w14:paraId="2B0B567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0.117</w:t>
                  </w:r>
                </w:p>
              </w:tc>
              <w:tc>
                <w:tcPr>
                  <w:tcW w:w="733" w:type="pct"/>
                  <w:tcBorders>
                    <w:tl2br w:val="nil"/>
                    <w:tr2bl w:val="nil"/>
                  </w:tcBorders>
                  <w:vAlign w:val="center"/>
                </w:tcPr>
                <w:p w14:paraId="3453984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0.25</w:t>
                  </w:r>
                </w:p>
              </w:tc>
            </w:tr>
            <w:tr w14:paraId="3C033C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71" w:type="pct"/>
                  <w:gridSpan w:val="2"/>
                  <w:tcBorders>
                    <w:tl2br w:val="nil"/>
                    <w:tr2bl w:val="nil"/>
                  </w:tcBorders>
                  <w:vAlign w:val="center"/>
                </w:tcPr>
                <w:p w14:paraId="59C0C31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Ⅳ</w:t>
                  </w:r>
                  <w:r>
                    <w:rPr>
                      <w:rFonts w:hint="default" w:ascii="Times New Roman" w:hAnsi="Times New Roman" w:eastAsia="宋体" w:cs="Times New Roman"/>
                      <w:color w:val="auto"/>
                      <w:szCs w:val="21"/>
                      <w:highlight w:val="none"/>
                      <w:lang w:eastAsia="zh-CN"/>
                    </w:rPr>
                    <w:t>类标准值</w:t>
                  </w:r>
                </w:p>
              </w:tc>
              <w:tc>
                <w:tcPr>
                  <w:tcW w:w="731" w:type="pct"/>
                  <w:tcBorders>
                    <w:tl2br w:val="nil"/>
                    <w:tr2bl w:val="nil"/>
                  </w:tcBorders>
                  <w:vAlign w:val="center"/>
                </w:tcPr>
                <w:p w14:paraId="1BB4D92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6~9</w:t>
                  </w:r>
                </w:p>
              </w:tc>
              <w:tc>
                <w:tcPr>
                  <w:tcW w:w="731" w:type="pct"/>
                  <w:tcBorders>
                    <w:tl2br w:val="nil"/>
                    <w:tr2bl w:val="nil"/>
                  </w:tcBorders>
                  <w:vAlign w:val="center"/>
                </w:tcPr>
                <w:p w14:paraId="03A193D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lang w:val="en-US" w:eastAsia="zh-CN"/>
                    </w:rPr>
                    <w:t>30</w:t>
                  </w:r>
                </w:p>
              </w:tc>
              <w:tc>
                <w:tcPr>
                  <w:tcW w:w="731" w:type="pct"/>
                  <w:tcBorders>
                    <w:tl2br w:val="nil"/>
                    <w:tr2bl w:val="nil"/>
                  </w:tcBorders>
                  <w:vAlign w:val="center"/>
                </w:tcPr>
                <w:p w14:paraId="78F34E7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lang w:val="en-US" w:eastAsia="zh-CN"/>
                    </w:rPr>
                    <w:t>1.5</w:t>
                  </w:r>
                </w:p>
              </w:tc>
              <w:tc>
                <w:tcPr>
                  <w:tcW w:w="733" w:type="pct"/>
                  <w:tcBorders>
                    <w:tl2br w:val="nil"/>
                    <w:tr2bl w:val="nil"/>
                  </w:tcBorders>
                  <w:vAlign w:val="center"/>
                </w:tcPr>
                <w:p w14:paraId="025976D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lang w:val="en-US" w:eastAsia="zh-CN"/>
                    </w:rPr>
                    <w:t>0.3</w:t>
                  </w:r>
                </w:p>
              </w:tc>
            </w:tr>
            <w:tr w14:paraId="227A9D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71" w:type="pct"/>
                  <w:gridSpan w:val="2"/>
                  <w:tcBorders>
                    <w:tl2br w:val="nil"/>
                    <w:tr2bl w:val="nil"/>
                  </w:tcBorders>
                  <w:vAlign w:val="center"/>
                </w:tcPr>
                <w:p w14:paraId="765CA6C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eastAsia="zh-CN"/>
                    </w:rPr>
                    <w:t>达标情况</w:t>
                  </w:r>
                </w:p>
              </w:tc>
              <w:tc>
                <w:tcPr>
                  <w:tcW w:w="731" w:type="pct"/>
                  <w:tcBorders>
                    <w:tl2br w:val="nil"/>
                    <w:tr2bl w:val="nil"/>
                  </w:tcBorders>
                  <w:vAlign w:val="center"/>
                </w:tcPr>
                <w:p w14:paraId="1D6E5D8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达标</w:t>
                  </w:r>
                </w:p>
              </w:tc>
              <w:tc>
                <w:tcPr>
                  <w:tcW w:w="731" w:type="pct"/>
                  <w:tcBorders>
                    <w:tl2br w:val="nil"/>
                    <w:tr2bl w:val="nil"/>
                  </w:tcBorders>
                  <w:vAlign w:val="center"/>
                </w:tcPr>
                <w:p w14:paraId="5180639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达标</w:t>
                  </w:r>
                </w:p>
              </w:tc>
              <w:tc>
                <w:tcPr>
                  <w:tcW w:w="731" w:type="pct"/>
                  <w:tcBorders>
                    <w:tl2br w:val="nil"/>
                    <w:tr2bl w:val="nil"/>
                  </w:tcBorders>
                  <w:vAlign w:val="center"/>
                </w:tcPr>
                <w:p w14:paraId="1CE9B74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达标</w:t>
                  </w:r>
                </w:p>
              </w:tc>
              <w:tc>
                <w:tcPr>
                  <w:tcW w:w="733" w:type="pct"/>
                  <w:tcBorders>
                    <w:tl2br w:val="nil"/>
                    <w:tr2bl w:val="nil"/>
                  </w:tcBorders>
                  <w:vAlign w:val="center"/>
                </w:tcPr>
                <w:p w14:paraId="50CF16D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达标</w:t>
                  </w:r>
                </w:p>
              </w:tc>
            </w:tr>
          </w:tbl>
          <w:p w14:paraId="41564C38">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rPr>
                <w:rFonts w:hint="default" w:ascii="Times New Roman" w:hAnsi="Times New Roman" w:eastAsia="宋体" w:cs="Times New Roman"/>
                <w:b/>
                <w:color w:val="auto"/>
                <w:sz w:val="24"/>
                <w:highlight w:val="none"/>
                <w:shd w:val="clear" w:color="auto" w:fill="auto"/>
              </w:rPr>
            </w:pPr>
            <w:r>
              <w:rPr>
                <w:rFonts w:hint="eastAsia" w:ascii="Times New Roman" w:hAnsi="Times New Roman" w:eastAsia="宋体" w:cs="Times New Roman"/>
                <w:color w:val="auto"/>
                <w:kern w:val="2"/>
                <w:sz w:val="24"/>
                <w:szCs w:val="28"/>
                <w:highlight w:val="none"/>
                <w:lang w:eastAsia="zh-CN"/>
              </w:rPr>
              <w:t>由上表可知</w:t>
            </w:r>
            <w:r>
              <w:rPr>
                <w:rFonts w:hint="default" w:ascii="Times New Roman" w:hAnsi="Times New Roman" w:eastAsia="宋体" w:cs="Times New Roman"/>
                <w:color w:val="auto"/>
                <w:kern w:val="2"/>
                <w:sz w:val="24"/>
                <w:szCs w:val="28"/>
                <w:highlight w:val="none"/>
              </w:rPr>
              <w:t>，</w:t>
            </w:r>
            <w:r>
              <w:rPr>
                <w:rFonts w:hint="default" w:ascii="Times New Roman" w:hAnsi="Times New Roman" w:eastAsia="宋体" w:cs="Times New Roman"/>
                <w:color w:val="auto"/>
                <w:kern w:val="2"/>
                <w:sz w:val="24"/>
                <w:szCs w:val="28"/>
                <w:highlight w:val="none"/>
                <w:lang w:eastAsia="zh-CN"/>
              </w:rPr>
              <w:t>各监</w:t>
            </w:r>
            <w:r>
              <w:rPr>
                <w:rFonts w:hint="default" w:ascii="Times New Roman" w:hAnsi="Times New Roman" w:eastAsia="宋体" w:cs="Times New Roman"/>
                <w:color w:val="auto"/>
                <w:kern w:val="2"/>
                <w:sz w:val="24"/>
                <w:szCs w:val="24"/>
                <w:highlight w:val="none"/>
                <w:shd w:val="clear" w:color="auto" w:fill="auto"/>
                <w:lang w:val="en-US" w:eastAsia="zh-CN" w:bidi="ar-SA"/>
              </w:rPr>
              <w:t>测断</w:t>
            </w:r>
            <w:r>
              <w:rPr>
                <w:rFonts w:hint="default" w:ascii="Times New Roman" w:hAnsi="Times New Roman" w:eastAsia="宋体" w:cs="Times New Roman"/>
                <w:color w:val="auto"/>
                <w:kern w:val="2"/>
                <w:sz w:val="24"/>
                <w:szCs w:val="28"/>
                <w:highlight w:val="none"/>
                <w:lang w:eastAsia="zh-CN"/>
              </w:rPr>
              <w:t>面各监测因子均满足</w:t>
            </w:r>
            <w:r>
              <w:rPr>
                <w:rFonts w:hint="default" w:ascii="Times New Roman" w:hAnsi="Times New Roman" w:eastAsia="宋体" w:cs="Times New Roman"/>
                <w:color w:val="auto"/>
                <w:kern w:val="2"/>
                <w:sz w:val="24"/>
                <w:szCs w:val="28"/>
                <w:highlight w:val="none"/>
              </w:rPr>
              <w:t>《地表水环境质量标准》（GB3838-2002）</w:t>
            </w:r>
            <w:r>
              <w:rPr>
                <w:rFonts w:hint="default" w:ascii="Times New Roman" w:hAnsi="Times New Roman" w:eastAsia="宋体" w:cs="Times New Roman"/>
                <w:color w:val="auto"/>
                <w:sz w:val="24"/>
                <w:highlight w:val="none"/>
                <w:lang w:eastAsia="zh-CN"/>
              </w:rPr>
              <w:t>Ⅳ</w:t>
            </w:r>
            <w:r>
              <w:rPr>
                <w:rFonts w:hint="default" w:ascii="Times New Roman" w:hAnsi="Times New Roman" w:eastAsia="宋体" w:cs="Times New Roman"/>
                <w:color w:val="auto"/>
                <w:kern w:val="2"/>
                <w:sz w:val="24"/>
                <w:szCs w:val="28"/>
                <w:highlight w:val="none"/>
              </w:rPr>
              <w:t>类</w:t>
            </w:r>
            <w:r>
              <w:rPr>
                <w:rFonts w:hint="default" w:ascii="Times New Roman" w:hAnsi="Times New Roman" w:eastAsia="宋体" w:cs="Times New Roman"/>
                <w:color w:val="auto"/>
                <w:kern w:val="2"/>
                <w:sz w:val="24"/>
                <w:szCs w:val="28"/>
                <w:highlight w:val="none"/>
                <w:lang w:eastAsia="zh-CN"/>
              </w:rPr>
              <w:t>水质</w:t>
            </w:r>
            <w:r>
              <w:rPr>
                <w:rFonts w:hint="default" w:ascii="Times New Roman" w:hAnsi="Times New Roman" w:eastAsia="宋体" w:cs="Times New Roman"/>
                <w:color w:val="auto"/>
                <w:kern w:val="2"/>
                <w:sz w:val="24"/>
                <w:szCs w:val="28"/>
                <w:highlight w:val="none"/>
              </w:rPr>
              <w:t>标准</w:t>
            </w:r>
            <w:r>
              <w:rPr>
                <w:rFonts w:hint="default" w:ascii="Times New Roman" w:hAnsi="Times New Roman" w:eastAsia="宋体" w:cs="Times New Roman"/>
                <w:bCs/>
                <w:snapToGrid w:val="0"/>
                <w:color w:val="auto"/>
                <w:kern w:val="0"/>
                <w:sz w:val="24"/>
                <w:highlight w:val="none"/>
              </w:rPr>
              <w:t>。</w:t>
            </w:r>
          </w:p>
          <w:p w14:paraId="038F1422">
            <w:pPr>
              <w:keepNext w:val="0"/>
              <w:keepLines w:val="0"/>
              <w:suppressLineNumbers w:val="0"/>
              <w:adjustRightInd w:val="0"/>
              <w:snapToGrid w:val="0"/>
              <w:spacing w:before="0" w:beforeAutospacing="0" w:after="0" w:afterAutospacing="0" w:line="360" w:lineRule="auto"/>
              <w:ind w:left="0" w:right="0"/>
              <w:jc w:val="left"/>
              <w:rPr>
                <w:rFonts w:hint="default" w:ascii="Times New Roman" w:hAnsi="Times New Roman" w:eastAsia="宋体"/>
                <w:color w:val="auto"/>
                <w:kern w:val="0"/>
                <w:sz w:val="24"/>
              </w:rPr>
            </w:pPr>
            <w:r>
              <w:rPr>
                <w:rFonts w:hint="default" w:ascii="Times New Roman" w:hAnsi="Times New Roman" w:eastAsia="宋体"/>
                <w:b/>
                <w:bCs/>
                <w:color w:val="auto"/>
                <w:kern w:val="0"/>
                <w:sz w:val="24"/>
              </w:rPr>
              <w:t>3、声环境</w:t>
            </w:r>
          </w:p>
          <w:p w14:paraId="5FCF41BB">
            <w:pPr>
              <w:pStyle w:val="24"/>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olor w:val="auto"/>
                <w:szCs w:val="24"/>
              </w:rPr>
            </w:pPr>
            <w:r>
              <w:rPr>
                <w:rFonts w:hint="eastAsia" w:ascii="Times New Roman" w:hAnsi="Times New Roman" w:eastAsia="宋体"/>
                <w:color w:val="auto"/>
                <w:szCs w:val="32"/>
              </w:rPr>
              <w:t>本项目厂界外周边50米范围内无声环境保护目标，不需要开展噪声现状监测。根据《无锡市生态环境状况公报（2023年度）》，全市声环境质量总体较好，昼间和夜间声环境质量基本保持稳定。</w:t>
            </w:r>
          </w:p>
          <w:p w14:paraId="5D6F4F4C">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b/>
                <w:bCs/>
                <w:color w:val="auto"/>
                <w:sz w:val="24"/>
              </w:rPr>
            </w:pPr>
            <w:r>
              <w:rPr>
                <w:rFonts w:hint="default" w:ascii="Times New Roman" w:hAnsi="Times New Roman" w:eastAsia="宋体"/>
                <w:b/>
                <w:bCs/>
                <w:color w:val="auto"/>
                <w:sz w:val="24"/>
              </w:rPr>
              <w:t>4、生态环境</w:t>
            </w:r>
          </w:p>
          <w:p w14:paraId="5164BF0F">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olor w:val="auto"/>
                <w:sz w:val="24"/>
              </w:rPr>
            </w:pPr>
            <w:r>
              <w:rPr>
                <w:rFonts w:hint="default" w:ascii="Times New Roman" w:hAnsi="Times New Roman" w:eastAsia="宋体"/>
                <w:color w:val="auto"/>
                <w:sz w:val="24"/>
                <w:lang w:val="en-US" w:eastAsia="zh-CN"/>
              </w:rPr>
              <w:t>本项目位于无锡市新吴区净慧东道196号F楼2楼</w:t>
            </w:r>
            <w:r>
              <w:rPr>
                <w:rFonts w:hint="default" w:ascii="Times New Roman" w:hAnsi="Times New Roman" w:eastAsia="宋体"/>
                <w:color w:val="auto"/>
                <w:sz w:val="24"/>
              </w:rPr>
              <w:t>，范围内不涉及生态环境保护目标，不开展生态环境现状调查。</w:t>
            </w:r>
          </w:p>
          <w:p w14:paraId="24FE50DE">
            <w:pPr>
              <w:keepNext w:val="0"/>
              <w:keepLines w:val="0"/>
              <w:suppressLineNumbers w:val="0"/>
              <w:adjustRightInd w:val="0"/>
              <w:snapToGrid w:val="0"/>
              <w:spacing w:before="0" w:beforeAutospacing="0" w:after="0" w:afterAutospacing="0" w:line="360" w:lineRule="auto"/>
              <w:ind w:left="0" w:right="0"/>
              <w:rPr>
                <w:rFonts w:hint="eastAsia" w:ascii="Times New Roman" w:hAnsi="Times New Roman" w:eastAsia="宋体"/>
                <w:b/>
                <w:bCs/>
                <w:color w:val="auto"/>
                <w:sz w:val="24"/>
              </w:rPr>
            </w:pPr>
            <w:r>
              <w:rPr>
                <w:rFonts w:hint="eastAsia" w:ascii="Times New Roman" w:hAnsi="Times New Roman" w:eastAsia="宋体"/>
                <w:b/>
                <w:bCs/>
                <w:color w:val="auto"/>
                <w:sz w:val="24"/>
              </w:rPr>
              <w:t>5、电磁辐射</w:t>
            </w:r>
          </w:p>
          <w:p w14:paraId="60FF90B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olor w:val="auto"/>
                <w:sz w:val="24"/>
              </w:rPr>
            </w:pPr>
            <w:r>
              <w:rPr>
                <w:rFonts w:hint="eastAsia" w:ascii="Times New Roman" w:hAnsi="Times New Roman" w:eastAsia="宋体"/>
                <w:color w:val="auto"/>
                <w:sz w:val="24"/>
                <w:lang w:eastAsia="zh-CN"/>
              </w:rPr>
              <w:t>本项目不涉及电磁辐射</w:t>
            </w:r>
            <w:r>
              <w:rPr>
                <w:rFonts w:hint="default" w:ascii="Times New Roman" w:hAnsi="Times New Roman" w:eastAsia="宋体"/>
                <w:bCs/>
                <w:color w:val="auto"/>
                <w:sz w:val="24"/>
                <w:highlight w:val="none"/>
              </w:rPr>
              <w:t>，不开展电磁辐射现状监测与评价。</w:t>
            </w:r>
          </w:p>
          <w:p w14:paraId="2D5B5050">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b/>
                <w:bCs/>
                <w:color w:val="auto"/>
                <w:sz w:val="24"/>
              </w:rPr>
            </w:pPr>
            <w:r>
              <w:rPr>
                <w:rFonts w:hint="eastAsia" w:ascii="Times New Roman" w:hAnsi="Times New Roman" w:eastAsia="宋体"/>
                <w:b/>
                <w:bCs/>
                <w:color w:val="auto"/>
                <w:sz w:val="24"/>
              </w:rPr>
              <w:t>6</w:t>
            </w:r>
            <w:r>
              <w:rPr>
                <w:rFonts w:hint="default" w:ascii="Times New Roman" w:hAnsi="Times New Roman" w:eastAsia="宋体"/>
                <w:b/>
                <w:bCs/>
                <w:color w:val="auto"/>
                <w:sz w:val="24"/>
              </w:rPr>
              <w:t>、</w:t>
            </w:r>
            <w:r>
              <w:rPr>
                <w:rFonts w:hint="eastAsia" w:ascii="Times New Roman" w:hAnsi="Times New Roman" w:eastAsia="宋体"/>
                <w:b/>
                <w:bCs/>
                <w:color w:val="auto"/>
                <w:sz w:val="24"/>
              </w:rPr>
              <w:t>地下水、</w:t>
            </w:r>
            <w:r>
              <w:rPr>
                <w:rFonts w:hint="default" w:ascii="Times New Roman" w:hAnsi="Times New Roman" w:eastAsia="宋体"/>
                <w:b/>
                <w:bCs/>
                <w:color w:val="auto"/>
                <w:sz w:val="24"/>
              </w:rPr>
              <w:t>土壤环境</w:t>
            </w:r>
          </w:p>
          <w:p w14:paraId="62B27E30">
            <w:pPr>
              <w:pStyle w:val="24"/>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bCs/>
                <w:color w:val="auto"/>
                <w:szCs w:val="24"/>
                <w:highlight w:val="none"/>
              </w:rPr>
            </w:pPr>
            <w:r>
              <w:rPr>
                <w:rFonts w:hint="eastAsia" w:ascii="Times New Roman" w:hAnsi="Times New Roman" w:eastAsia="宋体"/>
                <w:bCs/>
                <w:color w:val="auto"/>
                <w:sz w:val="24"/>
                <w:lang w:val="en-US" w:eastAsia="zh-CN"/>
              </w:rPr>
              <w:t>根据《建设项目环境影响报告表编制技术指南（污染影响类）（试行）》：原则上不开展环境质量现状调查</w:t>
            </w:r>
            <w:r>
              <w:rPr>
                <w:rFonts w:hint="eastAsia" w:ascii="Times New Roman" w:hAnsi="Times New Roman" w:eastAsia="宋体"/>
                <w:bCs/>
                <w:color w:val="auto"/>
                <w:sz w:val="24"/>
              </w:rPr>
              <w:t>。</w:t>
            </w:r>
            <w:r>
              <w:rPr>
                <w:rFonts w:hint="eastAsia" w:ascii="Times New Roman" w:hAnsi="Times New Roman" w:eastAsia="宋体"/>
                <w:bCs/>
                <w:color w:val="auto"/>
                <w:sz w:val="24"/>
                <w:lang w:eastAsia="zh-CN"/>
              </w:rPr>
              <w:t>生产车间、</w:t>
            </w:r>
            <w:r>
              <w:rPr>
                <w:rFonts w:hint="eastAsia" w:ascii="Times New Roman" w:hAnsi="Times New Roman"/>
                <w:bCs/>
                <w:color w:val="auto"/>
                <w:sz w:val="24"/>
                <w:lang w:eastAsia="zh-CN"/>
              </w:rPr>
              <w:t>危废间</w:t>
            </w:r>
            <w:r>
              <w:rPr>
                <w:rFonts w:hint="eastAsia" w:ascii="Times New Roman" w:hAnsi="Times New Roman" w:eastAsia="宋体"/>
                <w:bCs/>
                <w:color w:val="auto"/>
                <w:sz w:val="24"/>
                <w:lang w:eastAsia="zh-CN"/>
              </w:rPr>
              <w:t>等采取</w:t>
            </w:r>
            <w:r>
              <w:rPr>
                <w:rFonts w:hint="eastAsia" w:ascii="Times New Roman" w:hAnsi="Times New Roman" w:eastAsia="宋体"/>
                <w:bCs/>
                <w:color w:val="auto"/>
                <w:sz w:val="24"/>
              </w:rPr>
              <w:t>合理的分区防渗措施</w:t>
            </w:r>
            <w:r>
              <w:rPr>
                <w:rFonts w:hint="eastAsia" w:ascii="Times New Roman" w:hAnsi="Times New Roman" w:eastAsia="宋体"/>
                <w:bCs/>
                <w:color w:val="auto"/>
                <w:sz w:val="24"/>
                <w:lang w:eastAsia="zh-CN"/>
              </w:rPr>
              <w:t>，</w:t>
            </w:r>
            <w:r>
              <w:rPr>
                <w:rFonts w:hint="eastAsia" w:ascii="Times New Roman" w:hAnsi="Times New Roman" w:eastAsia="宋体"/>
                <w:bCs/>
                <w:color w:val="auto"/>
                <w:sz w:val="24"/>
              </w:rPr>
              <w:t>正常运营工况下无地下水、土壤污染途径，不开展地下水、土壤环境现状调查</w:t>
            </w:r>
            <w:r>
              <w:rPr>
                <w:rFonts w:hint="default" w:ascii="Times New Roman" w:hAnsi="Times New Roman" w:eastAsia="宋体"/>
                <w:bCs/>
                <w:color w:val="auto"/>
                <w:sz w:val="24"/>
              </w:rPr>
              <w:t>。</w:t>
            </w:r>
          </w:p>
        </w:tc>
      </w:tr>
      <w:tr w14:paraId="089D31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34" w:hRule="atLeast"/>
          <w:jc w:val="center"/>
        </w:trPr>
        <w:tc>
          <w:tcPr>
            <w:tcW w:w="468" w:type="dxa"/>
            <w:vAlign w:val="center"/>
          </w:tcPr>
          <w:p w14:paraId="5024BE4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环境</w:t>
            </w:r>
          </w:p>
          <w:p w14:paraId="16B8550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保护</w:t>
            </w:r>
          </w:p>
          <w:p w14:paraId="6188592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4"/>
                <w:highlight w:val="none"/>
              </w:rPr>
              <w:t>目标</w:t>
            </w:r>
          </w:p>
        </w:tc>
        <w:tc>
          <w:tcPr>
            <w:tcW w:w="9227" w:type="dxa"/>
            <w:vAlign w:val="center"/>
          </w:tcPr>
          <w:p w14:paraId="6304AD50">
            <w:pPr>
              <w:keepNext w:val="0"/>
              <w:keepLines w:val="0"/>
              <w:numPr>
                <w:ilvl w:val="0"/>
                <w:numId w:val="0"/>
              </w:numPr>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bCs/>
                <w:color w:val="auto"/>
                <w:sz w:val="24"/>
                <w:szCs w:val="32"/>
                <w:highlight w:val="none"/>
              </w:rPr>
            </w:pPr>
            <w:r>
              <w:rPr>
                <w:rFonts w:hint="default" w:ascii="Times New Roman" w:hAnsi="Times New Roman" w:eastAsia="宋体" w:cs="Times New Roman"/>
                <w:b/>
                <w:bCs/>
                <w:color w:val="auto"/>
                <w:sz w:val="24"/>
                <w:szCs w:val="32"/>
                <w:highlight w:val="none"/>
                <w:lang w:val="en-US" w:eastAsia="zh-CN"/>
              </w:rPr>
              <w:t>1、</w:t>
            </w:r>
            <w:r>
              <w:rPr>
                <w:rFonts w:hint="default" w:ascii="Times New Roman" w:hAnsi="Times New Roman" w:eastAsia="宋体" w:cs="Times New Roman"/>
                <w:b/>
                <w:bCs/>
                <w:color w:val="auto"/>
                <w:sz w:val="24"/>
                <w:szCs w:val="32"/>
                <w:highlight w:val="none"/>
              </w:rPr>
              <w:t>大气环境</w:t>
            </w:r>
          </w:p>
          <w:p w14:paraId="5DDC1863">
            <w:pPr>
              <w:pStyle w:val="24"/>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建设项目位于</w:t>
            </w:r>
            <w:r>
              <w:rPr>
                <w:rFonts w:hint="default" w:ascii="Times New Roman" w:hAnsi="Times New Roman" w:eastAsia="宋体" w:cs="Times New Roman"/>
                <w:color w:val="auto"/>
                <w:highlight w:val="none"/>
                <w:lang w:val="en-US" w:eastAsia="zh-CN"/>
              </w:rPr>
              <w:t>无锡市新吴区净慧东道196号F楼2楼</w:t>
            </w:r>
            <w:r>
              <w:rPr>
                <w:rFonts w:hint="default" w:ascii="Times New Roman" w:hAnsi="Times New Roman" w:eastAsia="宋体" w:cs="Times New Roman"/>
                <w:color w:val="auto"/>
                <w:highlight w:val="none"/>
              </w:rPr>
              <w:t>，项目周边500米范围内</w:t>
            </w:r>
            <w:r>
              <w:rPr>
                <w:rFonts w:hint="default" w:ascii="Times New Roman" w:hAnsi="Times New Roman" w:eastAsia="宋体" w:cs="Times New Roman"/>
                <w:color w:val="auto"/>
                <w:highlight w:val="none"/>
                <w:lang w:val="en-US" w:eastAsia="zh-CN"/>
              </w:rPr>
              <w:t>无</w:t>
            </w:r>
            <w:r>
              <w:rPr>
                <w:rFonts w:hint="default" w:ascii="Times New Roman" w:hAnsi="Times New Roman" w:eastAsia="宋体" w:cs="Times New Roman"/>
                <w:color w:val="auto"/>
                <w:highlight w:val="none"/>
              </w:rPr>
              <w:t>大气环境保护目标。</w:t>
            </w:r>
          </w:p>
          <w:p w14:paraId="57BE0453">
            <w:pPr>
              <w:pStyle w:val="10"/>
              <w:keepNext w:val="0"/>
              <w:keepLines w:val="0"/>
              <w:suppressLineNumbers w:val="0"/>
              <w:spacing w:before="0" w:beforeAutospacing="0" w:after="0" w:afterAutospacing="0"/>
              <w:ind w:left="0" w:right="0"/>
              <w:jc w:val="center"/>
              <w:rPr>
                <w:rFonts w:hint="default" w:ascii="Times New Roman" w:hAnsi="Times New Roman" w:eastAsia="宋体"/>
                <w:b/>
                <w:color w:val="auto"/>
                <w:sz w:val="24"/>
                <w:szCs w:val="24"/>
                <w:highlight w:val="none"/>
              </w:rPr>
            </w:pPr>
            <w:r>
              <w:rPr>
                <w:rFonts w:hint="default" w:ascii="Times New Roman" w:hAnsi="Times New Roman" w:eastAsia="宋体"/>
                <w:b/>
                <w:color w:val="auto"/>
                <w:sz w:val="24"/>
                <w:szCs w:val="24"/>
                <w:highlight w:val="none"/>
              </w:rPr>
              <w:t>表3-</w:t>
            </w:r>
            <w:r>
              <w:rPr>
                <w:rFonts w:hint="eastAsia" w:ascii="Times New Roman" w:hAnsi="Times New Roman" w:eastAsia="宋体"/>
                <w:b/>
                <w:color w:val="auto"/>
                <w:sz w:val="24"/>
                <w:szCs w:val="24"/>
                <w:highlight w:val="none"/>
                <w:lang w:val="en-US" w:eastAsia="zh-CN"/>
              </w:rPr>
              <w:t>4</w:t>
            </w:r>
            <w:r>
              <w:rPr>
                <w:rFonts w:hint="default" w:ascii="Times New Roman" w:hAnsi="Times New Roman" w:eastAsia="宋体"/>
                <w:b/>
                <w:color w:val="auto"/>
                <w:sz w:val="24"/>
                <w:szCs w:val="24"/>
                <w:highlight w:val="none"/>
              </w:rPr>
              <w:t xml:space="preserve"> </w:t>
            </w:r>
            <w:r>
              <w:rPr>
                <w:rFonts w:hint="eastAsia" w:ascii="Times New Roman" w:hAnsi="Times New Roman" w:eastAsia="宋体"/>
                <w:b/>
                <w:color w:val="auto"/>
                <w:sz w:val="24"/>
                <w:szCs w:val="24"/>
                <w:highlight w:val="none"/>
                <w:lang w:val="en-US" w:eastAsia="zh-CN"/>
              </w:rPr>
              <w:t xml:space="preserve">  </w:t>
            </w:r>
            <w:r>
              <w:rPr>
                <w:rFonts w:hint="default" w:ascii="Times New Roman" w:hAnsi="Times New Roman" w:eastAsia="宋体"/>
                <w:b/>
                <w:color w:val="auto"/>
                <w:sz w:val="24"/>
                <w:szCs w:val="24"/>
                <w:highlight w:val="none"/>
              </w:rPr>
              <w:t>大气环境保护目标一览表</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653"/>
              <w:gridCol w:w="851"/>
              <w:gridCol w:w="867"/>
              <w:gridCol w:w="773"/>
              <w:gridCol w:w="835"/>
              <w:gridCol w:w="1002"/>
              <w:gridCol w:w="1246"/>
              <w:gridCol w:w="1154"/>
              <w:gridCol w:w="1006"/>
            </w:tblGrid>
            <w:tr w14:paraId="00B592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44" w:type="pct"/>
                  <w:vMerge w:val="restart"/>
                  <w:noWrap w:val="0"/>
                  <w:vAlign w:val="center"/>
                </w:tcPr>
                <w:p w14:paraId="2F118D2E">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362" w:type="pct"/>
                  <w:vMerge w:val="restart"/>
                  <w:noWrap w:val="0"/>
                  <w:vAlign w:val="center"/>
                </w:tcPr>
                <w:p w14:paraId="158D1739">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953" w:type="pct"/>
                  <w:gridSpan w:val="2"/>
                  <w:noWrap w:val="0"/>
                  <w:vAlign w:val="center"/>
                </w:tcPr>
                <w:p w14:paraId="54742805">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坐标/m</w:t>
                  </w:r>
                </w:p>
              </w:tc>
              <w:tc>
                <w:tcPr>
                  <w:tcW w:w="429" w:type="pct"/>
                  <w:vMerge w:val="restart"/>
                  <w:noWrap w:val="0"/>
                  <w:vAlign w:val="center"/>
                </w:tcPr>
                <w:p w14:paraId="137DE9D0">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保护对象</w:t>
                  </w:r>
                </w:p>
              </w:tc>
              <w:tc>
                <w:tcPr>
                  <w:tcW w:w="463" w:type="pct"/>
                  <w:vMerge w:val="restart"/>
                  <w:noWrap w:val="0"/>
                  <w:vAlign w:val="center"/>
                </w:tcPr>
                <w:p w14:paraId="3DB5F3DA">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保护内容</w:t>
                  </w:r>
                </w:p>
              </w:tc>
              <w:tc>
                <w:tcPr>
                  <w:tcW w:w="556" w:type="pct"/>
                  <w:vMerge w:val="restart"/>
                  <w:noWrap w:val="0"/>
                  <w:vAlign w:val="center"/>
                </w:tcPr>
                <w:p w14:paraId="08255BEA">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环境功能区</w:t>
                  </w:r>
                </w:p>
              </w:tc>
              <w:tc>
                <w:tcPr>
                  <w:tcW w:w="691" w:type="pct"/>
                  <w:noWrap w:val="0"/>
                  <w:vAlign w:val="center"/>
                </w:tcPr>
                <w:p w14:paraId="1E90CC1A">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规模</w:t>
                  </w:r>
                </w:p>
              </w:tc>
              <w:tc>
                <w:tcPr>
                  <w:tcW w:w="640" w:type="pct"/>
                  <w:vMerge w:val="restart"/>
                  <w:noWrap w:val="0"/>
                  <w:vAlign w:val="center"/>
                </w:tcPr>
                <w:p w14:paraId="6453AAC9">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相对厂址方位</w:t>
                  </w:r>
                </w:p>
              </w:tc>
              <w:tc>
                <w:tcPr>
                  <w:tcW w:w="558" w:type="pct"/>
                  <w:vMerge w:val="restart"/>
                  <w:noWrap w:val="0"/>
                  <w:vAlign w:val="center"/>
                </w:tcPr>
                <w:p w14:paraId="3C2D29AD">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相对</w:t>
                  </w:r>
                  <w:r>
                    <w:rPr>
                      <w:rFonts w:hint="eastAsia" w:ascii="Times New Roman" w:hAnsi="Times New Roman" w:eastAsia="宋体" w:cs="Times New Roman"/>
                      <w:b/>
                      <w:bCs/>
                      <w:color w:val="auto"/>
                      <w:sz w:val="21"/>
                      <w:szCs w:val="21"/>
                      <w:highlight w:val="none"/>
                      <w:lang w:val="en-US" w:eastAsia="zh-CN"/>
                    </w:rPr>
                    <w:t>厂界</w:t>
                  </w:r>
                  <w:r>
                    <w:rPr>
                      <w:rFonts w:hint="default" w:ascii="Times New Roman" w:hAnsi="Times New Roman" w:eastAsia="宋体" w:cs="Times New Roman"/>
                      <w:b/>
                      <w:bCs/>
                      <w:color w:val="auto"/>
                      <w:sz w:val="21"/>
                      <w:szCs w:val="21"/>
                      <w:highlight w:val="none"/>
                    </w:rPr>
                    <w:t>距离/m</w:t>
                  </w:r>
                </w:p>
              </w:tc>
            </w:tr>
            <w:tr w14:paraId="0769EA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44" w:type="pct"/>
                  <w:vMerge w:val="continue"/>
                  <w:noWrap w:val="0"/>
                  <w:vAlign w:val="center"/>
                </w:tcPr>
                <w:p w14:paraId="4E4AD27F">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362" w:type="pct"/>
                  <w:vMerge w:val="continue"/>
                  <w:noWrap w:val="0"/>
                  <w:vAlign w:val="center"/>
                </w:tcPr>
                <w:p w14:paraId="5A997C17">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472" w:type="pct"/>
                  <w:noWrap w:val="0"/>
                  <w:vAlign w:val="center"/>
                </w:tcPr>
                <w:p w14:paraId="2C181286">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X</w:t>
                  </w:r>
                </w:p>
              </w:tc>
              <w:tc>
                <w:tcPr>
                  <w:tcW w:w="480" w:type="pct"/>
                  <w:noWrap w:val="0"/>
                  <w:vAlign w:val="center"/>
                </w:tcPr>
                <w:p w14:paraId="19F4577C">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Y</w:t>
                  </w:r>
                </w:p>
              </w:tc>
              <w:tc>
                <w:tcPr>
                  <w:tcW w:w="429" w:type="pct"/>
                  <w:vMerge w:val="continue"/>
                  <w:noWrap w:val="0"/>
                  <w:vAlign w:val="center"/>
                </w:tcPr>
                <w:p w14:paraId="52D1E96C">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463" w:type="pct"/>
                  <w:vMerge w:val="continue"/>
                  <w:noWrap w:val="0"/>
                  <w:vAlign w:val="center"/>
                </w:tcPr>
                <w:p w14:paraId="34333E5D">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556" w:type="pct"/>
                  <w:vMerge w:val="continue"/>
                  <w:noWrap w:val="0"/>
                  <w:vAlign w:val="center"/>
                </w:tcPr>
                <w:p w14:paraId="2E94104C">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691" w:type="pct"/>
                  <w:noWrap w:val="0"/>
                  <w:vAlign w:val="center"/>
                </w:tcPr>
                <w:p w14:paraId="2C7165DB">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户数/人数</w:t>
                  </w:r>
                </w:p>
              </w:tc>
              <w:tc>
                <w:tcPr>
                  <w:tcW w:w="640" w:type="pct"/>
                  <w:vMerge w:val="continue"/>
                  <w:noWrap w:val="0"/>
                  <w:vAlign w:val="center"/>
                </w:tcPr>
                <w:p w14:paraId="3FF36E04">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558" w:type="pct"/>
                  <w:vMerge w:val="continue"/>
                  <w:noWrap w:val="0"/>
                  <w:vAlign w:val="center"/>
                </w:tcPr>
                <w:p w14:paraId="1B2ECB8F">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r>
            <w:tr w14:paraId="22263E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44" w:type="pct"/>
                  <w:noWrap w:val="0"/>
                  <w:vAlign w:val="center"/>
                </w:tcPr>
                <w:p w14:paraId="5AF14A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Cs w:val="21"/>
                      <w:highlight w:val="none"/>
                    </w:rPr>
                    <w:t>/</w:t>
                  </w:r>
                </w:p>
              </w:tc>
              <w:tc>
                <w:tcPr>
                  <w:tcW w:w="629" w:type="dxa"/>
                  <w:noWrap w:val="0"/>
                  <w:vAlign w:val="center"/>
                </w:tcPr>
                <w:p w14:paraId="7A6C028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w:t>
                  </w:r>
                </w:p>
              </w:tc>
              <w:tc>
                <w:tcPr>
                  <w:tcW w:w="820" w:type="dxa"/>
                  <w:noWrap w:val="0"/>
                  <w:vAlign w:val="center"/>
                </w:tcPr>
                <w:p w14:paraId="4EF30DA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w:t>
                  </w:r>
                </w:p>
              </w:tc>
              <w:tc>
                <w:tcPr>
                  <w:tcW w:w="837" w:type="dxa"/>
                  <w:noWrap w:val="0"/>
                  <w:vAlign w:val="center"/>
                </w:tcPr>
                <w:p w14:paraId="0D76821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w:t>
                  </w:r>
                </w:p>
              </w:tc>
              <w:tc>
                <w:tcPr>
                  <w:tcW w:w="746" w:type="dxa"/>
                  <w:noWrap w:val="0"/>
                  <w:vAlign w:val="center"/>
                </w:tcPr>
                <w:p w14:paraId="503996E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w:t>
                  </w:r>
                </w:p>
              </w:tc>
              <w:tc>
                <w:tcPr>
                  <w:tcW w:w="805" w:type="dxa"/>
                  <w:noWrap w:val="0"/>
                  <w:vAlign w:val="center"/>
                </w:tcPr>
                <w:p w14:paraId="247604F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w:t>
                  </w:r>
                </w:p>
              </w:tc>
              <w:tc>
                <w:tcPr>
                  <w:tcW w:w="967" w:type="dxa"/>
                  <w:noWrap w:val="0"/>
                  <w:vAlign w:val="center"/>
                </w:tcPr>
                <w:p w14:paraId="242D71A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w:t>
                  </w:r>
                </w:p>
              </w:tc>
              <w:tc>
                <w:tcPr>
                  <w:tcW w:w="1202" w:type="dxa"/>
                  <w:noWrap w:val="0"/>
                  <w:vAlign w:val="center"/>
                </w:tcPr>
                <w:p w14:paraId="274A92D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w:t>
                  </w:r>
                </w:p>
              </w:tc>
              <w:tc>
                <w:tcPr>
                  <w:tcW w:w="1113" w:type="dxa"/>
                  <w:noWrap w:val="0"/>
                  <w:vAlign w:val="center"/>
                </w:tcPr>
                <w:p w14:paraId="535EE3B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w:t>
                  </w:r>
                </w:p>
              </w:tc>
              <w:tc>
                <w:tcPr>
                  <w:tcW w:w="971" w:type="dxa"/>
                  <w:noWrap w:val="0"/>
                  <w:vAlign w:val="center"/>
                </w:tcPr>
                <w:p w14:paraId="7A3C7C2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w:t>
                  </w:r>
                </w:p>
              </w:tc>
            </w:tr>
          </w:tbl>
          <w:p w14:paraId="574F7137">
            <w:pPr>
              <w:pStyle w:val="24"/>
              <w:keepNext w:val="0"/>
              <w:keepLines w:val="0"/>
              <w:suppressLineNumbers w:val="0"/>
              <w:autoSpaceDE w:val="0"/>
              <w:autoSpaceDN w:val="0"/>
              <w:adjustRightInd w:val="0"/>
              <w:snapToGrid w:val="0"/>
              <w:spacing w:before="0" w:beforeAutospacing="0" w:after="0" w:afterAutospacing="0" w:line="360" w:lineRule="auto"/>
              <w:ind w:left="0" w:right="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水环境</w:t>
            </w:r>
          </w:p>
          <w:p w14:paraId="66E3E7FD">
            <w:pPr>
              <w:pStyle w:val="24"/>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w:t>
            </w:r>
            <w:r>
              <w:rPr>
                <w:rFonts w:hint="eastAsia" w:ascii="Times New Roman" w:hAnsi="Times New Roman" w:eastAsia="宋体" w:cs="Times New Roman"/>
                <w:color w:val="auto"/>
                <w:highlight w:val="none"/>
                <w:lang w:val="en-US" w:eastAsia="zh-CN"/>
              </w:rPr>
              <w:t>新增设备清洗废水作为危废委托资质单位处置，不外排</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项目周边水环境保护目标如下：</w:t>
            </w:r>
          </w:p>
          <w:p w14:paraId="41088BCB">
            <w:pPr>
              <w:keepNext w:val="0"/>
              <w:keepLines w:val="0"/>
              <w:numPr>
                <w:ilvl w:val="0"/>
                <w:numId w:val="0"/>
              </w:numPr>
              <w:suppressLineNumbers w:val="0"/>
              <w:snapToGrid w:val="0"/>
              <w:spacing w:before="0" w:beforeAutospacing="0" w:after="0" w:afterAutospacing="0"/>
              <w:ind w:left="425" w:leftChars="0" w:right="0" w:hanging="425"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kern w:val="2"/>
                <w:sz w:val="24"/>
                <w:szCs w:val="24"/>
                <w:lang w:val="en-US" w:eastAsia="zh-CN" w:bidi="ar-SA"/>
              </w:rPr>
              <w:t>表3-</w:t>
            </w:r>
            <w:r>
              <w:rPr>
                <w:rFonts w:hint="eastAsia" w:ascii="Times New Roman" w:hAnsi="Times New Roman" w:eastAsia="宋体" w:cs="Times New Roman"/>
                <w:b/>
                <w:bCs/>
                <w:color w:val="auto"/>
                <w:kern w:val="2"/>
                <w:sz w:val="24"/>
                <w:szCs w:val="24"/>
                <w:lang w:val="en-US" w:eastAsia="zh-CN" w:bidi="ar-SA"/>
              </w:rPr>
              <w:t xml:space="preserve">5 </w:t>
            </w:r>
            <w:r>
              <w:rPr>
                <w:rFonts w:hint="default" w:ascii="Times New Roman" w:hAnsi="Times New Roman" w:eastAsia="宋体" w:cs="Times New Roman"/>
                <w:b/>
                <w:color w:val="auto"/>
                <w:sz w:val="24"/>
                <w:highlight w:val="none"/>
              </w:rPr>
              <w:t>水环境保护目标一览表</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8"/>
              <w:gridCol w:w="4"/>
              <w:gridCol w:w="843"/>
              <w:gridCol w:w="1746"/>
              <w:gridCol w:w="496"/>
              <w:gridCol w:w="1025"/>
              <w:gridCol w:w="919"/>
              <w:gridCol w:w="461"/>
              <w:gridCol w:w="645"/>
              <w:gridCol w:w="1025"/>
              <w:gridCol w:w="920"/>
              <w:gridCol w:w="704"/>
            </w:tblGrid>
            <w:tr w14:paraId="40C2C3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 w:type="pct"/>
                  <w:vMerge w:val="restart"/>
                  <w:tcMar>
                    <w:top w:w="0" w:type="dxa"/>
                    <w:left w:w="0" w:type="dxa"/>
                    <w:bottom w:w="0" w:type="dxa"/>
                    <w:right w:w="0" w:type="dxa"/>
                  </w:tcMar>
                  <w:vAlign w:val="center"/>
                </w:tcPr>
                <w:p w14:paraId="377317DF">
                  <w:pPr>
                    <w:pStyle w:val="41"/>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序号</w:t>
                  </w:r>
                </w:p>
              </w:tc>
              <w:tc>
                <w:tcPr>
                  <w:tcW w:w="470" w:type="pct"/>
                  <w:gridSpan w:val="2"/>
                  <w:vMerge w:val="restart"/>
                  <w:tcMar>
                    <w:top w:w="0" w:type="dxa"/>
                    <w:left w:w="0" w:type="dxa"/>
                    <w:bottom w:w="0" w:type="dxa"/>
                    <w:right w:w="0" w:type="dxa"/>
                  </w:tcMar>
                  <w:vAlign w:val="center"/>
                </w:tcPr>
                <w:p w14:paraId="377EFDA5">
                  <w:pPr>
                    <w:pStyle w:val="41"/>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保护</w:t>
                  </w:r>
                </w:p>
                <w:p w14:paraId="6EDFFE4B">
                  <w:pPr>
                    <w:pStyle w:val="41"/>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对象</w:t>
                  </w:r>
                </w:p>
              </w:tc>
              <w:tc>
                <w:tcPr>
                  <w:tcW w:w="969" w:type="pct"/>
                  <w:vMerge w:val="restart"/>
                  <w:tcMar>
                    <w:top w:w="0" w:type="dxa"/>
                    <w:left w:w="0" w:type="dxa"/>
                    <w:bottom w:w="0" w:type="dxa"/>
                    <w:right w:w="0" w:type="dxa"/>
                  </w:tcMar>
                  <w:vAlign w:val="center"/>
                </w:tcPr>
                <w:p w14:paraId="2753A895">
                  <w:pPr>
                    <w:pStyle w:val="41"/>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保护要求</w:t>
                  </w:r>
                </w:p>
              </w:tc>
              <w:tc>
                <w:tcPr>
                  <w:tcW w:w="1610" w:type="pct"/>
                  <w:gridSpan w:val="4"/>
                  <w:tcMar>
                    <w:top w:w="0" w:type="dxa"/>
                    <w:left w:w="0" w:type="dxa"/>
                    <w:bottom w:w="0" w:type="dxa"/>
                    <w:right w:w="0" w:type="dxa"/>
                  </w:tcMar>
                  <w:vAlign w:val="center"/>
                </w:tcPr>
                <w:p w14:paraId="73511CBA">
                  <w:pPr>
                    <w:pStyle w:val="41"/>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相对厂界</w:t>
                  </w:r>
                </w:p>
              </w:tc>
              <w:tc>
                <w:tcPr>
                  <w:tcW w:w="1437" w:type="pct"/>
                  <w:gridSpan w:val="3"/>
                  <w:tcMar>
                    <w:top w:w="0" w:type="dxa"/>
                    <w:left w:w="0" w:type="dxa"/>
                    <w:bottom w:w="0" w:type="dxa"/>
                    <w:right w:w="0" w:type="dxa"/>
                  </w:tcMar>
                  <w:vAlign w:val="center"/>
                </w:tcPr>
                <w:p w14:paraId="400FCC1A">
                  <w:pPr>
                    <w:pStyle w:val="41"/>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相对排放口</w:t>
                  </w:r>
                </w:p>
              </w:tc>
              <w:tc>
                <w:tcPr>
                  <w:tcW w:w="390" w:type="pct"/>
                  <w:vMerge w:val="restart"/>
                  <w:tcMar>
                    <w:top w:w="0" w:type="dxa"/>
                    <w:left w:w="0" w:type="dxa"/>
                    <w:bottom w:w="0" w:type="dxa"/>
                    <w:right w:w="0" w:type="dxa"/>
                  </w:tcMar>
                  <w:vAlign w:val="center"/>
                </w:tcPr>
                <w:p w14:paraId="5E98F876">
                  <w:pPr>
                    <w:pStyle w:val="41"/>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与本项目的水力联系</w:t>
                  </w:r>
                </w:p>
              </w:tc>
            </w:tr>
            <w:tr w14:paraId="398881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 w:type="pct"/>
                  <w:vMerge w:val="continue"/>
                  <w:tcMar>
                    <w:top w:w="0" w:type="dxa"/>
                    <w:left w:w="0" w:type="dxa"/>
                    <w:bottom w:w="0" w:type="dxa"/>
                    <w:right w:w="0" w:type="dxa"/>
                  </w:tcMar>
                  <w:vAlign w:val="center"/>
                </w:tcPr>
                <w:p w14:paraId="4A71C14E">
                  <w:pPr>
                    <w:pStyle w:val="41"/>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color w:val="auto"/>
                      <w:highlight w:val="none"/>
                    </w:rPr>
                  </w:pPr>
                </w:p>
              </w:tc>
              <w:tc>
                <w:tcPr>
                  <w:tcW w:w="470" w:type="pct"/>
                  <w:gridSpan w:val="2"/>
                  <w:vMerge w:val="continue"/>
                  <w:tcMar>
                    <w:top w:w="0" w:type="dxa"/>
                    <w:left w:w="0" w:type="dxa"/>
                    <w:bottom w:w="0" w:type="dxa"/>
                    <w:right w:w="0" w:type="dxa"/>
                  </w:tcMar>
                  <w:vAlign w:val="center"/>
                </w:tcPr>
                <w:p w14:paraId="469EA9A2">
                  <w:pPr>
                    <w:pStyle w:val="41"/>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color w:val="auto"/>
                      <w:highlight w:val="none"/>
                    </w:rPr>
                  </w:pPr>
                </w:p>
              </w:tc>
              <w:tc>
                <w:tcPr>
                  <w:tcW w:w="969" w:type="pct"/>
                  <w:vMerge w:val="continue"/>
                  <w:tcMar>
                    <w:top w:w="0" w:type="dxa"/>
                    <w:left w:w="0" w:type="dxa"/>
                    <w:bottom w:w="0" w:type="dxa"/>
                    <w:right w:w="0" w:type="dxa"/>
                  </w:tcMar>
                  <w:vAlign w:val="center"/>
                </w:tcPr>
                <w:p w14:paraId="71636666">
                  <w:pPr>
                    <w:pStyle w:val="41"/>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b/>
                      <w:bCs/>
                      <w:color w:val="auto"/>
                      <w:highlight w:val="none"/>
                    </w:rPr>
                  </w:pPr>
                </w:p>
              </w:tc>
              <w:tc>
                <w:tcPr>
                  <w:tcW w:w="275" w:type="pct"/>
                  <w:vMerge w:val="restart"/>
                  <w:tcMar>
                    <w:top w:w="0" w:type="dxa"/>
                    <w:left w:w="0" w:type="dxa"/>
                    <w:bottom w:w="0" w:type="dxa"/>
                    <w:right w:w="0" w:type="dxa"/>
                  </w:tcMar>
                  <w:vAlign w:val="center"/>
                </w:tcPr>
                <w:p w14:paraId="4397F3CF">
                  <w:pPr>
                    <w:pStyle w:val="16"/>
                    <w:keepNext w:val="0"/>
                    <w:keepLines w:val="0"/>
                    <w:pageBreakBefore w:val="0"/>
                    <w:suppressLineNumbers w:val="0"/>
                    <w:kinsoku/>
                    <w:overflowPunct/>
                    <w:topLinePunct w:val="0"/>
                    <w:autoSpaceDE/>
                    <w:autoSpaceDN/>
                    <w:bidi w:val="0"/>
                    <w:snapToGrid w:val="0"/>
                    <w:spacing w:before="0" w:beforeAutospacing="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距离</w:t>
                  </w:r>
                </w:p>
              </w:tc>
              <w:tc>
                <w:tcPr>
                  <w:tcW w:w="1079" w:type="pct"/>
                  <w:gridSpan w:val="2"/>
                  <w:tcMar>
                    <w:top w:w="0" w:type="dxa"/>
                    <w:left w:w="0" w:type="dxa"/>
                    <w:bottom w:w="0" w:type="dxa"/>
                    <w:right w:w="0" w:type="dxa"/>
                  </w:tcMar>
                  <w:vAlign w:val="center"/>
                </w:tcPr>
                <w:p w14:paraId="0E4A7701">
                  <w:pPr>
                    <w:pStyle w:val="41"/>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经纬度坐标</w:t>
                  </w:r>
                </w:p>
              </w:tc>
              <w:tc>
                <w:tcPr>
                  <w:tcW w:w="255" w:type="pct"/>
                  <w:vMerge w:val="restart"/>
                  <w:tcMar>
                    <w:top w:w="0" w:type="dxa"/>
                    <w:left w:w="0" w:type="dxa"/>
                    <w:bottom w:w="0" w:type="dxa"/>
                    <w:right w:w="0" w:type="dxa"/>
                  </w:tcMar>
                  <w:vAlign w:val="center"/>
                </w:tcPr>
                <w:p w14:paraId="5B9B3E2E">
                  <w:pPr>
                    <w:pStyle w:val="41"/>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高差</w:t>
                  </w:r>
                </w:p>
              </w:tc>
              <w:tc>
                <w:tcPr>
                  <w:tcW w:w="358" w:type="pct"/>
                  <w:vMerge w:val="restart"/>
                  <w:tcMar>
                    <w:top w:w="0" w:type="dxa"/>
                    <w:left w:w="0" w:type="dxa"/>
                    <w:bottom w:w="0" w:type="dxa"/>
                    <w:right w:w="0" w:type="dxa"/>
                  </w:tcMar>
                  <w:vAlign w:val="center"/>
                </w:tcPr>
                <w:p w14:paraId="738E9069">
                  <w:pPr>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b/>
                      <w:bCs/>
                      <w:color w:val="auto"/>
                      <w:szCs w:val="21"/>
                      <w:highlight w:val="none"/>
                    </w:rPr>
                    <w:t>距离</w:t>
                  </w:r>
                </w:p>
              </w:tc>
              <w:tc>
                <w:tcPr>
                  <w:tcW w:w="1079" w:type="pct"/>
                  <w:gridSpan w:val="2"/>
                  <w:tcMar>
                    <w:top w:w="0" w:type="dxa"/>
                    <w:left w:w="0" w:type="dxa"/>
                    <w:bottom w:w="0" w:type="dxa"/>
                    <w:right w:w="0" w:type="dxa"/>
                  </w:tcMar>
                  <w:vAlign w:val="center"/>
                </w:tcPr>
                <w:p w14:paraId="5D50C825">
                  <w:pPr>
                    <w:pStyle w:val="41"/>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经纬度坐标</w:t>
                  </w:r>
                </w:p>
              </w:tc>
              <w:tc>
                <w:tcPr>
                  <w:tcW w:w="390" w:type="pct"/>
                  <w:vMerge w:val="continue"/>
                  <w:tcMar>
                    <w:top w:w="0" w:type="dxa"/>
                    <w:left w:w="0" w:type="dxa"/>
                    <w:bottom w:w="0" w:type="dxa"/>
                    <w:right w:w="0" w:type="dxa"/>
                  </w:tcMar>
                  <w:vAlign w:val="center"/>
                </w:tcPr>
                <w:p w14:paraId="5E9D09DC">
                  <w:pPr>
                    <w:pStyle w:val="41"/>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color w:val="auto"/>
                      <w:highlight w:val="none"/>
                    </w:rPr>
                  </w:pPr>
                </w:p>
              </w:tc>
            </w:tr>
            <w:tr w14:paraId="0E5A27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 w:type="pct"/>
                  <w:vMerge w:val="continue"/>
                  <w:tcMar>
                    <w:top w:w="0" w:type="dxa"/>
                    <w:left w:w="0" w:type="dxa"/>
                    <w:bottom w:w="0" w:type="dxa"/>
                    <w:right w:w="0" w:type="dxa"/>
                  </w:tcMar>
                  <w:vAlign w:val="center"/>
                </w:tcPr>
                <w:p w14:paraId="4E00F12D">
                  <w:pPr>
                    <w:pStyle w:val="41"/>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color w:val="auto"/>
                      <w:highlight w:val="none"/>
                    </w:rPr>
                  </w:pPr>
                </w:p>
              </w:tc>
              <w:tc>
                <w:tcPr>
                  <w:tcW w:w="470" w:type="pct"/>
                  <w:gridSpan w:val="2"/>
                  <w:vMerge w:val="continue"/>
                  <w:tcMar>
                    <w:top w:w="0" w:type="dxa"/>
                    <w:left w:w="0" w:type="dxa"/>
                    <w:bottom w:w="0" w:type="dxa"/>
                    <w:right w:w="0" w:type="dxa"/>
                  </w:tcMar>
                  <w:vAlign w:val="center"/>
                </w:tcPr>
                <w:p w14:paraId="44DF29D1">
                  <w:pPr>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p>
              </w:tc>
              <w:tc>
                <w:tcPr>
                  <w:tcW w:w="969" w:type="pct"/>
                  <w:vMerge w:val="continue"/>
                  <w:tcMar>
                    <w:top w:w="0" w:type="dxa"/>
                    <w:left w:w="0" w:type="dxa"/>
                    <w:bottom w:w="0" w:type="dxa"/>
                    <w:right w:w="0" w:type="dxa"/>
                  </w:tcMar>
                  <w:vAlign w:val="center"/>
                </w:tcPr>
                <w:p w14:paraId="5E4508AA">
                  <w:pPr>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p>
              </w:tc>
              <w:tc>
                <w:tcPr>
                  <w:tcW w:w="275" w:type="pct"/>
                  <w:vMerge w:val="continue"/>
                  <w:tcMar>
                    <w:top w:w="0" w:type="dxa"/>
                    <w:left w:w="0" w:type="dxa"/>
                    <w:bottom w:w="0" w:type="dxa"/>
                    <w:right w:w="0" w:type="dxa"/>
                  </w:tcMar>
                  <w:vAlign w:val="center"/>
                </w:tcPr>
                <w:p w14:paraId="0BDC42D5">
                  <w:pPr>
                    <w:pStyle w:val="16"/>
                    <w:keepNext w:val="0"/>
                    <w:keepLines w:val="0"/>
                    <w:pageBreakBefore w:val="0"/>
                    <w:suppressLineNumbers w:val="0"/>
                    <w:kinsoku/>
                    <w:overflowPunct/>
                    <w:topLinePunct w:val="0"/>
                    <w:autoSpaceDE/>
                    <w:autoSpaceDN/>
                    <w:bidi w:val="0"/>
                    <w:snapToGrid w:val="0"/>
                    <w:spacing w:before="0" w:beforeAutospacing="0" w:afterAutospacing="0"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569" w:type="pct"/>
                  <w:tcMar>
                    <w:top w:w="0" w:type="dxa"/>
                    <w:left w:w="0" w:type="dxa"/>
                    <w:bottom w:w="0" w:type="dxa"/>
                    <w:right w:w="0" w:type="dxa"/>
                  </w:tcMar>
                  <w:vAlign w:val="center"/>
                </w:tcPr>
                <w:p w14:paraId="761D39DF">
                  <w:pPr>
                    <w:pStyle w:val="16"/>
                    <w:keepNext w:val="0"/>
                    <w:keepLines w:val="0"/>
                    <w:pageBreakBefore w:val="0"/>
                    <w:suppressLineNumbers w:val="0"/>
                    <w:kinsoku/>
                    <w:overflowPunct/>
                    <w:topLinePunct w:val="0"/>
                    <w:autoSpaceDE/>
                    <w:autoSpaceDN/>
                    <w:bidi w:val="0"/>
                    <w:snapToGrid w:val="0"/>
                    <w:spacing w:before="0" w:beforeAutospacing="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X</w:t>
                  </w:r>
                </w:p>
              </w:tc>
              <w:tc>
                <w:tcPr>
                  <w:tcW w:w="510" w:type="pct"/>
                  <w:tcMar>
                    <w:top w:w="0" w:type="dxa"/>
                    <w:left w:w="0" w:type="dxa"/>
                    <w:bottom w:w="0" w:type="dxa"/>
                    <w:right w:w="0" w:type="dxa"/>
                  </w:tcMar>
                  <w:vAlign w:val="center"/>
                </w:tcPr>
                <w:p w14:paraId="21F0F16D">
                  <w:pPr>
                    <w:pStyle w:val="16"/>
                    <w:keepNext w:val="0"/>
                    <w:keepLines w:val="0"/>
                    <w:pageBreakBefore w:val="0"/>
                    <w:suppressLineNumbers w:val="0"/>
                    <w:kinsoku/>
                    <w:overflowPunct/>
                    <w:topLinePunct w:val="0"/>
                    <w:autoSpaceDE/>
                    <w:autoSpaceDN/>
                    <w:bidi w:val="0"/>
                    <w:snapToGrid w:val="0"/>
                    <w:spacing w:before="0" w:beforeAutospacing="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Y</w:t>
                  </w:r>
                </w:p>
              </w:tc>
              <w:tc>
                <w:tcPr>
                  <w:tcW w:w="255" w:type="pct"/>
                  <w:vMerge w:val="continue"/>
                  <w:tcMar>
                    <w:top w:w="0" w:type="dxa"/>
                    <w:left w:w="0" w:type="dxa"/>
                    <w:bottom w:w="0" w:type="dxa"/>
                    <w:right w:w="0" w:type="dxa"/>
                  </w:tcMar>
                  <w:vAlign w:val="center"/>
                </w:tcPr>
                <w:p w14:paraId="764625B4">
                  <w:pPr>
                    <w:pStyle w:val="16"/>
                    <w:keepNext w:val="0"/>
                    <w:keepLines w:val="0"/>
                    <w:pageBreakBefore w:val="0"/>
                    <w:suppressLineNumbers w:val="0"/>
                    <w:kinsoku/>
                    <w:overflowPunct/>
                    <w:topLinePunct w:val="0"/>
                    <w:autoSpaceDE/>
                    <w:autoSpaceDN/>
                    <w:bidi w:val="0"/>
                    <w:snapToGrid w:val="0"/>
                    <w:spacing w:before="0" w:beforeAutospacing="0" w:afterAutospacing="0"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358" w:type="pct"/>
                  <w:vMerge w:val="continue"/>
                  <w:tcMar>
                    <w:top w:w="0" w:type="dxa"/>
                    <w:left w:w="0" w:type="dxa"/>
                    <w:bottom w:w="0" w:type="dxa"/>
                    <w:right w:w="0" w:type="dxa"/>
                  </w:tcMar>
                  <w:vAlign w:val="center"/>
                </w:tcPr>
                <w:p w14:paraId="2AD7E7F1">
                  <w:pPr>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p>
              </w:tc>
              <w:tc>
                <w:tcPr>
                  <w:tcW w:w="569" w:type="pct"/>
                  <w:tcMar>
                    <w:top w:w="0" w:type="dxa"/>
                    <w:left w:w="0" w:type="dxa"/>
                    <w:bottom w:w="0" w:type="dxa"/>
                    <w:right w:w="0" w:type="dxa"/>
                  </w:tcMar>
                  <w:vAlign w:val="center"/>
                </w:tcPr>
                <w:p w14:paraId="762FB21B">
                  <w:pPr>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X</w:t>
                  </w:r>
                </w:p>
              </w:tc>
              <w:tc>
                <w:tcPr>
                  <w:tcW w:w="510" w:type="pct"/>
                  <w:tcMar>
                    <w:top w:w="0" w:type="dxa"/>
                    <w:left w:w="0" w:type="dxa"/>
                    <w:bottom w:w="0" w:type="dxa"/>
                    <w:right w:w="0" w:type="dxa"/>
                  </w:tcMar>
                  <w:vAlign w:val="center"/>
                </w:tcPr>
                <w:p w14:paraId="7D48452A">
                  <w:pPr>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Y</w:t>
                  </w:r>
                </w:p>
              </w:tc>
              <w:tc>
                <w:tcPr>
                  <w:tcW w:w="390" w:type="pct"/>
                  <w:vMerge w:val="continue"/>
                  <w:tcMar>
                    <w:top w:w="0" w:type="dxa"/>
                    <w:left w:w="0" w:type="dxa"/>
                    <w:bottom w:w="0" w:type="dxa"/>
                    <w:right w:w="0" w:type="dxa"/>
                  </w:tcMar>
                  <w:vAlign w:val="center"/>
                </w:tcPr>
                <w:p w14:paraId="0D85604E">
                  <w:pPr>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p>
              </w:tc>
            </w:tr>
            <w:tr w14:paraId="46FB66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 w:type="pct"/>
                  <w:tcMar>
                    <w:top w:w="0" w:type="dxa"/>
                    <w:left w:w="0" w:type="dxa"/>
                    <w:bottom w:w="0" w:type="dxa"/>
                    <w:right w:w="0" w:type="dxa"/>
                  </w:tcMar>
                  <w:vAlign w:val="center"/>
                </w:tcPr>
                <w:p w14:paraId="3440D359">
                  <w:pPr>
                    <w:pStyle w:val="41"/>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470" w:type="pct"/>
                  <w:gridSpan w:val="2"/>
                  <w:tcMar>
                    <w:top w:w="0" w:type="dxa"/>
                    <w:left w:w="0" w:type="dxa"/>
                    <w:bottom w:w="0" w:type="dxa"/>
                    <w:right w:w="0" w:type="dxa"/>
                  </w:tcMar>
                  <w:vAlign w:val="center"/>
                </w:tcPr>
                <w:p w14:paraId="0554470E">
                  <w:pPr>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京杭运河</w:t>
                  </w:r>
                </w:p>
              </w:tc>
              <w:tc>
                <w:tcPr>
                  <w:tcW w:w="969" w:type="pct"/>
                  <w:tcMar>
                    <w:top w:w="0" w:type="dxa"/>
                    <w:left w:w="0" w:type="dxa"/>
                    <w:bottom w:w="0" w:type="dxa"/>
                    <w:right w:w="0" w:type="dxa"/>
                  </w:tcMar>
                  <w:vAlign w:val="center"/>
                </w:tcPr>
                <w:p w14:paraId="635EE611">
                  <w:pPr>
                    <w:keepNext w:val="0"/>
                    <w:keepLines w:val="0"/>
                    <w:pageBreakBefore w:val="0"/>
                    <w:suppressLineNumbers w:val="0"/>
                    <w:kinsoku/>
                    <w:wordWrap w:val="0"/>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《地表水环境质量标准》（GB3838-2002）中的</w:t>
                  </w:r>
                  <w:r>
                    <w:rPr>
                      <w:rFonts w:hint="default" w:ascii="Times New Roman" w:hAnsi="Times New Roman" w:eastAsia="宋体" w:cs="Times New Roman"/>
                      <w:color w:val="auto"/>
                      <w:szCs w:val="21"/>
                      <w:highlight w:val="none"/>
                      <w:shd w:val="clear" w:color="auto" w:fill="FFFFFF"/>
                    </w:rPr>
                    <w:t>Ⅳ类</w:t>
                  </w:r>
                </w:p>
              </w:tc>
              <w:tc>
                <w:tcPr>
                  <w:tcW w:w="275" w:type="pct"/>
                  <w:tcMar>
                    <w:top w:w="0" w:type="dxa"/>
                    <w:left w:w="0" w:type="dxa"/>
                    <w:bottom w:w="0" w:type="dxa"/>
                    <w:right w:w="0" w:type="dxa"/>
                  </w:tcMar>
                  <w:vAlign w:val="center"/>
                </w:tcPr>
                <w:p w14:paraId="06D0E886">
                  <w:pPr>
                    <w:pStyle w:val="16"/>
                    <w:keepNext w:val="0"/>
                    <w:keepLines w:val="0"/>
                    <w:pageBreakBefore w:val="0"/>
                    <w:suppressLineNumbers w:val="0"/>
                    <w:kinsoku/>
                    <w:overflowPunct/>
                    <w:topLinePunct w:val="0"/>
                    <w:autoSpaceDE/>
                    <w:autoSpaceDN/>
                    <w:bidi w:val="0"/>
                    <w:snapToGrid w:val="0"/>
                    <w:spacing w:before="0" w:beforeAutospacing="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765</w:t>
                  </w:r>
                  <w:r>
                    <w:rPr>
                      <w:rFonts w:hint="default" w:ascii="Times New Roman" w:hAnsi="Times New Roman" w:eastAsia="宋体" w:cs="Times New Roman"/>
                      <w:color w:val="auto"/>
                      <w:sz w:val="21"/>
                      <w:szCs w:val="21"/>
                      <w:highlight w:val="none"/>
                    </w:rPr>
                    <w:t>m</w:t>
                  </w:r>
                </w:p>
              </w:tc>
              <w:tc>
                <w:tcPr>
                  <w:tcW w:w="569" w:type="pct"/>
                  <w:tcMar>
                    <w:top w:w="0" w:type="dxa"/>
                    <w:left w:w="0" w:type="dxa"/>
                    <w:bottom w:w="0" w:type="dxa"/>
                    <w:right w:w="0" w:type="dxa"/>
                  </w:tcMar>
                  <w:vAlign w:val="center"/>
                </w:tcPr>
                <w:p w14:paraId="7067B716">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120.361716</w:t>
                  </w:r>
                </w:p>
              </w:tc>
              <w:tc>
                <w:tcPr>
                  <w:tcW w:w="510" w:type="pct"/>
                  <w:tcMar>
                    <w:top w:w="0" w:type="dxa"/>
                    <w:left w:w="0" w:type="dxa"/>
                    <w:bottom w:w="0" w:type="dxa"/>
                    <w:right w:w="0" w:type="dxa"/>
                  </w:tcMar>
                  <w:vAlign w:val="center"/>
                </w:tcPr>
                <w:p w14:paraId="2F7E32E8">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31.51120</w:t>
                  </w:r>
                  <w:r>
                    <w:rPr>
                      <w:rFonts w:hint="default" w:ascii="Times New Roman" w:hAnsi="Times New Roman" w:eastAsia="宋体" w:cs="Times New Roman"/>
                      <w:color w:val="auto"/>
                      <w:highlight w:val="none"/>
                      <w:lang w:val="en-US" w:eastAsia="zh-CN"/>
                    </w:rPr>
                    <w:t>2</w:t>
                  </w:r>
                </w:p>
              </w:tc>
              <w:tc>
                <w:tcPr>
                  <w:tcW w:w="255" w:type="pct"/>
                  <w:tcMar>
                    <w:top w:w="0" w:type="dxa"/>
                    <w:left w:w="0" w:type="dxa"/>
                    <w:bottom w:w="0" w:type="dxa"/>
                    <w:right w:w="0" w:type="dxa"/>
                  </w:tcMar>
                  <w:vAlign w:val="center"/>
                </w:tcPr>
                <w:p w14:paraId="79CBAC49">
                  <w:pPr>
                    <w:pStyle w:val="16"/>
                    <w:keepNext w:val="0"/>
                    <w:keepLines w:val="0"/>
                    <w:pageBreakBefore w:val="0"/>
                    <w:suppressLineNumbers w:val="0"/>
                    <w:kinsoku/>
                    <w:overflowPunct/>
                    <w:topLinePunct w:val="0"/>
                    <w:autoSpaceDE/>
                    <w:autoSpaceDN/>
                    <w:bidi w:val="0"/>
                    <w:snapToGrid w:val="0"/>
                    <w:spacing w:before="0" w:beforeAutospacing="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358" w:type="pct"/>
                  <w:tcMar>
                    <w:top w:w="0" w:type="dxa"/>
                    <w:left w:w="0" w:type="dxa"/>
                    <w:bottom w:w="0" w:type="dxa"/>
                    <w:right w:w="0" w:type="dxa"/>
                  </w:tcMar>
                  <w:vAlign w:val="center"/>
                </w:tcPr>
                <w:p w14:paraId="130D22AF">
                  <w:pPr>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900</w:t>
                  </w:r>
                  <w:r>
                    <w:rPr>
                      <w:rFonts w:hint="default" w:ascii="Times New Roman" w:hAnsi="Times New Roman" w:eastAsia="宋体" w:cs="Times New Roman"/>
                      <w:color w:val="auto"/>
                      <w:szCs w:val="21"/>
                      <w:highlight w:val="none"/>
                    </w:rPr>
                    <w:t>m</w:t>
                  </w:r>
                </w:p>
              </w:tc>
              <w:tc>
                <w:tcPr>
                  <w:tcW w:w="569" w:type="pct"/>
                  <w:tcMar>
                    <w:top w:w="0" w:type="dxa"/>
                    <w:left w:w="0" w:type="dxa"/>
                    <w:bottom w:w="0" w:type="dxa"/>
                    <w:right w:w="0" w:type="dxa"/>
                  </w:tcMar>
                  <w:vAlign w:val="center"/>
                </w:tcPr>
                <w:p w14:paraId="0622D05D">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120.360737</w:t>
                  </w:r>
                </w:p>
              </w:tc>
              <w:tc>
                <w:tcPr>
                  <w:tcW w:w="510" w:type="pct"/>
                  <w:tcMar>
                    <w:top w:w="0" w:type="dxa"/>
                    <w:left w:w="0" w:type="dxa"/>
                    <w:bottom w:w="0" w:type="dxa"/>
                    <w:right w:w="0" w:type="dxa"/>
                  </w:tcMar>
                  <w:vAlign w:val="center"/>
                </w:tcPr>
                <w:p w14:paraId="0FA7B37F">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31.512103</w:t>
                  </w:r>
                </w:p>
              </w:tc>
              <w:tc>
                <w:tcPr>
                  <w:tcW w:w="390" w:type="pct"/>
                  <w:tcMar>
                    <w:top w:w="0" w:type="dxa"/>
                    <w:left w:w="0" w:type="dxa"/>
                    <w:bottom w:w="0" w:type="dxa"/>
                    <w:right w:w="0" w:type="dxa"/>
                  </w:tcMar>
                  <w:vAlign w:val="center"/>
                </w:tcPr>
                <w:p w14:paraId="37D54C3B">
                  <w:pPr>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纳污河流</w:t>
                  </w:r>
                </w:p>
              </w:tc>
            </w:tr>
            <w:tr w14:paraId="3DE513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 w:type="pct"/>
                  <w:gridSpan w:val="2"/>
                  <w:tcMar>
                    <w:top w:w="0" w:type="dxa"/>
                    <w:left w:w="0" w:type="dxa"/>
                    <w:bottom w:w="0" w:type="dxa"/>
                    <w:right w:w="0" w:type="dxa"/>
                  </w:tcMar>
                  <w:vAlign w:val="center"/>
                </w:tcPr>
                <w:p w14:paraId="6EC0C7B4">
                  <w:pPr>
                    <w:pStyle w:val="41"/>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p>
              </w:tc>
              <w:tc>
                <w:tcPr>
                  <w:tcW w:w="468" w:type="pct"/>
                  <w:tcMar>
                    <w:top w:w="0" w:type="dxa"/>
                    <w:left w:w="0" w:type="dxa"/>
                    <w:bottom w:w="0" w:type="dxa"/>
                    <w:right w:w="0" w:type="dxa"/>
                  </w:tcMar>
                  <w:vAlign w:val="center"/>
                </w:tcPr>
                <w:p w14:paraId="2960A538">
                  <w:pPr>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兴源河</w:t>
                  </w:r>
                </w:p>
              </w:tc>
              <w:tc>
                <w:tcPr>
                  <w:tcW w:w="969" w:type="pct"/>
                  <w:tcMar>
                    <w:top w:w="0" w:type="dxa"/>
                    <w:left w:w="0" w:type="dxa"/>
                    <w:bottom w:w="0" w:type="dxa"/>
                    <w:right w:w="0" w:type="dxa"/>
                  </w:tcMar>
                  <w:vAlign w:val="center"/>
                </w:tcPr>
                <w:p w14:paraId="221DEB87">
                  <w:pPr>
                    <w:keepNext w:val="0"/>
                    <w:keepLines w:val="0"/>
                    <w:pageBreakBefore w:val="0"/>
                    <w:suppressLineNumbers w:val="0"/>
                    <w:kinsoku/>
                    <w:wordWrap w:val="0"/>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《地表水环境质量标准》（GB3838-2002）中的</w:t>
                  </w:r>
                  <w:r>
                    <w:rPr>
                      <w:rFonts w:hint="default" w:ascii="Times New Roman" w:hAnsi="Times New Roman" w:eastAsia="宋体" w:cs="Times New Roman"/>
                      <w:color w:val="auto"/>
                      <w:szCs w:val="21"/>
                      <w:highlight w:val="none"/>
                      <w:shd w:val="clear" w:color="auto" w:fill="FFFFFF"/>
                    </w:rPr>
                    <w:t>Ⅳ类</w:t>
                  </w:r>
                </w:p>
              </w:tc>
              <w:tc>
                <w:tcPr>
                  <w:tcW w:w="275" w:type="pct"/>
                  <w:tcMar>
                    <w:top w:w="0" w:type="dxa"/>
                    <w:left w:w="0" w:type="dxa"/>
                    <w:bottom w:w="0" w:type="dxa"/>
                    <w:right w:w="0" w:type="dxa"/>
                  </w:tcMar>
                  <w:vAlign w:val="center"/>
                </w:tcPr>
                <w:p w14:paraId="2A8F5DAD">
                  <w:pPr>
                    <w:pStyle w:val="16"/>
                    <w:keepNext w:val="0"/>
                    <w:keepLines w:val="0"/>
                    <w:pageBreakBefore w:val="0"/>
                    <w:suppressLineNumbers w:val="0"/>
                    <w:kinsoku/>
                    <w:overflowPunct/>
                    <w:topLinePunct w:val="0"/>
                    <w:autoSpaceDE/>
                    <w:autoSpaceDN/>
                    <w:bidi w:val="0"/>
                    <w:snapToGrid w:val="0"/>
                    <w:spacing w:before="0" w:beforeAutospacing="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80m</w:t>
                  </w:r>
                </w:p>
              </w:tc>
              <w:tc>
                <w:tcPr>
                  <w:tcW w:w="569" w:type="pct"/>
                  <w:tcMar>
                    <w:top w:w="0" w:type="dxa"/>
                    <w:left w:w="0" w:type="dxa"/>
                    <w:bottom w:w="0" w:type="dxa"/>
                    <w:right w:w="0" w:type="dxa"/>
                  </w:tcMar>
                  <w:vAlign w:val="center"/>
                </w:tcPr>
                <w:p w14:paraId="07AA0326">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120.356077</w:t>
                  </w:r>
                </w:p>
              </w:tc>
              <w:tc>
                <w:tcPr>
                  <w:tcW w:w="510" w:type="pct"/>
                  <w:tcMar>
                    <w:top w:w="0" w:type="dxa"/>
                    <w:left w:w="0" w:type="dxa"/>
                    <w:bottom w:w="0" w:type="dxa"/>
                    <w:right w:w="0" w:type="dxa"/>
                  </w:tcMar>
                  <w:vAlign w:val="center"/>
                </w:tcPr>
                <w:p w14:paraId="51547F85">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31.507307</w:t>
                  </w:r>
                </w:p>
              </w:tc>
              <w:tc>
                <w:tcPr>
                  <w:tcW w:w="255" w:type="pct"/>
                  <w:tcMar>
                    <w:top w:w="0" w:type="dxa"/>
                    <w:left w:w="0" w:type="dxa"/>
                    <w:bottom w:w="0" w:type="dxa"/>
                    <w:right w:w="0" w:type="dxa"/>
                  </w:tcMar>
                  <w:vAlign w:val="center"/>
                </w:tcPr>
                <w:p w14:paraId="79EE40AD">
                  <w:pPr>
                    <w:pStyle w:val="16"/>
                    <w:keepNext w:val="0"/>
                    <w:keepLines w:val="0"/>
                    <w:pageBreakBefore w:val="0"/>
                    <w:suppressLineNumbers w:val="0"/>
                    <w:kinsoku/>
                    <w:overflowPunct/>
                    <w:topLinePunct w:val="0"/>
                    <w:autoSpaceDE/>
                    <w:autoSpaceDN/>
                    <w:bidi w:val="0"/>
                    <w:snapToGrid w:val="0"/>
                    <w:spacing w:before="0" w:beforeAutospacing="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358" w:type="pct"/>
                  <w:tcMar>
                    <w:top w:w="0" w:type="dxa"/>
                    <w:left w:w="0" w:type="dxa"/>
                    <w:bottom w:w="0" w:type="dxa"/>
                    <w:right w:w="0" w:type="dxa"/>
                  </w:tcMar>
                  <w:vAlign w:val="center"/>
                </w:tcPr>
                <w:p w14:paraId="58576177">
                  <w:pPr>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220m</w:t>
                  </w:r>
                </w:p>
              </w:tc>
              <w:tc>
                <w:tcPr>
                  <w:tcW w:w="569" w:type="pct"/>
                  <w:tcMar>
                    <w:top w:w="0" w:type="dxa"/>
                    <w:left w:w="0" w:type="dxa"/>
                    <w:bottom w:w="0" w:type="dxa"/>
                    <w:right w:w="0" w:type="dxa"/>
                  </w:tcMar>
                  <w:vAlign w:val="center"/>
                </w:tcPr>
                <w:p w14:paraId="69CC7198">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120.355247</w:t>
                  </w:r>
                </w:p>
              </w:tc>
              <w:tc>
                <w:tcPr>
                  <w:tcW w:w="510" w:type="pct"/>
                  <w:tcMar>
                    <w:top w:w="0" w:type="dxa"/>
                    <w:left w:w="0" w:type="dxa"/>
                    <w:bottom w:w="0" w:type="dxa"/>
                    <w:right w:w="0" w:type="dxa"/>
                  </w:tcMar>
                  <w:vAlign w:val="center"/>
                </w:tcPr>
                <w:p w14:paraId="61ACE38D">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31.508169</w:t>
                  </w:r>
                </w:p>
              </w:tc>
              <w:tc>
                <w:tcPr>
                  <w:tcW w:w="390" w:type="pct"/>
                  <w:tcMar>
                    <w:top w:w="0" w:type="dxa"/>
                    <w:left w:w="0" w:type="dxa"/>
                    <w:bottom w:w="0" w:type="dxa"/>
                    <w:right w:w="0" w:type="dxa"/>
                  </w:tcMar>
                  <w:vAlign w:val="center"/>
                </w:tcPr>
                <w:p w14:paraId="58319886">
                  <w:pPr>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附近</w:t>
                  </w:r>
                </w:p>
                <w:p w14:paraId="0110D0A0">
                  <w:pPr>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河流</w:t>
                  </w:r>
                </w:p>
              </w:tc>
            </w:tr>
          </w:tbl>
          <w:p w14:paraId="495D8C33">
            <w:pPr>
              <w:pStyle w:val="10"/>
              <w:keepNext w:val="0"/>
              <w:keepLines w:val="0"/>
              <w:numPr>
                <w:ilvl w:val="0"/>
                <w:numId w:val="0"/>
              </w:numPr>
              <w:suppressLineNumbers w:val="0"/>
              <w:snapToGrid w:val="0"/>
              <w:spacing w:before="159" w:beforeLines="5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声环境</w:t>
            </w:r>
          </w:p>
          <w:p w14:paraId="2DBC1278">
            <w:pPr>
              <w:pStyle w:val="24"/>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color w:val="auto"/>
                <w:sz w:val="24"/>
                <w:szCs w:val="24"/>
                <w:lang w:val="en-US" w:eastAsia="zh-CN"/>
              </w:rPr>
              <w:t>建设项目</w:t>
            </w:r>
            <w:r>
              <w:rPr>
                <w:rFonts w:hint="default" w:ascii="Times New Roman" w:hAnsi="Times New Roman" w:eastAsia="宋体" w:cs="Times New Roman"/>
                <w:color w:val="auto"/>
                <w:sz w:val="24"/>
                <w:szCs w:val="24"/>
                <w:lang w:val="en-US" w:eastAsia="zh-CN"/>
              </w:rPr>
              <w:t>位于无锡市新吴区净慧东道196号F楼2楼</w:t>
            </w:r>
            <w:r>
              <w:rPr>
                <w:rFonts w:hint="default" w:ascii="Times New Roman" w:hAnsi="Times New Roman" w:eastAsia="宋体" w:cs="Times New Roman"/>
                <w:color w:val="auto"/>
                <w:sz w:val="24"/>
                <w:szCs w:val="24"/>
              </w:rPr>
              <w:t>，项目周边50米范围内无声环境敏感目标</w:t>
            </w:r>
            <w:r>
              <w:rPr>
                <w:rFonts w:hint="default" w:ascii="Times New Roman" w:hAnsi="Times New Roman" w:eastAsia="宋体" w:cs="Times New Roman"/>
                <w:color w:val="auto"/>
                <w:sz w:val="24"/>
                <w:szCs w:val="24"/>
                <w:highlight w:val="none"/>
              </w:rPr>
              <w:t>。</w:t>
            </w:r>
          </w:p>
          <w:p w14:paraId="232E087A">
            <w:pPr>
              <w:pStyle w:val="1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地下水、土壤环境</w:t>
            </w:r>
          </w:p>
          <w:p w14:paraId="7490EECE">
            <w:pPr>
              <w:pStyle w:val="24"/>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olor w:val="auto"/>
                <w:sz w:val="24"/>
                <w:highlight w:val="none"/>
              </w:rPr>
              <w:t>本项目厂界外 500 米范围内无地下水集中式饮用水水源和热水、矿泉水、温泉等特殊地下水资源</w:t>
            </w:r>
            <w:r>
              <w:rPr>
                <w:rFonts w:hint="eastAsia" w:ascii="Times New Roman" w:hAnsi="Times New Roman" w:eastAsia="宋体"/>
                <w:color w:val="auto"/>
                <w:sz w:val="24"/>
                <w:highlight w:val="none"/>
                <w:lang w:eastAsia="zh-CN"/>
              </w:rPr>
              <w:t>；</w:t>
            </w:r>
            <w:r>
              <w:rPr>
                <w:rFonts w:hint="eastAsia" w:ascii="Times New Roman" w:hAnsi="Times New Roman" w:eastAsia="宋体"/>
                <w:color w:val="auto"/>
                <w:sz w:val="24"/>
                <w:highlight w:val="none"/>
                <w:lang w:val="en-US" w:eastAsia="zh-CN"/>
              </w:rPr>
              <w:t>项目占地范围及周边亦不存在</w:t>
            </w:r>
            <w:r>
              <w:rPr>
                <w:rFonts w:hint="eastAsia" w:ascii="Times New Roman" w:hAnsi="Times New Roman" w:eastAsia="宋体"/>
                <w:color w:val="auto"/>
                <w:sz w:val="24"/>
                <w:highlight w:val="none"/>
                <w:lang w:eastAsia="zh-CN"/>
              </w:rPr>
              <w:t>土壤环境保护目标</w:t>
            </w:r>
            <w:r>
              <w:rPr>
                <w:rFonts w:hint="default" w:ascii="Times New Roman" w:hAnsi="Times New Roman" w:eastAsia="宋体"/>
                <w:color w:val="auto"/>
                <w:sz w:val="24"/>
                <w:highlight w:val="none"/>
              </w:rPr>
              <w:t>。</w:t>
            </w:r>
          </w:p>
          <w:p w14:paraId="142C2E23">
            <w:pPr>
              <w:pStyle w:val="1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rPr>
              <w:t>生态环境</w:t>
            </w:r>
          </w:p>
          <w:p w14:paraId="14E174A2">
            <w:pPr>
              <w:pStyle w:val="12"/>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kern w:val="2"/>
                <w:sz w:val="24"/>
                <w:szCs w:val="24"/>
                <w:highlight w:val="none"/>
                <w:lang w:val="en-US" w:eastAsia="zh-CN" w:bidi="ar-SA"/>
              </w:rPr>
              <w:t>本项目位于无锡市新吴区净慧东道196号F楼2楼，根据《省政府关于印发江苏省国家级生态保护红线规划的通知》（苏政发〔2018〕74号）中《江苏省国家级生态保护红线规划》及《省政府关于印发江苏省生态空间管控区域规划的通知》（苏政发〔2020〕1号）中《江苏省生态空间管控区域规划》中“无锡市生态空间保护区域名录”，距离最近的国家级生态红线-贡湖锡东饮用水水源保护区6.23km、无锡太湖大溪港省级湿地公园4.50km；距离最近的生态空间管控区域-太湖（无锡市区）重要保护区4.50km、无锡太湖大溪港省级湿地公园4.40km</w:t>
            </w:r>
            <w:r>
              <w:rPr>
                <w:rFonts w:hint="eastAsia" w:ascii="Times New Roman" w:hAnsi="Times New Roman" w:eastAsia="宋体" w:cs="Times New Roman"/>
                <w:color w:val="auto"/>
                <w:kern w:val="0"/>
                <w:sz w:val="24"/>
                <w:highlight w:val="none"/>
                <w:lang w:val="zh-CN"/>
              </w:rPr>
              <w:t>。</w:t>
            </w:r>
          </w:p>
          <w:p w14:paraId="03CAF79E">
            <w:pPr>
              <w:keepNext w:val="0"/>
              <w:keepLines w:val="0"/>
              <w:numPr>
                <w:ilvl w:val="0"/>
                <w:numId w:val="0"/>
              </w:numPr>
              <w:suppressLineNumbers w:val="0"/>
              <w:snapToGrid w:val="0"/>
              <w:spacing w:before="0" w:beforeAutospacing="0" w:after="0" w:afterAutospacing="0"/>
              <w:ind w:left="425" w:leftChars="0" w:right="0" w:hanging="425" w:firstLineChars="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bCs/>
                <w:color w:val="auto"/>
                <w:kern w:val="2"/>
                <w:sz w:val="24"/>
                <w:szCs w:val="24"/>
                <w:lang w:val="en-US" w:eastAsia="zh-CN" w:bidi="ar-SA"/>
              </w:rPr>
              <w:t>表3-</w:t>
            </w:r>
            <w:r>
              <w:rPr>
                <w:rFonts w:hint="eastAsia" w:ascii="Times New Roman" w:hAnsi="Times New Roman" w:eastAsia="宋体" w:cs="Times New Roman"/>
                <w:b/>
                <w:bCs/>
                <w:color w:val="auto"/>
                <w:kern w:val="2"/>
                <w:sz w:val="24"/>
                <w:szCs w:val="24"/>
                <w:lang w:val="en-US" w:eastAsia="zh-CN" w:bidi="ar-SA"/>
              </w:rPr>
              <w:t xml:space="preserve">6  </w:t>
            </w:r>
            <w:r>
              <w:rPr>
                <w:rFonts w:hint="default" w:ascii="Times New Roman" w:hAnsi="Times New Roman" w:eastAsia="宋体" w:cs="Times New Roman"/>
                <w:b/>
                <w:color w:val="auto"/>
                <w:sz w:val="24"/>
                <w:highlight w:val="none"/>
              </w:rPr>
              <w:t>主要环境保护目标</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0"/>
              <w:gridCol w:w="1676"/>
              <w:gridCol w:w="1188"/>
              <w:gridCol w:w="1000"/>
              <w:gridCol w:w="1851"/>
              <w:gridCol w:w="2292"/>
            </w:tblGrid>
            <w:tr w14:paraId="2B78F0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5" w:type="pct"/>
                  <w:noWrap w:val="0"/>
                  <w:vAlign w:val="center"/>
                </w:tcPr>
                <w:p w14:paraId="64100D3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环境要素</w:t>
                  </w:r>
                </w:p>
              </w:tc>
              <w:tc>
                <w:tcPr>
                  <w:tcW w:w="930" w:type="pct"/>
                  <w:noWrap w:val="0"/>
                  <w:vAlign w:val="center"/>
                </w:tcPr>
                <w:p w14:paraId="0042874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环境敏感目标名称</w:t>
                  </w:r>
                </w:p>
              </w:tc>
              <w:tc>
                <w:tcPr>
                  <w:tcW w:w="659" w:type="pct"/>
                  <w:noWrap w:val="0"/>
                  <w:vAlign w:val="center"/>
                </w:tcPr>
                <w:p w14:paraId="3B97120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距本企业距离（m）</w:t>
                  </w:r>
                </w:p>
              </w:tc>
              <w:tc>
                <w:tcPr>
                  <w:tcW w:w="555" w:type="pct"/>
                  <w:noWrap w:val="0"/>
                  <w:vAlign w:val="center"/>
                </w:tcPr>
                <w:p w14:paraId="150ED7B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方位</w:t>
                  </w:r>
                </w:p>
              </w:tc>
              <w:tc>
                <w:tcPr>
                  <w:tcW w:w="1027" w:type="pct"/>
                  <w:noWrap w:val="0"/>
                  <w:vAlign w:val="center"/>
                </w:tcPr>
                <w:p w14:paraId="70217B2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规模</w:t>
                  </w:r>
                </w:p>
              </w:tc>
              <w:tc>
                <w:tcPr>
                  <w:tcW w:w="1272" w:type="pct"/>
                  <w:noWrap w:val="0"/>
                  <w:vAlign w:val="center"/>
                </w:tcPr>
                <w:p w14:paraId="662416D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环境功能</w:t>
                  </w:r>
                </w:p>
              </w:tc>
            </w:tr>
            <w:tr w14:paraId="733475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5" w:type="pct"/>
                  <w:vMerge w:val="restart"/>
                  <w:noWrap w:val="0"/>
                  <w:vAlign w:val="center"/>
                </w:tcPr>
                <w:p w14:paraId="3B33EDE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水环境</w:t>
                  </w:r>
                </w:p>
              </w:tc>
              <w:tc>
                <w:tcPr>
                  <w:tcW w:w="930" w:type="pct"/>
                  <w:noWrap w:val="0"/>
                  <w:vAlign w:val="center"/>
                </w:tcPr>
                <w:p w14:paraId="6D02348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京杭运河</w:t>
                  </w:r>
                </w:p>
              </w:tc>
              <w:tc>
                <w:tcPr>
                  <w:tcW w:w="659" w:type="pct"/>
                  <w:noWrap w:val="0"/>
                  <w:vAlign w:val="center"/>
                </w:tcPr>
                <w:p w14:paraId="6DEFFF0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965</w:t>
                  </w:r>
                </w:p>
              </w:tc>
              <w:tc>
                <w:tcPr>
                  <w:tcW w:w="555" w:type="pct"/>
                  <w:noWrap w:val="0"/>
                  <w:vAlign w:val="center"/>
                </w:tcPr>
                <w:p w14:paraId="4A74241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东北</w:t>
                  </w:r>
                </w:p>
              </w:tc>
              <w:tc>
                <w:tcPr>
                  <w:tcW w:w="1027" w:type="pct"/>
                  <w:noWrap w:val="0"/>
                  <w:vAlign w:val="center"/>
                </w:tcPr>
                <w:p w14:paraId="743E7AF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中</w:t>
                  </w:r>
                </w:p>
              </w:tc>
              <w:tc>
                <w:tcPr>
                  <w:tcW w:w="1272" w:type="pct"/>
                  <w:noWrap w:val="0"/>
                  <w:vAlign w:val="center"/>
                </w:tcPr>
                <w:p w14:paraId="3A99B24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《地表水环境质量标准》（GB3838-2002）中的</w:t>
                  </w:r>
                  <w:r>
                    <w:rPr>
                      <w:rFonts w:hint="default" w:ascii="Times New Roman" w:hAnsi="Times New Roman" w:eastAsia="宋体" w:cs="Times New Roman"/>
                      <w:color w:val="auto"/>
                      <w:szCs w:val="21"/>
                      <w:highlight w:val="none"/>
                      <w:shd w:val="clear" w:color="auto" w:fill="FFFFFF"/>
                    </w:rPr>
                    <w:t>Ⅳ类</w:t>
                  </w:r>
                </w:p>
              </w:tc>
            </w:tr>
            <w:tr w14:paraId="7AB952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5" w:type="pct"/>
                  <w:vMerge w:val="continue"/>
                  <w:noWrap w:val="0"/>
                  <w:vAlign w:val="center"/>
                </w:tcPr>
                <w:p w14:paraId="7414D92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930" w:type="pct"/>
                  <w:noWrap w:val="0"/>
                  <w:vAlign w:val="center"/>
                </w:tcPr>
                <w:p w14:paraId="62580B7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兴源河</w:t>
                  </w:r>
                </w:p>
              </w:tc>
              <w:tc>
                <w:tcPr>
                  <w:tcW w:w="659" w:type="pct"/>
                  <w:noWrap w:val="0"/>
                  <w:vAlign w:val="center"/>
                </w:tcPr>
                <w:p w14:paraId="0AF35DF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250</w:t>
                  </w:r>
                </w:p>
              </w:tc>
              <w:tc>
                <w:tcPr>
                  <w:tcW w:w="555" w:type="pct"/>
                  <w:noWrap w:val="0"/>
                  <w:vAlign w:val="center"/>
                </w:tcPr>
                <w:p w14:paraId="29F2E42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东北</w:t>
                  </w:r>
                </w:p>
              </w:tc>
              <w:tc>
                <w:tcPr>
                  <w:tcW w:w="1027" w:type="pct"/>
                  <w:noWrap w:val="0"/>
                  <w:vAlign w:val="center"/>
                </w:tcPr>
                <w:p w14:paraId="580E63B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小</w:t>
                  </w:r>
                </w:p>
              </w:tc>
              <w:tc>
                <w:tcPr>
                  <w:tcW w:w="1272" w:type="pct"/>
                  <w:noWrap w:val="0"/>
                  <w:vAlign w:val="center"/>
                </w:tcPr>
                <w:p w14:paraId="415651D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《地表水环境质量标准》（GB3838-2002）中的</w:t>
                  </w:r>
                  <w:r>
                    <w:rPr>
                      <w:rFonts w:hint="default" w:ascii="Times New Roman" w:hAnsi="Times New Roman" w:eastAsia="宋体" w:cs="Times New Roman"/>
                      <w:color w:val="auto"/>
                      <w:szCs w:val="21"/>
                      <w:highlight w:val="none"/>
                      <w:shd w:val="clear" w:color="auto" w:fill="FFFFFF"/>
                    </w:rPr>
                    <w:t>Ⅳ类</w:t>
                  </w:r>
                </w:p>
              </w:tc>
            </w:tr>
            <w:tr w14:paraId="1F98D3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5" w:type="pct"/>
                  <w:noWrap w:val="0"/>
                  <w:vAlign w:val="center"/>
                </w:tcPr>
                <w:p w14:paraId="73E2D4C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声环境</w:t>
                  </w:r>
                </w:p>
              </w:tc>
              <w:tc>
                <w:tcPr>
                  <w:tcW w:w="930" w:type="pct"/>
                  <w:noWrap w:val="0"/>
                  <w:vAlign w:val="center"/>
                </w:tcPr>
                <w:p w14:paraId="2765254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厂界</w:t>
                  </w:r>
                </w:p>
              </w:tc>
              <w:tc>
                <w:tcPr>
                  <w:tcW w:w="659" w:type="pct"/>
                  <w:noWrap w:val="0"/>
                  <w:vAlign w:val="center"/>
                </w:tcPr>
                <w:p w14:paraId="11C23AC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555" w:type="pct"/>
                  <w:noWrap w:val="0"/>
                  <w:vAlign w:val="center"/>
                </w:tcPr>
                <w:p w14:paraId="4E7B869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027" w:type="pct"/>
                  <w:noWrap w:val="0"/>
                  <w:vAlign w:val="center"/>
                </w:tcPr>
                <w:p w14:paraId="0776385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272" w:type="pct"/>
                  <w:noWrap w:val="0"/>
                  <w:vAlign w:val="center"/>
                </w:tcPr>
                <w:p w14:paraId="7805E7B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《声环境质量标准》（GB3096-2008）中的</w:t>
                  </w:r>
                  <w:r>
                    <w:rPr>
                      <w:rFonts w:hint="default" w:ascii="Times New Roman" w:hAnsi="Times New Roman" w:eastAsia="宋体" w:cs="Times New Roman"/>
                      <w:color w:val="auto"/>
                      <w:szCs w:val="21"/>
                      <w:highlight w:val="none"/>
                      <w:shd w:val="clear" w:color="auto" w:fill="FFFFFF"/>
                    </w:rPr>
                    <w:t>2类区</w:t>
                  </w:r>
                </w:p>
              </w:tc>
            </w:tr>
            <w:tr w14:paraId="5ABC41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5" w:type="pct"/>
                  <w:noWrap w:val="0"/>
                  <w:vAlign w:val="center"/>
                </w:tcPr>
                <w:p w14:paraId="0C929F8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地下水</w:t>
                  </w:r>
                </w:p>
              </w:tc>
              <w:tc>
                <w:tcPr>
                  <w:tcW w:w="930" w:type="pct"/>
                  <w:noWrap w:val="0"/>
                  <w:vAlign w:val="center"/>
                </w:tcPr>
                <w:p w14:paraId="466801A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659" w:type="pct"/>
                  <w:noWrap w:val="0"/>
                  <w:vAlign w:val="center"/>
                </w:tcPr>
                <w:p w14:paraId="7F4E3D2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555" w:type="pct"/>
                  <w:noWrap w:val="0"/>
                  <w:vAlign w:val="center"/>
                </w:tcPr>
                <w:p w14:paraId="41E38C8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027" w:type="pct"/>
                  <w:noWrap w:val="0"/>
                  <w:vAlign w:val="center"/>
                </w:tcPr>
                <w:p w14:paraId="6C4E057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272" w:type="pct"/>
                  <w:noWrap w:val="0"/>
                  <w:vAlign w:val="center"/>
                </w:tcPr>
                <w:p w14:paraId="7412E8E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14:paraId="10BC1B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5" w:type="pct"/>
                  <w:vMerge w:val="restart"/>
                  <w:noWrap w:val="0"/>
                  <w:vAlign w:val="center"/>
                </w:tcPr>
                <w:p w14:paraId="56E42F6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w:t>
                  </w:r>
                </w:p>
              </w:tc>
              <w:tc>
                <w:tcPr>
                  <w:tcW w:w="930" w:type="pct"/>
                  <w:noWrap w:val="0"/>
                  <w:vAlign w:val="center"/>
                </w:tcPr>
                <w:p w14:paraId="77FADE7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贡湖锡东饮用水水源保护区</w:t>
                  </w:r>
                </w:p>
              </w:tc>
              <w:tc>
                <w:tcPr>
                  <w:tcW w:w="659" w:type="pct"/>
                  <w:noWrap w:val="0"/>
                  <w:vAlign w:val="center"/>
                </w:tcPr>
                <w:p w14:paraId="0FC2912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6230</w:t>
                  </w:r>
                </w:p>
              </w:tc>
              <w:tc>
                <w:tcPr>
                  <w:tcW w:w="555" w:type="pct"/>
                  <w:noWrap w:val="0"/>
                  <w:vAlign w:val="center"/>
                </w:tcPr>
                <w:p w14:paraId="2CB5D12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南</w:t>
                  </w:r>
                </w:p>
              </w:tc>
              <w:tc>
                <w:tcPr>
                  <w:tcW w:w="1027" w:type="pct"/>
                  <w:noWrap w:val="0"/>
                  <w:vAlign w:val="center"/>
                </w:tcPr>
                <w:p w14:paraId="6C5C515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国家级生态保护红线面积21.45km</w:t>
                  </w:r>
                  <w:r>
                    <w:rPr>
                      <w:rFonts w:hint="default" w:ascii="Times New Roman" w:hAnsi="Times New Roman" w:eastAsia="宋体" w:cs="Times New Roman"/>
                      <w:color w:val="auto"/>
                      <w:szCs w:val="21"/>
                      <w:highlight w:val="none"/>
                      <w:vertAlign w:val="superscript"/>
                    </w:rPr>
                    <w:t>2</w:t>
                  </w:r>
                </w:p>
              </w:tc>
              <w:tc>
                <w:tcPr>
                  <w:tcW w:w="1272" w:type="pct"/>
                  <w:noWrap w:val="0"/>
                  <w:vAlign w:val="center"/>
                </w:tcPr>
                <w:p w14:paraId="38ED610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国家级生态保护红线区域（水源水质保护）</w:t>
                  </w:r>
                </w:p>
              </w:tc>
            </w:tr>
            <w:tr w14:paraId="22057C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5" w:type="pct"/>
                  <w:vMerge w:val="continue"/>
                  <w:noWrap w:val="0"/>
                  <w:vAlign w:val="center"/>
                </w:tcPr>
                <w:p w14:paraId="31FF67A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930" w:type="pct"/>
                  <w:noWrap w:val="0"/>
                  <w:vAlign w:val="center"/>
                </w:tcPr>
                <w:p w14:paraId="5EAF0F8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太湖（无锡市区）重要保护区</w:t>
                  </w:r>
                </w:p>
              </w:tc>
              <w:tc>
                <w:tcPr>
                  <w:tcW w:w="659" w:type="pct"/>
                  <w:noWrap w:val="0"/>
                  <w:vAlign w:val="center"/>
                </w:tcPr>
                <w:p w14:paraId="68E6ECC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4500</w:t>
                  </w:r>
                </w:p>
              </w:tc>
              <w:tc>
                <w:tcPr>
                  <w:tcW w:w="555" w:type="pct"/>
                  <w:noWrap w:val="0"/>
                  <w:vAlign w:val="center"/>
                </w:tcPr>
                <w:p w14:paraId="25FD849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南</w:t>
                  </w:r>
                </w:p>
              </w:tc>
              <w:tc>
                <w:tcPr>
                  <w:tcW w:w="1027" w:type="pct"/>
                  <w:noWrap w:val="0"/>
                  <w:vAlign w:val="center"/>
                </w:tcPr>
                <w:p w14:paraId="4F0ADCD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生态空间管控区域面429.47km</w:t>
                  </w:r>
                  <w:r>
                    <w:rPr>
                      <w:rFonts w:hint="default" w:ascii="Times New Roman" w:hAnsi="Times New Roman" w:eastAsia="宋体" w:cs="Times New Roman"/>
                      <w:color w:val="auto"/>
                      <w:szCs w:val="21"/>
                      <w:highlight w:val="none"/>
                      <w:vertAlign w:val="superscript"/>
                    </w:rPr>
                    <w:t>2</w:t>
                  </w:r>
                </w:p>
              </w:tc>
              <w:tc>
                <w:tcPr>
                  <w:tcW w:w="1272" w:type="pct"/>
                  <w:noWrap w:val="0"/>
                  <w:vAlign w:val="center"/>
                </w:tcPr>
                <w:p w14:paraId="29D4193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江苏省生态空间管控区域规划</w:t>
                  </w:r>
                </w:p>
              </w:tc>
            </w:tr>
            <w:tr w14:paraId="306648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5" w:type="pct"/>
                  <w:vMerge w:val="continue"/>
                  <w:noWrap w:val="0"/>
                  <w:vAlign w:val="center"/>
                </w:tcPr>
                <w:p w14:paraId="0046EB4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930" w:type="pct"/>
                  <w:noWrap w:val="0"/>
                  <w:vAlign w:val="center"/>
                </w:tcPr>
                <w:p w14:paraId="7A94ED6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olor w:val="auto"/>
                      <w:lang w:val="zh-CN"/>
                    </w:rPr>
                    <w:t>无锡太湖大溪港省级湿地公园</w:t>
                  </w:r>
                </w:p>
              </w:tc>
              <w:tc>
                <w:tcPr>
                  <w:tcW w:w="659" w:type="pct"/>
                  <w:noWrap w:val="0"/>
                  <w:vAlign w:val="center"/>
                </w:tcPr>
                <w:p w14:paraId="4B2D9C2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4400</w:t>
                  </w:r>
                </w:p>
              </w:tc>
              <w:tc>
                <w:tcPr>
                  <w:tcW w:w="555" w:type="pct"/>
                  <w:noWrap w:val="0"/>
                  <w:vAlign w:val="center"/>
                </w:tcPr>
                <w:p w14:paraId="25239AE1">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南</w:t>
                  </w:r>
                </w:p>
              </w:tc>
              <w:tc>
                <w:tcPr>
                  <w:tcW w:w="1027" w:type="pct"/>
                  <w:noWrap w:val="0"/>
                  <w:vAlign w:val="center"/>
                </w:tcPr>
                <w:p w14:paraId="43180FC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bCs/>
                      <w:color w:val="auto"/>
                      <w:szCs w:val="21"/>
                    </w:rPr>
                    <w:t>面积</w:t>
                  </w:r>
                  <w:r>
                    <w:rPr>
                      <w:rFonts w:hint="eastAsia" w:ascii="Times New Roman" w:hAnsi="Times New Roman" w:eastAsia="宋体"/>
                      <w:bCs/>
                      <w:color w:val="auto"/>
                      <w:szCs w:val="21"/>
                      <w:lang w:val="en-US" w:eastAsia="zh-CN"/>
                    </w:rPr>
                    <w:t>3.33</w:t>
                  </w:r>
                  <w:r>
                    <w:rPr>
                      <w:rFonts w:hint="default" w:ascii="Times New Roman" w:hAnsi="Times New Roman" w:eastAsia="宋体"/>
                      <w:bCs/>
                      <w:color w:val="auto"/>
                      <w:szCs w:val="21"/>
                    </w:rPr>
                    <w:t>km</w:t>
                  </w:r>
                  <w:r>
                    <w:rPr>
                      <w:rFonts w:hint="default" w:ascii="Times New Roman" w:hAnsi="Times New Roman" w:eastAsia="宋体"/>
                      <w:bCs/>
                      <w:color w:val="auto"/>
                      <w:szCs w:val="21"/>
                      <w:vertAlign w:val="superscript"/>
                    </w:rPr>
                    <w:t>2</w:t>
                  </w:r>
                </w:p>
              </w:tc>
              <w:tc>
                <w:tcPr>
                  <w:tcW w:w="1272" w:type="pct"/>
                  <w:noWrap w:val="0"/>
                  <w:vAlign w:val="center"/>
                </w:tcPr>
                <w:p w14:paraId="24F51D48">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olor w:val="auto"/>
                      <w:lang w:val="zh-CN"/>
                    </w:rPr>
                    <w:t>《江苏省国家级生态保护红线规划》</w:t>
                  </w:r>
                  <w:r>
                    <w:rPr>
                      <w:rFonts w:hint="default" w:ascii="Times New Roman" w:hAnsi="Times New Roman" w:eastAsia="宋体" w:cs="Times New Roman"/>
                      <w:color w:val="auto"/>
                      <w:sz w:val="21"/>
                      <w:szCs w:val="21"/>
                    </w:rPr>
                    <w:t>湿地生态系统保护</w:t>
                  </w:r>
                </w:p>
              </w:tc>
            </w:tr>
            <w:tr w14:paraId="36F2EC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5" w:type="pct"/>
                  <w:vMerge w:val="continue"/>
                  <w:noWrap w:val="0"/>
                  <w:vAlign w:val="center"/>
                </w:tcPr>
                <w:p w14:paraId="3320610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930" w:type="pct"/>
                  <w:noWrap w:val="0"/>
                  <w:vAlign w:val="center"/>
                </w:tcPr>
                <w:p w14:paraId="49B3154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olor w:val="auto"/>
                      <w:lang w:val="zh-CN"/>
                    </w:rPr>
                    <w:t>无锡太湖大溪港省级湿地公园</w:t>
                  </w:r>
                </w:p>
              </w:tc>
              <w:tc>
                <w:tcPr>
                  <w:tcW w:w="659" w:type="pct"/>
                  <w:noWrap w:val="0"/>
                  <w:vAlign w:val="center"/>
                </w:tcPr>
                <w:p w14:paraId="6BA1F12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4500</w:t>
                  </w:r>
                </w:p>
              </w:tc>
              <w:tc>
                <w:tcPr>
                  <w:tcW w:w="555" w:type="pct"/>
                  <w:noWrap w:val="0"/>
                  <w:vAlign w:val="center"/>
                </w:tcPr>
                <w:p w14:paraId="33BC6FD9">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南</w:t>
                  </w:r>
                </w:p>
              </w:tc>
              <w:tc>
                <w:tcPr>
                  <w:tcW w:w="1027" w:type="pct"/>
                  <w:noWrap w:val="0"/>
                  <w:vAlign w:val="center"/>
                </w:tcPr>
                <w:p w14:paraId="7B35E59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bCs/>
                      <w:color w:val="auto"/>
                      <w:szCs w:val="21"/>
                    </w:rPr>
                    <w:t>面积</w:t>
                  </w:r>
                  <w:r>
                    <w:rPr>
                      <w:rFonts w:hint="eastAsia" w:ascii="Times New Roman" w:hAnsi="Times New Roman" w:eastAsia="宋体"/>
                      <w:bCs/>
                      <w:color w:val="auto"/>
                      <w:szCs w:val="21"/>
                      <w:lang w:val="en-US" w:eastAsia="zh-CN"/>
                    </w:rPr>
                    <w:t>0.48</w:t>
                  </w:r>
                  <w:r>
                    <w:rPr>
                      <w:rFonts w:hint="default" w:ascii="Times New Roman" w:hAnsi="Times New Roman" w:eastAsia="宋体"/>
                      <w:bCs/>
                      <w:color w:val="auto"/>
                      <w:szCs w:val="21"/>
                    </w:rPr>
                    <w:t>km</w:t>
                  </w:r>
                  <w:r>
                    <w:rPr>
                      <w:rFonts w:hint="default" w:ascii="Times New Roman" w:hAnsi="Times New Roman" w:eastAsia="宋体"/>
                      <w:bCs/>
                      <w:color w:val="auto"/>
                      <w:szCs w:val="21"/>
                      <w:vertAlign w:val="superscript"/>
                    </w:rPr>
                    <w:t>2</w:t>
                  </w:r>
                </w:p>
              </w:tc>
              <w:tc>
                <w:tcPr>
                  <w:tcW w:w="1272" w:type="pct"/>
                  <w:noWrap w:val="0"/>
                  <w:vAlign w:val="center"/>
                </w:tcPr>
                <w:p w14:paraId="2A8083E3">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olor w:val="auto"/>
                      <w:lang w:val="zh-CN"/>
                    </w:rPr>
                    <w:t>《江苏省生态空间管控区域规划》</w:t>
                  </w:r>
                  <w:r>
                    <w:rPr>
                      <w:rFonts w:hint="default" w:ascii="Times New Roman" w:hAnsi="Times New Roman" w:eastAsia="宋体" w:cs="Times New Roman"/>
                      <w:color w:val="auto"/>
                      <w:sz w:val="21"/>
                      <w:szCs w:val="21"/>
                    </w:rPr>
                    <w:t>湿地生态系统保护</w:t>
                  </w:r>
                </w:p>
              </w:tc>
            </w:tr>
          </w:tbl>
          <w:p w14:paraId="00268E42">
            <w:pPr>
              <w:keepNext w:val="0"/>
              <w:keepLines w:val="0"/>
              <w:numPr>
                <w:ilvl w:val="0"/>
                <w:numId w:val="0"/>
              </w:numPr>
              <w:suppressLineNumbers w:val="0"/>
              <w:snapToGrid w:val="0"/>
              <w:spacing w:before="0" w:beforeAutospacing="0" w:after="0" w:afterAutospacing="0"/>
              <w:ind w:left="0" w:leftChars="0" w:right="0"/>
              <w:jc w:val="both"/>
              <w:rPr>
                <w:rFonts w:hint="default" w:ascii="Times New Roman" w:hAnsi="Times New Roman" w:eastAsia="宋体" w:cs="Times New Roman"/>
                <w:b/>
                <w:color w:val="auto"/>
                <w:sz w:val="24"/>
                <w:highlight w:val="none"/>
              </w:rPr>
            </w:pPr>
          </w:p>
          <w:p w14:paraId="42F18E0D">
            <w:pPr>
              <w:pStyle w:val="12"/>
              <w:keepNext w:val="0"/>
              <w:keepLines w:val="0"/>
              <w:suppressLineNumbers w:val="0"/>
              <w:spacing w:beforeAutospacing="0" w:afterAutospacing="0"/>
              <w:ind w:left="0"/>
              <w:rPr>
                <w:rFonts w:hint="default" w:ascii="Times New Roman" w:hAnsi="Times New Roman" w:eastAsia="宋体" w:cs="Times New Roman"/>
                <w:color w:val="auto"/>
              </w:rPr>
            </w:pPr>
          </w:p>
          <w:p w14:paraId="090068B4">
            <w:pPr>
              <w:pStyle w:val="24"/>
              <w:keepNext w:val="0"/>
              <w:keepLines w:val="0"/>
              <w:suppressLineNumbers w:val="0"/>
              <w:autoSpaceDE w:val="0"/>
              <w:autoSpaceDN w:val="0"/>
              <w:adjustRightInd w:val="0"/>
              <w:snapToGrid w:val="0"/>
              <w:spacing w:before="0" w:beforeAutospacing="0" w:after="0" w:afterAutospacing="0" w:line="360" w:lineRule="auto"/>
              <w:ind w:left="0" w:right="0"/>
              <w:jc w:val="both"/>
              <w:rPr>
                <w:rFonts w:hint="default" w:ascii="Times New Roman" w:hAnsi="Times New Roman" w:eastAsia="宋体" w:cs="Times New Roman"/>
                <w:color w:val="auto"/>
                <w:highlight w:val="none"/>
              </w:rPr>
            </w:pPr>
          </w:p>
          <w:p w14:paraId="0B7BD4A2">
            <w:pPr>
              <w:pStyle w:val="24"/>
              <w:keepNext w:val="0"/>
              <w:keepLines w:val="0"/>
              <w:suppressLineNumbers w:val="0"/>
              <w:autoSpaceDE w:val="0"/>
              <w:autoSpaceDN w:val="0"/>
              <w:adjustRightInd w:val="0"/>
              <w:snapToGrid w:val="0"/>
              <w:spacing w:before="0" w:beforeAutospacing="0" w:after="0" w:afterAutospacing="0" w:line="360" w:lineRule="auto"/>
              <w:ind w:left="0" w:right="0"/>
              <w:jc w:val="both"/>
              <w:rPr>
                <w:rFonts w:hint="default" w:ascii="Times New Roman" w:hAnsi="Times New Roman" w:eastAsia="宋体" w:cs="Times New Roman"/>
                <w:color w:val="auto"/>
                <w:highlight w:val="none"/>
              </w:rPr>
            </w:pPr>
          </w:p>
          <w:p w14:paraId="5EA9EC55">
            <w:pPr>
              <w:pStyle w:val="24"/>
              <w:keepNext w:val="0"/>
              <w:keepLines w:val="0"/>
              <w:suppressLineNumbers w:val="0"/>
              <w:autoSpaceDE w:val="0"/>
              <w:autoSpaceDN w:val="0"/>
              <w:adjustRightInd w:val="0"/>
              <w:snapToGrid w:val="0"/>
              <w:spacing w:before="0" w:beforeAutospacing="0" w:after="0" w:afterAutospacing="0" w:line="360" w:lineRule="auto"/>
              <w:ind w:left="0" w:right="0"/>
              <w:jc w:val="both"/>
              <w:rPr>
                <w:rFonts w:hint="default" w:ascii="Times New Roman" w:hAnsi="Times New Roman" w:eastAsia="宋体" w:cs="Times New Roman"/>
                <w:color w:val="auto"/>
                <w:highlight w:val="none"/>
              </w:rPr>
            </w:pPr>
          </w:p>
          <w:p w14:paraId="070F89AB">
            <w:pPr>
              <w:pStyle w:val="24"/>
              <w:keepNext w:val="0"/>
              <w:keepLines w:val="0"/>
              <w:suppressLineNumbers w:val="0"/>
              <w:autoSpaceDE w:val="0"/>
              <w:autoSpaceDN w:val="0"/>
              <w:adjustRightInd w:val="0"/>
              <w:snapToGrid w:val="0"/>
              <w:spacing w:before="0" w:beforeAutospacing="0" w:after="0" w:afterAutospacing="0" w:line="360" w:lineRule="auto"/>
              <w:ind w:left="0" w:right="0"/>
              <w:jc w:val="both"/>
              <w:rPr>
                <w:rFonts w:hint="default" w:ascii="Times New Roman" w:hAnsi="Times New Roman" w:eastAsia="宋体" w:cs="Times New Roman"/>
                <w:color w:val="auto"/>
                <w:highlight w:val="none"/>
              </w:rPr>
            </w:pPr>
          </w:p>
          <w:p w14:paraId="084196BD">
            <w:pPr>
              <w:pStyle w:val="24"/>
              <w:keepNext w:val="0"/>
              <w:keepLines w:val="0"/>
              <w:suppressLineNumbers w:val="0"/>
              <w:autoSpaceDE w:val="0"/>
              <w:autoSpaceDN w:val="0"/>
              <w:adjustRightInd w:val="0"/>
              <w:snapToGrid w:val="0"/>
              <w:spacing w:before="0" w:beforeAutospacing="0" w:after="0" w:afterAutospacing="0" w:line="360" w:lineRule="auto"/>
              <w:ind w:left="0" w:right="0"/>
              <w:jc w:val="both"/>
              <w:rPr>
                <w:rFonts w:hint="default" w:ascii="Times New Roman" w:hAnsi="Times New Roman" w:eastAsia="宋体" w:cs="Times New Roman"/>
                <w:color w:val="auto"/>
                <w:highlight w:val="none"/>
              </w:rPr>
            </w:pPr>
          </w:p>
          <w:p w14:paraId="3154D195">
            <w:pPr>
              <w:pStyle w:val="24"/>
              <w:keepNext w:val="0"/>
              <w:keepLines w:val="0"/>
              <w:suppressLineNumbers w:val="0"/>
              <w:autoSpaceDE w:val="0"/>
              <w:autoSpaceDN w:val="0"/>
              <w:adjustRightInd w:val="0"/>
              <w:snapToGrid w:val="0"/>
              <w:spacing w:before="0" w:beforeAutospacing="0" w:after="0" w:afterAutospacing="0" w:line="360" w:lineRule="auto"/>
              <w:ind w:left="0" w:right="0"/>
              <w:jc w:val="both"/>
              <w:rPr>
                <w:rFonts w:hint="default" w:ascii="Times New Roman" w:hAnsi="Times New Roman" w:eastAsia="宋体" w:cs="Times New Roman"/>
                <w:color w:val="auto"/>
                <w:highlight w:val="none"/>
              </w:rPr>
            </w:pPr>
          </w:p>
          <w:p w14:paraId="65DFED00">
            <w:pPr>
              <w:pStyle w:val="24"/>
              <w:keepNext w:val="0"/>
              <w:keepLines w:val="0"/>
              <w:suppressLineNumbers w:val="0"/>
              <w:autoSpaceDE w:val="0"/>
              <w:autoSpaceDN w:val="0"/>
              <w:adjustRightInd w:val="0"/>
              <w:snapToGrid w:val="0"/>
              <w:spacing w:before="0" w:beforeAutospacing="0" w:after="0" w:afterAutospacing="0" w:line="360" w:lineRule="auto"/>
              <w:ind w:left="0" w:right="0"/>
              <w:jc w:val="both"/>
              <w:rPr>
                <w:rFonts w:hint="default" w:ascii="Times New Roman" w:hAnsi="Times New Roman" w:eastAsia="宋体" w:cs="Times New Roman"/>
                <w:color w:val="auto"/>
                <w:highlight w:val="none"/>
              </w:rPr>
            </w:pPr>
          </w:p>
          <w:p w14:paraId="7F295E13">
            <w:pPr>
              <w:pStyle w:val="24"/>
              <w:keepNext w:val="0"/>
              <w:keepLines w:val="0"/>
              <w:suppressLineNumbers w:val="0"/>
              <w:autoSpaceDE w:val="0"/>
              <w:autoSpaceDN w:val="0"/>
              <w:adjustRightInd w:val="0"/>
              <w:snapToGrid w:val="0"/>
              <w:spacing w:before="0" w:beforeAutospacing="0" w:after="0" w:afterAutospacing="0" w:line="360" w:lineRule="auto"/>
              <w:ind w:left="0" w:right="0"/>
              <w:jc w:val="both"/>
              <w:rPr>
                <w:rFonts w:hint="default" w:ascii="Times New Roman" w:hAnsi="Times New Roman" w:eastAsia="宋体" w:cs="Times New Roman"/>
                <w:color w:val="auto"/>
                <w:highlight w:val="none"/>
              </w:rPr>
            </w:pPr>
          </w:p>
          <w:p w14:paraId="0E363323">
            <w:pPr>
              <w:pStyle w:val="24"/>
              <w:keepNext w:val="0"/>
              <w:keepLines w:val="0"/>
              <w:suppressLineNumbers w:val="0"/>
              <w:autoSpaceDE w:val="0"/>
              <w:autoSpaceDN w:val="0"/>
              <w:adjustRightInd w:val="0"/>
              <w:snapToGrid w:val="0"/>
              <w:spacing w:before="0" w:beforeAutospacing="0" w:after="0" w:afterAutospacing="0" w:line="360" w:lineRule="auto"/>
              <w:ind w:left="0" w:leftChars="0" w:right="0" w:rightChars="0"/>
              <w:jc w:val="both"/>
              <w:rPr>
                <w:rFonts w:hint="default" w:ascii="Times New Roman" w:hAnsi="Times New Roman" w:eastAsia="宋体" w:cs="Times New Roman"/>
                <w:color w:val="auto"/>
                <w:highlight w:val="none"/>
              </w:rPr>
            </w:pPr>
          </w:p>
        </w:tc>
      </w:tr>
      <w:tr w14:paraId="1966FC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35" w:hRule="atLeast"/>
          <w:jc w:val="center"/>
        </w:trPr>
        <w:tc>
          <w:tcPr>
            <w:tcW w:w="468" w:type="dxa"/>
            <w:tcMar>
              <w:left w:w="28" w:type="dxa"/>
              <w:right w:w="28" w:type="dxa"/>
            </w:tcMar>
            <w:vAlign w:val="center"/>
          </w:tcPr>
          <w:p w14:paraId="640533C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kern w:val="0"/>
                <w:sz w:val="24"/>
                <w:highlight w:val="none"/>
              </w:rPr>
            </w:pPr>
            <w:r>
              <w:rPr>
                <w:rFonts w:hint="default" w:ascii="Times New Roman" w:hAnsi="Times New Roman" w:eastAsia="宋体"/>
                <w:color w:val="auto"/>
                <w:kern w:val="0"/>
                <w:sz w:val="24"/>
                <w:highlight w:val="none"/>
              </w:rPr>
              <w:t>污染</w:t>
            </w:r>
          </w:p>
          <w:p w14:paraId="3B78C81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kern w:val="0"/>
                <w:sz w:val="24"/>
                <w:highlight w:val="none"/>
              </w:rPr>
            </w:pPr>
            <w:r>
              <w:rPr>
                <w:rFonts w:hint="default" w:ascii="Times New Roman" w:hAnsi="Times New Roman" w:eastAsia="宋体"/>
                <w:color w:val="auto"/>
                <w:kern w:val="0"/>
                <w:sz w:val="24"/>
                <w:highlight w:val="none"/>
              </w:rPr>
              <w:t>物排</w:t>
            </w:r>
          </w:p>
          <w:p w14:paraId="3AA9827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kern w:val="0"/>
                <w:sz w:val="24"/>
                <w:highlight w:val="none"/>
              </w:rPr>
            </w:pPr>
            <w:r>
              <w:rPr>
                <w:rFonts w:hint="default" w:ascii="Times New Roman" w:hAnsi="Times New Roman" w:eastAsia="宋体"/>
                <w:color w:val="auto"/>
                <w:kern w:val="0"/>
                <w:sz w:val="24"/>
                <w:highlight w:val="none"/>
              </w:rPr>
              <w:t>放控</w:t>
            </w:r>
          </w:p>
          <w:p w14:paraId="3787CCB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kern w:val="0"/>
                <w:sz w:val="24"/>
                <w:highlight w:val="none"/>
              </w:rPr>
            </w:pPr>
            <w:r>
              <w:rPr>
                <w:rFonts w:hint="default" w:ascii="Times New Roman" w:hAnsi="Times New Roman" w:eastAsia="宋体"/>
                <w:color w:val="auto"/>
                <w:kern w:val="0"/>
                <w:sz w:val="24"/>
                <w:highlight w:val="none"/>
              </w:rPr>
              <w:t>制标</w:t>
            </w:r>
          </w:p>
          <w:p w14:paraId="7452755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olor w:val="auto"/>
                <w:kern w:val="0"/>
                <w:szCs w:val="21"/>
                <w:highlight w:val="none"/>
              </w:rPr>
            </w:pPr>
            <w:r>
              <w:rPr>
                <w:rFonts w:hint="default" w:ascii="Times New Roman" w:hAnsi="Times New Roman" w:eastAsia="宋体"/>
                <w:color w:val="auto"/>
                <w:kern w:val="0"/>
                <w:sz w:val="24"/>
                <w:highlight w:val="none"/>
              </w:rPr>
              <w:t>准</w:t>
            </w:r>
          </w:p>
        </w:tc>
        <w:tc>
          <w:tcPr>
            <w:tcW w:w="9227" w:type="dxa"/>
            <w:vAlign w:val="center"/>
          </w:tcPr>
          <w:p w14:paraId="6D03E414">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b/>
                <w:bCs/>
                <w:color w:val="auto"/>
                <w:sz w:val="24"/>
                <w:highlight w:val="none"/>
              </w:rPr>
            </w:pPr>
            <w:r>
              <w:rPr>
                <w:rFonts w:hint="default" w:ascii="Times New Roman" w:hAnsi="Times New Roman" w:eastAsia="宋体"/>
                <w:b/>
                <w:bCs/>
                <w:color w:val="auto"/>
                <w:sz w:val="24"/>
                <w:highlight w:val="none"/>
              </w:rPr>
              <w:t>一、环境质量标准</w:t>
            </w:r>
          </w:p>
          <w:p w14:paraId="376838C9">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b/>
                <w:bCs/>
                <w:color w:val="auto"/>
                <w:sz w:val="24"/>
                <w:highlight w:val="none"/>
              </w:rPr>
            </w:pPr>
            <w:r>
              <w:rPr>
                <w:rFonts w:hint="default" w:ascii="Times New Roman" w:hAnsi="Times New Roman" w:eastAsia="宋体"/>
                <w:b/>
                <w:bCs/>
                <w:color w:val="auto"/>
                <w:sz w:val="24"/>
                <w:highlight w:val="none"/>
              </w:rPr>
              <w:t>1、大气环境质量标准</w:t>
            </w:r>
          </w:p>
          <w:p w14:paraId="0476DB2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olor w:val="auto"/>
                <w:sz w:val="24"/>
              </w:rPr>
            </w:pPr>
            <w:r>
              <w:rPr>
                <w:rFonts w:hint="default" w:ascii="Times New Roman" w:hAnsi="Times New Roman" w:eastAsia="宋体"/>
                <w:snapToGrid w:val="0"/>
                <w:color w:val="auto"/>
                <w:kern w:val="0"/>
                <w:sz w:val="24"/>
              </w:rPr>
              <w:t>根据《市政府办公室关于转发市环保局无锡市环境空气质量功能区划的通知》（锡政办</w:t>
            </w:r>
            <w:r>
              <w:rPr>
                <w:rFonts w:hint="eastAsia" w:ascii="Times New Roman" w:hAnsi="Times New Roman" w:eastAsia="宋体"/>
                <w:snapToGrid w:val="0"/>
                <w:color w:val="auto"/>
                <w:kern w:val="0"/>
                <w:sz w:val="24"/>
                <w:lang w:eastAsia="zh-CN"/>
              </w:rPr>
              <w:t>〔2011〕300号</w:t>
            </w:r>
            <w:r>
              <w:rPr>
                <w:rFonts w:hint="default" w:ascii="Times New Roman" w:hAnsi="Times New Roman" w:eastAsia="宋体"/>
                <w:snapToGrid w:val="0"/>
                <w:color w:val="auto"/>
                <w:kern w:val="0"/>
                <w:sz w:val="24"/>
              </w:rPr>
              <w:t>），</w:t>
            </w:r>
            <w:r>
              <w:rPr>
                <w:rFonts w:hint="default" w:ascii="Times New Roman" w:hAnsi="Times New Roman" w:eastAsia="宋体"/>
                <w:color w:val="auto"/>
                <w:sz w:val="24"/>
              </w:rPr>
              <w:t>本项目所在地空气质量功能区为二类区。SO</w:t>
            </w:r>
            <w:r>
              <w:rPr>
                <w:rFonts w:hint="default" w:ascii="Times New Roman" w:hAnsi="Times New Roman" w:eastAsia="宋体"/>
                <w:color w:val="auto"/>
                <w:sz w:val="24"/>
                <w:vertAlign w:val="subscript"/>
              </w:rPr>
              <w:t>2</w:t>
            </w:r>
            <w:r>
              <w:rPr>
                <w:rFonts w:hint="default" w:ascii="Times New Roman" w:hAnsi="Times New Roman" w:eastAsia="宋体"/>
                <w:color w:val="auto"/>
                <w:sz w:val="24"/>
              </w:rPr>
              <w:t>、NO</w:t>
            </w:r>
            <w:r>
              <w:rPr>
                <w:rFonts w:hint="default" w:ascii="Times New Roman" w:hAnsi="Times New Roman" w:eastAsia="宋体"/>
                <w:color w:val="auto"/>
                <w:sz w:val="24"/>
                <w:vertAlign w:val="subscript"/>
              </w:rPr>
              <w:t>2</w:t>
            </w:r>
            <w:r>
              <w:rPr>
                <w:rFonts w:hint="default" w:ascii="Times New Roman" w:hAnsi="Times New Roman" w:eastAsia="宋体"/>
                <w:color w:val="auto"/>
                <w:sz w:val="24"/>
              </w:rPr>
              <w:t>、PM</w:t>
            </w:r>
            <w:r>
              <w:rPr>
                <w:rFonts w:hint="default" w:ascii="Times New Roman" w:hAnsi="Times New Roman" w:eastAsia="宋体"/>
                <w:color w:val="auto"/>
                <w:sz w:val="24"/>
                <w:vertAlign w:val="subscript"/>
              </w:rPr>
              <w:t>10</w:t>
            </w:r>
            <w:r>
              <w:rPr>
                <w:rFonts w:hint="default" w:ascii="Times New Roman" w:hAnsi="Times New Roman" w:eastAsia="宋体"/>
                <w:color w:val="auto"/>
                <w:sz w:val="24"/>
              </w:rPr>
              <w:t>、PM</w:t>
            </w:r>
            <w:r>
              <w:rPr>
                <w:rFonts w:hint="default" w:ascii="Times New Roman" w:hAnsi="Times New Roman" w:eastAsia="宋体"/>
                <w:color w:val="auto"/>
                <w:sz w:val="24"/>
                <w:vertAlign w:val="subscript"/>
              </w:rPr>
              <w:t>2.5</w:t>
            </w:r>
            <w:r>
              <w:rPr>
                <w:rFonts w:hint="default" w:ascii="Times New Roman" w:hAnsi="Times New Roman" w:eastAsia="宋体"/>
                <w:color w:val="auto"/>
                <w:sz w:val="24"/>
              </w:rPr>
              <w:t>、O</w:t>
            </w:r>
            <w:r>
              <w:rPr>
                <w:rFonts w:hint="default" w:ascii="Times New Roman" w:hAnsi="Times New Roman" w:eastAsia="宋体"/>
                <w:color w:val="auto"/>
                <w:sz w:val="24"/>
                <w:vertAlign w:val="subscript"/>
              </w:rPr>
              <w:t>3</w:t>
            </w:r>
            <w:r>
              <w:rPr>
                <w:rFonts w:hint="default" w:ascii="Times New Roman" w:hAnsi="Times New Roman" w:eastAsia="宋体"/>
                <w:color w:val="auto"/>
                <w:sz w:val="24"/>
              </w:rPr>
              <w:t>、CO执行《环境空气质量标准》（GB3095-2012）中二级标准</w:t>
            </w:r>
            <w:r>
              <w:rPr>
                <w:rFonts w:hint="eastAsia" w:ascii="Times New Roman" w:hAnsi="Times New Roman" w:eastAsia="宋体"/>
                <w:color w:val="auto"/>
                <w:sz w:val="24"/>
                <w:lang w:eastAsia="zh-CN"/>
              </w:rPr>
              <w:t>；</w:t>
            </w:r>
            <w:r>
              <w:rPr>
                <w:rFonts w:hint="default" w:ascii="Times New Roman" w:hAnsi="Times New Roman" w:eastAsia="宋体" w:cs="Times New Roman"/>
                <w:color w:val="auto"/>
                <w:sz w:val="24"/>
                <w:szCs w:val="24"/>
              </w:rPr>
              <w:t>非甲烷总烃执行《大气污染物综合排放标准详解》中的推荐值</w:t>
            </w:r>
            <w:r>
              <w:rPr>
                <w:rFonts w:hint="default" w:ascii="Times New Roman" w:hAnsi="Times New Roman" w:eastAsia="宋体"/>
                <w:color w:val="auto"/>
                <w:sz w:val="24"/>
              </w:rPr>
              <w:t>。具体数值见</w:t>
            </w:r>
            <w:r>
              <w:rPr>
                <w:rFonts w:hint="eastAsia" w:ascii="Times New Roman" w:hAnsi="Times New Roman" w:eastAsia="宋体"/>
                <w:color w:val="auto"/>
                <w:sz w:val="24"/>
                <w:lang w:eastAsia="zh-CN"/>
              </w:rPr>
              <w:t>下表</w:t>
            </w:r>
            <w:r>
              <w:rPr>
                <w:rFonts w:hint="default" w:ascii="Times New Roman" w:hAnsi="Times New Roman" w:eastAsia="宋体"/>
                <w:color w:val="auto"/>
                <w:sz w:val="24"/>
              </w:rPr>
              <w:t>。</w:t>
            </w:r>
          </w:p>
          <w:p w14:paraId="556CAD23">
            <w:pPr>
              <w:pStyle w:val="10"/>
              <w:keepNext w:val="0"/>
              <w:keepLines w:val="0"/>
              <w:numPr>
                <w:ilvl w:val="0"/>
                <w:numId w:val="0"/>
              </w:numPr>
              <w:suppressLineNumbers w:val="0"/>
              <w:spacing w:before="0" w:beforeAutospacing="0" w:after="0" w:afterAutospacing="0"/>
              <w:ind w:left="425" w:leftChars="0" w:right="0" w:hanging="425" w:firstLineChars="0"/>
              <w:jc w:val="center"/>
              <w:rPr>
                <w:rFonts w:hint="eastAsia" w:ascii="Times New Roman" w:hAnsi="Times New Roman" w:eastAsia="宋体"/>
                <w:b/>
                <w:bCs/>
                <w:color w:val="auto"/>
              </w:rPr>
            </w:pPr>
            <w:r>
              <w:rPr>
                <w:rFonts w:hint="default" w:ascii="Times New Roman" w:hAnsi="Times New Roman" w:eastAsia="宋体" w:cs="Times New Roman"/>
                <w:b/>
                <w:bCs/>
                <w:color w:val="auto"/>
                <w:kern w:val="0"/>
                <w:sz w:val="24"/>
                <w:szCs w:val="20"/>
                <w:lang w:val="en-US" w:eastAsia="zh-CN" w:bidi="ar-SA"/>
              </w:rPr>
              <w:t>表3-</w:t>
            </w:r>
            <w:r>
              <w:rPr>
                <w:rFonts w:hint="eastAsia" w:ascii="Times New Roman" w:hAnsi="Times New Roman" w:eastAsia="宋体" w:cs="Times New Roman"/>
                <w:b/>
                <w:bCs/>
                <w:color w:val="auto"/>
                <w:kern w:val="0"/>
                <w:sz w:val="24"/>
                <w:szCs w:val="20"/>
                <w:lang w:val="en-US" w:eastAsia="zh-CN" w:bidi="ar-SA"/>
              </w:rPr>
              <w:t xml:space="preserve">7  </w:t>
            </w:r>
            <w:r>
              <w:rPr>
                <w:rFonts w:hint="eastAsia" w:ascii="Times New Roman" w:hAnsi="Times New Roman" w:eastAsia="宋体"/>
                <w:b/>
                <w:bCs/>
                <w:color w:val="auto"/>
              </w:rPr>
              <w:t>环境空气质量标准</w:t>
            </w:r>
          </w:p>
          <w:tbl>
            <w:tblPr>
              <w:tblStyle w:val="25"/>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14"/>
              <w:gridCol w:w="2206"/>
              <w:gridCol w:w="1356"/>
              <w:gridCol w:w="1315"/>
              <w:gridCol w:w="2511"/>
            </w:tblGrid>
            <w:tr w14:paraId="40750B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pct"/>
                  <w:noWrap w:val="0"/>
                  <w:vAlign w:val="center"/>
                </w:tcPr>
                <w:p w14:paraId="2D2871D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Cs w:val="21"/>
                    </w:rPr>
                  </w:pPr>
                  <w:r>
                    <w:rPr>
                      <w:rFonts w:hint="default" w:ascii="Times New Roman" w:hAnsi="Times New Roman" w:eastAsia="宋体"/>
                      <w:b/>
                      <w:bCs/>
                      <w:color w:val="auto"/>
                      <w:szCs w:val="21"/>
                    </w:rPr>
                    <w:t>污染物名称</w:t>
                  </w:r>
                </w:p>
              </w:tc>
              <w:tc>
                <w:tcPr>
                  <w:tcW w:w="1225" w:type="pct"/>
                  <w:noWrap w:val="0"/>
                  <w:vAlign w:val="center"/>
                </w:tcPr>
                <w:p w14:paraId="67DE81B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Cs w:val="21"/>
                    </w:rPr>
                  </w:pPr>
                  <w:r>
                    <w:rPr>
                      <w:rFonts w:hint="default" w:ascii="Times New Roman" w:hAnsi="Times New Roman" w:eastAsia="宋体"/>
                      <w:b/>
                      <w:bCs/>
                      <w:color w:val="auto"/>
                      <w:szCs w:val="21"/>
                    </w:rPr>
                    <w:t>取值标准</w:t>
                  </w:r>
                </w:p>
              </w:tc>
              <w:tc>
                <w:tcPr>
                  <w:tcW w:w="753" w:type="pct"/>
                  <w:noWrap w:val="0"/>
                  <w:vAlign w:val="center"/>
                </w:tcPr>
                <w:p w14:paraId="59CFAD3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Cs w:val="21"/>
                    </w:rPr>
                  </w:pPr>
                  <w:r>
                    <w:rPr>
                      <w:rFonts w:hint="default" w:ascii="Times New Roman" w:hAnsi="Times New Roman" w:eastAsia="宋体"/>
                      <w:b/>
                      <w:bCs/>
                      <w:color w:val="auto"/>
                      <w:szCs w:val="21"/>
                    </w:rPr>
                    <w:t>浓度限值</w:t>
                  </w:r>
                </w:p>
              </w:tc>
              <w:tc>
                <w:tcPr>
                  <w:tcW w:w="730" w:type="pct"/>
                  <w:noWrap w:val="0"/>
                  <w:vAlign w:val="center"/>
                </w:tcPr>
                <w:p w14:paraId="7527ED6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Cs w:val="21"/>
                    </w:rPr>
                  </w:pPr>
                  <w:r>
                    <w:rPr>
                      <w:rFonts w:hint="default" w:ascii="Times New Roman" w:hAnsi="Times New Roman" w:eastAsia="宋体"/>
                      <w:b/>
                      <w:bCs/>
                      <w:color w:val="auto"/>
                      <w:szCs w:val="21"/>
                    </w:rPr>
                    <w:t>单位</w:t>
                  </w:r>
                </w:p>
              </w:tc>
              <w:tc>
                <w:tcPr>
                  <w:tcW w:w="1394" w:type="pct"/>
                  <w:noWrap w:val="0"/>
                  <w:vAlign w:val="center"/>
                </w:tcPr>
                <w:p w14:paraId="3522208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Cs w:val="21"/>
                    </w:rPr>
                  </w:pPr>
                  <w:r>
                    <w:rPr>
                      <w:rFonts w:hint="default" w:ascii="Times New Roman" w:hAnsi="Times New Roman" w:eastAsia="宋体"/>
                      <w:b/>
                      <w:bCs/>
                      <w:color w:val="auto"/>
                      <w:szCs w:val="21"/>
                    </w:rPr>
                    <w:t>标准来源</w:t>
                  </w:r>
                </w:p>
              </w:tc>
            </w:tr>
            <w:tr w14:paraId="20B51F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pct"/>
                  <w:vMerge w:val="restart"/>
                  <w:noWrap w:val="0"/>
                  <w:vAlign w:val="center"/>
                </w:tcPr>
                <w:p w14:paraId="3916FCF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SO</w:t>
                  </w:r>
                  <w:r>
                    <w:rPr>
                      <w:rFonts w:hint="default" w:ascii="Times New Roman" w:hAnsi="Times New Roman" w:eastAsia="宋体"/>
                      <w:color w:val="auto"/>
                      <w:szCs w:val="21"/>
                      <w:vertAlign w:val="subscript"/>
                    </w:rPr>
                    <w:t>2</w:t>
                  </w:r>
                </w:p>
              </w:tc>
              <w:tc>
                <w:tcPr>
                  <w:tcW w:w="1225" w:type="pct"/>
                  <w:noWrap w:val="0"/>
                  <w:vAlign w:val="center"/>
                </w:tcPr>
                <w:p w14:paraId="1694858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年平均</w:t>
                  </w:r>
                </w:p>
              </w:tc>
              <w:tc>
                <w:tcPr>
                  <w:tcW w:w="753" w:type="pct"/>
                  <w:noWrap w:val="0"/>
                  <w:vAlign w:val="center"/>
                </w:tcPr>
                <w:p w14:paraId="6848FAF3">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60</w:t>
                  </w:r>
                </w:p>
              </w:tc>
              <w:tc>
                <w:tcPr>
                  <w:tcW w:w="730" w:type="pct"/>
                  <w:vMerge w:val="restart"/>
                  <w:noWrap w:val="0"/>
                  <w:vAlign w:val="center"/>
                </w:tcPr>
                <w:p w14:paraId="316EB59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μg/Nm</w:t>
                  </w:r>
                  <w:r>
                    <w:rPr>
                      <w:rFonts w:hint="default" w:ascii="Times New Roman" w:hAnsi="Times New Roman" w:eastAsia="宋体"/>
                      <w:color w:val="auto"/>
                      <w:szCs w:val="21"/>
                      <w:vertAlign w:val="superscript"/>
                    </w:rPr>
                    <w:t>3</w:t>
                  </w:r>
                </w:p>
              </w:tc>
              <w:tc>
                <w:tcPr>
                  <w:tcW w:w="1394" w:type="pct"/>
                  <w:vMerge w:val="restart"/>
                  <w:noWrap w:val="0"/>
                  <w:vAlign w:val="center"/>
                </w:tcPr>
                <w:p w14:paraId="56DFA64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《环境空气质量标准》（GB3095-2012）</w:t>
                  </w:r>
                </w:p>
              </w:tc>
            </w:tr>
            <w:tr w14:paraId="58631F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pct"/>
                  <w:vMerge w:val="continue"/>
                  <w:noWrap w:val="0"/>
                  <w:vAlign w:val="center"/>
                </w:tcPr>
                <w:p w14:paraId="7F95127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c>
                <w:tcPr>
                  <w:tcW w:w="1225" w:type="pct"/>
                  <w:noWrap w:val="0"/>
                  <w:vAlign w:val="center"/>
                </w:tcPr>
                <w:p w14:paraId="1E6EB0D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24小时平均</w:t>
                  </w:r>
                </w:p>
              </w:tc>
              <w:tc>
                <w:tcPr>
                  <w:tcW w:w="753" w:type="pct"/>
                  <w:noWrap w:val="0"/>
                  <w:vAlign w:val="center"/>
                </w:tcPr>
                <w:p w14:paraId="12F3FF87">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150</w:t>
                  </w:r>
                </w:p>
              </w:tc>
              <w:tc>
                <w:tcPr>
                  <w:tcW w:w="730" w:type="pct"/>
                  <w:vMerge w:val="continue"/>
                  <w:noWrap w:val="0"/>
                  <w:vAlign w:val="center"/>
                </w:tcPr>
                <w:p w14:paraId="550A164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c>
                <w:tcPr>
                  <w:tcW w:w="1394" w:type="pct"/>
                  <w:vMerge w:val="continue"/>
                  <w:noWrap w:val="0"/>
                  <w:vAlign w:val="center"/>
                </w:tcPr>
                <w:p w14:paraId="522406C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r>
            <w:tr w14:paraId="310EB1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pct"/>
                  <w:vMerge w:val="continue"/>
                  <w:noWrap w:val="0"/>
                  <w:vAlign w:val="center"/>
                </w:tcPr>
                <w:p w14:paraId="0C73B5B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c>
                <w:tcPr>
                  <w:tcW w:w="1225" w:type="pct"/>
                  <w:noWrap w:val="0"/>
                  <w:vAlign w:val="center"/>
                </w:tcPr>
                <w:p w14:paraId="6D82574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1小时平均</w:t>
                  </w:r>
                </w:p>
              </w:tc>
              <w:tc>
                <w:tcPr>
                  <w:tcW w:w="753" w:type="pct"/>
                  <w:noWrap w:val="0"/>
                  <w:vAlign w:val="center"/>
                </w:tcPr>
                <w:p w14:paraId="46D36D84">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500</w:t>
                  </w:r>
                </w:p>
              </w:tc>
              <w:tc>
                <w:tcPr>
                  <w:tcW w:w="730" w:type="pct"/>
                  <w:vMerge w:val="continue"/>
                  <w:noWrap w:val="0"/>
                  <w:vAlign w:val="center"/>
                </w:tcPr>
                <w:p w14:paraId="7979443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c>
                <w:tcPr>
                  <w:tcW w:w="1394" w:type="pct"/>
                  <w:vMerge w:val="continue"/>
                  <w:noWrap w:val="0"/>
                  <w:vAlign w:val="center"/>
                </w:tcPr>
                <w:p w14:paraId="0617A5E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r>
            <w:tr w14:paraId="6C43E9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pct"/>
                  <w:vMerge w:val="restart"/>
                  <w:noWrap w:val="0"/>
                  <w:vAlign w:val="center"/>
                </w:tcPr>
                <w:p w14:paraId="34D9EF0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NO</w:t>
                  </w:r>
                  <w:r>
                    <w:rPr>
                      <w:rFonts w:hint="default" w:ascii="Times New Roman" w:hAnsi="Times New Roman" w:eastAsia="宋体"/>
                      <w:color w:val="auto"/>
                      <w:szCs w:val="21"/>
                      <w:vertAlign w:val="subscript"/>
                    </w:rPr>
                    <w:t>2</w:t>
                  </w:r>
                </w:p>
              </w:tc>
              <w:tc>
                <w:tcPr>
                  <w:tcW w:w="1225" w:type="pct"/>
                  <w:noWrap w:val="0"/>
                  <w:vAlign w:val="center"/>
                </w:tcPr>
                <w:p w14:paraId="54679BE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年平均</w:t>
                  </w:r>
                </w:p>
              </w:tc>
              <w:tc>
                <w:tcPr>
                  <w:tcW w:w="753" w:type="pct"/>
                  <w:noWrap w:val="0"/>
                  <w:vAlign w:val="center"/>
                </w:tcPr>
                <w:p w14:paraId="7C535065">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40</w:t>
                  </w:r>
                </w:p>
              </w:tc>
              <w:tc>
                <w:tcPr>
                  <w:tcW w:w="730" w:type="pct"/>
                  <w:vMerge w:val="continue"/>
                  <w:noWrap w:val="0"/>
                  <w:vAlign w:val="center"/>
                </w:tcPr>
                <w:p w14:paraId="1D3E069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c>
                <w:tcPr>
                  <w:tcW w:w="1394" w:type="pct"/>
                  <w:vMerge w:val="continue"/>
                  <w:noWrap w:val="0"/>
                  <w:vAlign w:val="center"/>
                </w:tcPr>
                <w:p w14:paraId="345BAE6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r>
            <w:tr w14:paraId="487F3C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pct"/>
                  <w:vMerge w:val="continue"/>
                  <w:noWrap w:val="0"/>
                  <w:vAlign w:val="center"/>
                </w:tcPr>
                <w:p w14:paraId="4A232D5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c>
                <w:tcPr>
                  <w:tcW w:w="1225" w:type="pct"/>
                  <w:noWrap w:val="0"/>
                  <w:vAlign w:val="center"/>
                </w:tcPr>
                <w:p w14:paraId="335B07F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24小时平均</w:t>
                  </w:r>
                </w:p>
              </w:tc>
              <w:tc>
                <w:tcPr>
                  <w:tcW w:w="753" w:type="pct"/>
                  <w:noWrap w:val="0"/>
                  <w:vAlign w:val="center"/>
                </w:tcPr>
                <w:p w14:paraId="7AE4A80C">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80</w:t>
                  </w:r>
                </w:p>
              </w:tc>
              <w:tc>
                <w:tcPr>
                  <w:tcW w:w="730" w:type="pct"/>
                  <w:vMerge w:val="continue"/>
                  <w:noWrap w:val="0"/>
                  <w:vAlign w:val="center"/>
                </w:tcPr>
                <w:p w14:paraId="49BE00E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c>
                <w:tcPr>
                  <w:tcW w:w="1394" w:type="pct"/>
                  <w:vMerge w:val="continue"/>
                  <w:noWrap w:val="0"/>
                  <w:vAlign w:val="center"/>
                </w:tcPr>
                <w:p w14:paraId="3B5453B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r>
            <w:tr w14:paraId="1D23F2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pct"/>
                  <w:vMerge w:val="continue"/>
                  <w:noWrap w:val="0"/>
                  <w:vAlign w:val="center"/>
                </w:tcPr>
                <w:p w14:paraId="3920AA8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c>
                <w:tcPr>
                  <w:tcW w:w="1225" w:type="pct"/>
                  <w:noWrap w:val="0"/>
                  <w:vAlign w:val="center"/>
                </w:tcPr>
                <w:p w14:paraId="2522888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1小时平均</w:t>
                  </w:r>
                </w:p>
              </w:tc>
              <w:tc>
                <w:tcPr>
                  <w:tcW w:w="753" w:type="pct"/>
                  <w:noWrap w:val="0"/>
                  <w:vAlign w:val="center"/>
                </w:tcPr>
                <w:p w14:paraId="33DA9F6B">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200</w:t>
                  </w:r>
                </w:p>
              </w:tc>
              <w:tc>
                <w:tcPr>
                  <w:tcW w:w="730" w:type="pct"/>
                  <w:vMerge w:val="continue"/>
                  <w:noWrap w:val="0"/>
                  <w:vAlign w:val="center"/>
                </w:tcPr>
                <w:p w14:paraId="02D2D27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c>
                <w:tcPr>
                  <w:tcW w:w="1394" w:type="pct"/>
                  <w:vMerge w:val="continue"/>
                  <w:noWrap w:val="0"/>
                  <w:vAlign w:val="center"/>
                </w:tcPr>
                <w:p w14:paraId="3659A7F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r>
            <w:tr w14:paraId="1FAD4C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pct"/>
                  <w:vMerge w:val="restart"/>
                  <w:noWrap w:val="0"/>
                  <w:vAlign w:val="center"/>
                </w:tcPr>
                <w:p w14:paraId="2C9FB7D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PM</w:t>
                  </w:r>
                  <w:r>
                    <w:rPr>
                      <w:rFonts w:hint="default" w:ascii="Times New Roman" w:hAnsi="Times New Roman" w:eastAsia="宋体"/>
                      <w:color w:val="auto"/>
                      <w:szCs w:val="21"/>
                      <w:vertAlign w:val="subscript"/>
                    </w:rPr>
                    <w:t>10</w:t>
                  </w:r>
                </w:p>
              </w:tc>
              <w:tc>
                <w:tcPr>
                  <w:tcW w:w="1225" w:type="pct"/>
                  <w:noWrap w:val="0"/>
                  <w:vAlign w:val="center"/>
                </w:tcPr>
                <w:p w14:paraId="7007698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年平均</w:t>
                  </w:r>
                </w:p>
              </w:tc>
              <w:tc>
                <w:tcPr>
                  <w:tcW w:w="753" w:type="pct"/>
                  <w:noWrap w:val="0"/>
                  <w:vAlign w:val="center"/>
                </w:tcPr>
                <w:p w14:paraId="6ECE0BA6">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70</w:t>
                  </w:r>
                </w:p>
              </w:tc>
              <w:tc>
                <w:tcPr>
                  <w:tcW w:w="730" w:type="pct"/>
                  <w:vMerge w:val="continue"/>
                  <w:noWrap w:val="0"/>
                  <w:vAlign w:val="center"/>
                </w:tcPr>
                <w:p w14:paraId="50DE9CC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c>
                <w:tcPr>
                  <w:tcW w:w="1394" w:type="pct"/>
                  <w:vMerge w:val="continue"/>
                  <w:noWrap w:val="0"/>
                  <w:vAlign w:val="center"/>
                </w:tcPr>
                <w:p w14:paraId="08FD621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r>
            <w:tr w14:paraId="0E106F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pct"/>
                  <w:vMerge w:val="continue"/>
                  <w:noWrap w:val="0"/>
                  <w:vAlign w:val="center"/>
                </w:tcPr>
                <w:p w14:paraId="7591F45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c>
                <w:tcPr>
                  <w:tcW w:w="1225" w:type="pct"/>
                  <w:noWrap w:val="0"/>
                  <w:vAlign w:val="center"/>
                </w:tcPr>
                <w:p w14:paraId="1835A59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24小时平均</w:t>
                  </w:r>
                </w:p>
              </w:tc>
              <w:tc>
                <w:tcPr>
                  <w:tcW w:w="753" w:type="pct"/>
                  <w:noWrap w:val="0"/>
                  <w:vAlign w:val="center"/>
                </w:tcPr>
                <w:p w14:paraId="7983A9B1">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150</w:t>
                  </w:r>
                </w:p>
              </w:tc>
              <w:tc>
                <w:tcPr>
                  <w:tcW w:w="730" w:type="pct"/>
                  <w:vMerge w:val="continue"/>
                  <w:noWrap w:val="0"/>
                  <w:vAlign w:val="center"/>
                </w:tcPr>
                <w:p w14:paraId="1415FCC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c>
                <w:tcPr>
                  <w:tcW w:w="1394" w:type="pct"/>
                  <w:vMerge w:val="continue"/>
                  <w:noWrap w:val="0"/>
                  <w:vAlign w:val="center"/>
                </w:tcPr>
                <w:p w14:paraId="26D9EF9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r>
            <w:tr w14:paraId="65FEDB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pct"/>
                  <w:vMerge w:val="continue"/>
                  <w:noWrap w:val="0"/>
                  <w:vAlign w:val="center"/>
                </w:tcPr>
                <w:p w14:paraId="7C6A398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c>
                <w:tcPr>
                  <w:tcW w:w="1225" w:type="pct"/>
                  <w:noWrap w:val="0"/>
                  <w:vAlign w:val="center"/>
                </w:tcPr>
                <w:p w14:paraId="29C1B54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1小时平均</w:t>
                  </w:r>
                  <w:r>
                    <w:rPr>
                      <w:rFonts w:hint="eastAsia" w:ascii="Times New Roman" w:hAnsi="Times New Roman" w:eastAsia="宋体"/>
                      <w:color w:val="auto"/>
                      <w:szCs w:val="21"/>
                      <w:lang w:val="en-US" w:eastAsia="zh-CN"/>
                    </w:rPr>
                    <w:t>*</w:t>
                  </w:r>
                </w:p>
              </w:tc>
              <w:tc>
                <w:tcPr>
                  <w:tcW w:w="753" w:type="pct"/>
                  <w:noWrap w:val="0"/>
                  <w:vAlign w:val="center"/>
                </w:tcPr>
                <w:p w14:paraId="15781794">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450</w:t>
                  </w:r>
                </w:p>
              </w:tc>
              <w:tc>
                <w:tcPr>
                  <w:tcW w:w="730" w:type="pct"/>
                  <w:vMerge w:val="continue"/>
                  <w:noWrap w:val="0"/>
                  <w:vAlign w:val="center"/>
                </w:tcPr>
                <w:p w14:paraId="53750A9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c>
                <w:tcPr>
                  <w:tcW w:w="1394" w:type="pct"/>
                  <w:vMerge w:val="continue"/>
                  <w:noWrap w:val="0"/>
                  <w:vAlign w:val="center"/>
                </w:tcPr>
                <w:p w14:paraId="7A9E134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r>
            <w:tr w14:paraId="40F046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pct"/>
                  <w:vMerge w:val="restart"/>
                  <w:noWrap w:val="0"/>
                  <w:vAlign w:val="center"/>
                </w:tcPr>
                <w:p w14:paraId="23C28C31">
                  <w:pPr>
                    <w:pStyle w:val="42"/>
                    <w:keepNext w:val="0"/>
                    <w:keepLines w:val="0"/>
                    <w:suppressLineNumbers w:val="0"/>
                    <w:spacing w:before="24" w:beforeAutospacing="0" w:after="24" w:afterAutospacing="0"/>
                    <w:ind w:left="0" w:right="0"/>
                    <w:rPr>
                      <w:rFonts w:hint="default" w:ascii="Times New Roman" w:hAnsi="Times New Roman" w:eastAsia="宋体"/>
                      <w:color w:val="auto"/>
                      <w:szCs w:val="21"/>
                    </w:rPr>
                  </w:pPr>
                  <w:r>
                    <w:rPr>
                      <w:rFonts w:hint="default" w:ascii="Times New Roman" w:hAnsi="Times New Roman" w:eastAsia="宋体"/>
                      <w:color w:val="auto"/>
                      <w:szCs w:val="21"/>
                    </w:rPr>
                    <w:t>PM</w:t>
                  </w:r>
                  <w:r>
                    <w:rPr>
                      <w:rFonts w:hint="default" w:ascii="Times New Roman" w:hAnsi="Times New Roman" w:eastAsia="宋体"/>
                      <w:color w:val="auto"/>
                      <w:szCs w:val="21"/>
                      <w:vertAlign w:val="subscript"/>
                    </w:rPr>
                    <w:t>2.5</w:t>
                  </w:r>
                </w:p>
              </w:tc>
              <w:tc>
                <w:tcPr>
                  <w:tcW w:w="1225" w:type="pct"/>
                  <w:noWrap w:val="0"/>
                  <w:vAlign w:val="center"/>
                </w:tcPr>
                <w:p w14:paraId="10B39A1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bCs/>
                      <w:color w:val="auto"/>
                      <w:kern w:val="0"/>
                      <w:szCs w:val="21"/>
                    </w:rPr>
                    <w:t>年平均</w:t>
                  </w:r>
                </w:p>
              </w:tc>
              <w:tc>
                <w:tcPr>
                  <w:tcW w:w="753" w:type="pct"/>
                  <w:noWrap w:val="0"/>
                  <w:vAlign w:val="center"/>
                </w:tcPr>
                <w:p w14:paraId="6E31F694">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bCs/>
                      <w:color w:val="auto"/>
                      <w:szCs w:val="21"/>
                    </w:rPr>
                    <w:t>35</w:t>
                  </w:r>
                </w:p>
              </w:tc>
              <w:tc>
                <w:tcPr>
                  <w:tcW w:w="730" w:type="pct"/>
                  <w:vMerge w:val="continue"/>
                  <w:noWrap w:val="0"/>
                  <w:vAlign w:val="center"/>
                </w:tcPr>
                <w:p w14:paraId="02404E9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c>
                <w:tcPr>
                  <w:tcW w:w="1394" w:type="pct"/>
                  <w:vMerge w:val="continue"/>
                  <w:noWrap w:val="0"/>
                  <w:vAlign w:val="center"/>
                </w:tcPr>
                <w:p w14:paraId="1D4F963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r>
            <w:tr w14:paraId="423E10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pct"/>
                  <w:vMerge w:val="continue"/>
                  <w:noWrap w:val="0"/>
                  <w:vAlign w:val="center"/>
                </w:tcPr>
                <w:p w14:paraId="3E8944D4">
                  <w:pPr>
                    <w:pStyle w:val="42"/>
                    <w:keepNext w:val="0"/>
                    <w:keepLines w:val="0"/>
                    <w:suppressLineNumbers w:val="0"/>
                    <w:spacing w:before="24" w:beforeAutospacing="0" w:after="24" w:afterAutospacing="0"/>
                    <w:ind w:left="0" w:right="0"/>
                    <w:rPr>
                      <w:rFonts w:hint="default" w:ascii="Times New Roman" w:hAnsi="Times New Roman" w:eastAsia="宋体"/>
                      <w:color w:val="auto"/>
                      <w:szCs w:val="21"/>
                    </w:rPr>
                  </w:pPr>
                </w:p>
              </w:tc>
              <w:tc>
                <w:tcPr>
                  <w:tcW w:w="1225" w:type="pct"/>
                  <w:noWrap w:val="0"/>
                  <w:vAlign w:val="center"/>
                </w:tcPr>
                <w:p w14:paraId="218277B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bCs/>
                      <w:color w:val="auto"/>
                      <w:kern w:val="0"/>
                      <w:szCs w:val="21"/>
                    </w:rPr>
                    <w:t>24小时平均</w:t>
                  </w:r>
                </w:p>
              </w:tc>
              <w:tc>
                <w:tcPr>
                  <w:tcW w:w="753" w:type="pct"/>
                  <w:noWrap w:val="0"/>
                  <w:vAlign w:val="center"/>
                </w:tcPr>
                <w:p w14:paraId="10F58B4D">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bCs/>
                      <w:color w:val="auto"/>
                      <w:szCs w:val="21"/>
                    </w:rPr>
                    <w:t>75</w:t>
                  </w:r>
                </w:p>
              </w:tc>
              <w:tc>
                <w:tcPr>
                  <w:tcW w:w="730" w:type="pct"/>
                  <w:vMerge w:val="continue"/>
                  <w:noWrap w:val="0"/>
                  <w:vAlign w:val="center"/>
                </w:tcPr>
                <w:p w14:paraId="5503661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c>
                <w:tcPr>
                  <w:tcW w:w="1394" w:type="pct"/>
                  <w:vMerge w:val="continue"/>
                  <w:noWrap w:val="0"/>
                  <w:vAlign w:val="center"/>
                </w:tcPr>
                <w:p w14:paraId="0551D26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r>
            <w:tr w14:paraId="272C48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pct"/>
                  <w:vMerge w:val="restart"/>
                  <w:noWrap w:val="0"/>
                  <w:vAlign w:val="center"/>
                </w:tcPr>
                <w:p w14:paraId="17576EC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bCs/>
                      <w:color w:val="auto"/>
                      <w:szCs w:val="21"/>
                    </w:rPr>
                    <w:t>O</w:t>
                  </w:r>
                  <w:r>
                    <w:rPr>
                      <w:rFonts w:hint="default" w:ascii="Times New Roman" w:hAnsi="Times New Roman" w:eastAsia="宋体"/>
                      <w:bCs/>
                      <w:color w:val="auto"/>
                      <w:szCs w:val="21"/>
                      <w:vertAlign w:val="subscript"/>
                    </w:rPr>
                    <w:t>3</w:t>
                  </w:r>
                </w:p>
              </w:tc>
              <w:tc>
                <w:tcPr>
                  <w:tcW w:w="1225" w:type="pct"/>
                  <w:noWrap w:val="0"/>
                  <w:vAlign w:val="center"/>
                </w:tcPr>
                <w:p w14:paraId="52EF688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bCs/>
                      <w:color w:val="auto"/>
                      <w:kern w:val="0"/>
                      <w:szCs w:val="21"/>
                    </w:rPr>
                    <w:t>日最大8小时平均</w:t>
                  </w:r>
                </w:p>
              </w:tc>
              <w:tc>
                <w:tcPr>
                  <w:tcW w:w="753" w:type="pct"/>
                  <w:noWrap w:val="0"/>
                  <w:vAlign w:val="center"/>
                </w:tcPr>
                <w:p w14:paraId="3877C886">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160</w:t>
                  </w:r>
                </w:p>
              </w:tc>
              <w:tc>
                <w:tcPr>
                  <w:tcW w:w="730" w:type="pct"/>
                  <w:vMerge w:val="continue"/>
                  <w:noWrap w:val="0"/>
                  <w:vAlign w:val="center"/>
                </w:tcPr>
                <w:p w14:paraId="6EF2048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c>
                <w:tcPr>
                  <w:tcW w:w="1394" w:type="pct"/>
                  <w:vMerge w:val="continue"/>
                  <w:noWrap w:val="0"/>
                  <w:vAlign w:val="center"/>
                </w:tcPr>
                <w:p w14:paraId="526B1C1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r>
            <w:tr w14:paraId="157659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pct"/>
                  <w:vMerge w:val="continue"/>
                  <w:noWrap w:val="0"/>
                  <w:vAlign w:val="center"/>
                </w:tcPr>
                <w:p w14:paraId="2B0EFAA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bCs/>
                      <w:color w:val="auto"/>
                      <w:szCs w:val="21"/>
                    </w:rPr>
                  </w:pPr>
                </w:p>
              </w:tc>
              <w:tc>
                <w:tcPr>
                  <w:tcW w:w="1225" w:type="pct"/>
                  <w:noWrap w:val="0"/>
                  <w:vAlign w:val="center"/>
                </w:tcPr>
                <w:p w14:paraId="6B57618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bCs/>
                      <w:color w:val="auto"/>
                      <w:kern w:val="0"/>
                      <w:szCs w:val="21"/>
                    </w:rPr>
                  </w:pPr>
                  <w:r>
                    <w:rPr>
                      <w:rFonts w:hint="default" w:ascii="Times New Roman" w:hAnsi="Times New Roman" w:eastAsia="宋体"/>
                      <w:bCs/>
                      <w:color w:val="auto"/>
                      <w:kern w:val="0"/>
                      <w:szCs w:val="21"/>
                    </w:rPr>
                    <w:t>1小时平均</w:t>
                  </w:r>
                </w:p>
              </w:tc>
              <w:tc>
                <w:tcPr>
                  <w:tcW w:w="753" w:type="pct"/>
                  <w:noWrap w:val="0"/>
                  <w:vAlign w:val="center"/>
                </w:tcPr>
                <w:p w14:paraId="7AFAB343">
                  <w:pPr>
                    <w:keepNext w:val="0"/>
                    <w:keepLines w:val="0"/>
                    <w:suppressLineNumbers w:val="0"/>
                    <w:spacing w:before="0" w:beforeAutospacing="0" w:after="0" w:afterAutospacing="0"/>
                    <w:ind w:left="0" w:right="0"/>
                    <w:jc w:val="center"/>
                    <w:rPr>
                      <w:rFonts w:hint="default" w:ascii="Times New Roman" w:hAnsi="Times New Roman" w:eastAsia="宋体"/>
                      <w:bCs/>
                      <w:color w:val="auto"/>
                      <w:szCs w:val="21"/>
                    </w:rPr>
                  </w:pPr>
                  <w:r>
                    <w:rPr>
                      <w:rFonts w:hint="default" w:ascii="Times New Roman" w:hAnsi="Times New Roman" w:eastAsia="宋体"/>
                      <w:bCs/>
                      <w:color w:val="auto"/>
                      <w:szCs w:val="21"/>
                    </w:rPr>
                    <w:t>200</w:t>
                  </w:r>
                </w:p>
              </w:tc>
              <w:tc>
                <w:tcPr>
                  <w:tcW w:w="730" w:type="pct"/>
                  <w:vMerge w:val="continue"/>
                  <w:noWrap w:val="0"/>
                  <w:vAlign w:val="center"/>
                </w:tcPr>
                <w:p w14:paraId="68B1899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c>
                <w:tcPr>
                  <w:tcW w:w="1394" w:type="pct"/>
                  <w:vMerge w:val="continue"/>
                  <w:noWrap w:val="0"/>
                  <w:vAlign w:val="center"/>
                </w:tcPr>
                <w:p w14:paraId="1480272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r>
            <w:tr w14:paraId="3C18DE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pct"/>
                  <w:vMerge w:val="restart"/>
                  <w:noWrap w:val="0"/>
                  <w:vAlign w:val="center"/>
                </w:tcPr>
                <w:p w14:paraId="318B4D1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bCs/>
                      <w:color w:val="auto"/>
                      <w:szCs w:val="21"/>
                    </w:rPr>
                    <w:t>CO</w:t>
                  </w:r>
                </w:p>
              </w:tc>
              <w:tc>
                <w:tcPr>
                  <w:tcW w:w="1225" w:type="pct"/>
                  <w:noWrap w:val="0"/>
                  <w:vAlign w:val="center"/>
                </w:tcPr>
                <w:p w14:paraId="789B439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bCs/>
                      <w:color w:val="auto"/>
                      <w:kern w:val="0"/>
                      <w:szCs w:val="21"/>
                    </w:rPr>
                    <w:t>24小时平均</w:t>
                  </w:r>
                </w:p>
              </w:tc>
              <w:tc>
                <w:tcPr>
                  <w:tcW w:w="753" w:type="pct"/>
                  <w:noWrap w:val="0"/>
                  <w:vAlign w:val="center"/>
                </w:tcPr>
                <w:p w14:paraId="58E18915">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bCs/>
                      <w:color w:val="auto"/>
                      <w:szCs w:val="21"/>
                    </w:rPr>
                    <w:t>4</w:t>
                  </w:r>
                </w:p>
              </w:tc>
              <w:tc>
                <w:tcPr>
                  <w:tcW w:w="730" w:type="pct"/>
                  <w:vMerge w:val="restart"/>
                  <w:noWrap w:val="0"/>
                  <w:vAlign w:val="center"/>
                </w:tcPr>
                <w:p w14:paraId="6A0D0F7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mg/Nm</w:t>
                  </w:r>
                  <w:r>
                    <w:rPr>
                      <w:rFonts w:hint="default" w:ascii="Times New Roman" w:hAnsi="Times New Roman" w:eastAsia="宋体"/>
                      <w:color w:val="auto"/>
                      <w:szCs w:val="21"/>
                      <w:vertAlign w:val="superscript"/>
                    </w:rPr>
                    <w:t>3</w:t>
                  </w:r>
                </w:p>
              </w:tc>
              <w:tc>
                <w:tcPr>
                  <w:tcW w:w="1394" w:type="pct"/>
                  <w:vMerge w:val="continue"/>
                  <w:noWrap w:val="0"/>
                  <w:vAlign w:val="center"/>
                </w:tcPr>
                <w:p w14:paraId="2587EA4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r>
            <w:tr w14:paraId="5AF8DA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pct"/>
                  <w:vMerge w:val="continue"/>
                  <w:noWrap w:val="0"/>
                  <w:vAlign w:val="center"/>
                </w:tcPr>
                <w:p w14:paraId="0872E0F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bCs/>
                      <w:color w:val="auto"/>
                      <w:szCs w:val="21"/>
                    </w:rPr>
                  </w:pPr>
                </w:p>
              </w:tc>
              <w:tc>
                <w:tcPr>
                  <w:tcW w:w="1225" w:type="pct"/>
                  <w:noWrap w:val="0"/>
                  <w:vAlign w:val="center"/>
                </w:tcPr>
                <w:p w14:paraId="5799785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bCs/>
                      <w:color w:val="auto"/>
                      <w:kern w:val="0"/>
                      <w:szCs w:val="21"/>
                    </w:rPr>
                  </w:pPr>
                  <w:r>
                    <w:rPr>
                      <w:rFonts w:hint="default" w:ascii="Times New Roman" w:hAnsi="Times New Roman" w:eastAsia="宋体"/>
                      <w:bCs/>
                      <w:color w:val="auto"/>
                      <w:kern w:val="0"/>
                      <w:szCs w:val="21"/>
                    </w:rPr>
                    <w:t>1小时平均</w:t>
                  </w:r>
                </w:p>
              </w:tc>
              <w:tc>
                <w:tcPr>
                  <w:tcW w:w="753" w:type="pct"/>
                  <w:noWrap w:val="0"/>
                  <w:vAlign w:val="center"/>
                </w:tcPr>
                <w:p w14:paraId="409413D3">
                  <w:pPr>
                    <w:keepNext w:val="0"/>
                    <w:keepLines w:val="0"/>
                    <w:suppressLineNumbers w:val="0"/>
                    <w:spacing w:before="0" w:beforeAutospacing="0" w:after="0" w:afterAutospacing="0"/>
                    <w:ind w:left="0" w:right="0"/>
                    <w:jc w:val="center"/>
                    <w:rPr>
                      <w:rFonts w:hint="default" w:ascii="Times New Roman" w:hAnsi="Times New Roman" w:eastAsia="宋体"/>
                      <w:bCs/>
                      <w:color w:val="auto"/>
                      <w:szCs w:val="21"/>
                    </w:rPr>
                  </w:pPr>
                  <w:r>
                    <w:rPr>
                      <w:rFonts w:hint="default" w:ascii="Times New Roman" w:hAnsi="Times New Roman" w:eastAsia="宋体"/>
                      <w:bCs/>
                      <w:color w:val="auto"/>
                      <w:szCs w:val="21"/>
                    </w:rPr>
                    <w:t>10</w:t>
                  </w:r>
                </w:p>
              </w:tc>
              <w:tc>
                <w:tcPr>
                  <w:tcW w:w="730" w:type="pct"/>
                  <w:vMerge w:val="continue"/>
                  <w:noWrap w:val="0"/>
                  <w:vAlign w:val="center"/>
                </w:tcPr>
                <w:p w14:paraId="5377781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c>
                <w:tcPr>
                  <w:tcW w:w="1394" w:type="pct"/>
                  <w:vMerge w:val="continue"/>
                  <w:noWrap w:val="0"/>
                  <w:vAlign w:val="center"/>
                </w:tcPr>
                <w:p w14:paraId="077B4A6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r>
            <w:tr w14:paraId="333BBF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pct"/>
                  <w:noWrap w:val="0"/>
                  <w:vAlign w:val="center"/>
                </w:tcPr>
                <w:p w14:paraId="5F2A732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bCs/>
                      <w:color w:val="auto"/>
                      <w:szCs w:val="21"/>
                    </w:rPr>
                  </w:pPr>
                  <w:r>
                    <w:rPr>
                      <w:rFonts w:hint="eastAsia" w:ascii="Times New Roman" w:hAnsi="Times New Roman" w:eastAsia="宋体"/>
                      <w:color w:val="auto"/>
                      <w:szCs w:val="21"/>
                      <w:highlight w:val="none"/>
                      <w:lang w:val="en-US" w:eastAsia="zh-CN"/>
                    </w:rPr>
                    <w:t>非甲烷总烃</w:t>
                  </w:r>
                </w:p>
              </w:tc>
              <w:tc>
                <w:tcPr>
                  <w:tcW w:w="1225" w:type="pct"/>
                  <w:noWrap w:val="0"/>
                  <w:vAlign w:val="center"/>
                </w:tcPr>
                <w:p w14:paraId="20929B1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bCs/>
                      <w:color w:val="auto"/>
                      <w:kern w:val="0"/>
                      <w:szCs w:val="21"/>
                    </w:rPr>
                  </w:pPr>
                  <w:r>
                    <w:rPr>
                      <w:rFonts w:hint="default" w:ascii="Times New Roman" w:hAnsi="Times New Roman" w:eastAsia="宋体"/>
                      <w:color w:val="auto"/>
                      <w:szCs w:val="21"/>
                      <w:highlight w:val="none"/>
                    </w:rPr>
                    <w:t>1</w:t>
                  </w:r>
                  <w:r>
                    <w:rPr>
                      <w:rFonts w:hint="eastAsia" w:ascii="Times New Roman" w:hAnsi="Times New Roman" w:eastAsia="宋体"/>
                      <w:color w:val="auto"/>
                      <w:szCs w:val="21"/>
                      <w:highlight w:val="none"/>
                    </w:rPr>
                    <w:t>小时平均</w:t>
                  </w:r>
                </w:p>
              </w:tc>
              <w:tc>
                <w:tcPr>
                  <w:tcW w:w="753" w:type="pct"/>
                  <w:noWrap w:val="0"/>
                  <w:vAlign w:val="center"/>
                </w:tcPr>
                <w:p w14:paraId="344852DE">
                  <w:pPr>
                    <w:keepNext w:val="0"/>
                    <w:keepLines w:val="0"/>
                    <w:suppressLineNumbers w:val="0"/>
                    <w:spacing w:before="0" w:beforeAutospacing="0" w:after="0" w:afterAutospacing="0"/>
                    <w:ind w:left="0" w:right="0"/>
                    <w:jc w:val="center"/>
                    <w:rPr>
                      <w:rFonts w:hint="default" w:ascii="Times New Roman" w:hAnsi="Times New Roman" w:eastAsia="宋体"/>
                      <w:bCs/>
                      <w:color w:val="auto"/>
                      <w:szCs w:val="21"/>
                    </w:rPr>
                  </w:pPr>
                  <w:r>
                    <w:rPr>
                      <w:rFonts w:hint="default" w:ascii="Times New Roman" w:hAnsi="Times New Roman" w:eastAsia="宋体" w:cs="Times New Roman"/>
                      <w:color w:val="auto"/>
                      <w:kern w:val="0"/>
                      <w:sz w:val="21"/>
                      <w:szCs w:val="21"/>
                      <w:lang w:val="en-US" w:eastAsia="zh-CN"/>
                    </w:rPr>
                    <w:t>2.0</w:t>
                  </w:r>
                </w:p>
              </w:tc>
              <w:tc>
                <w:tcPr>
                  <w:tcW w:w="730" w:type="pct"/>
                  <w:noWrap w:val="0"/>
                  <w:vAlign w:val="center"/>
                </w:tcPr>
                <w:p w14:paraId="27D2A3A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p>
              </w:tc>
              <w:tc>
                <w:tcPr>
                  <w:tcW w:w="1394" w:type="pct"/>
                  <w:noWrap w:val="0"/>
                  <w:vAlign w:val="center"/>
                </w:tcPr>
                <w:p w14:paraId="4FB8025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s="Times New Roman"/>
                      <w:color w:val="auto"/>
                      <w:spacing w:val="-10"/>
                      <w:sz w:val="21"/>
                      <w:szCs w:val="21"/>
                    </w:rPr>
                    <w:t>《大气污染物综合排放标准详解》</w:t>
                  </w:r>
                </w:p>
              </w:tc>
            </w:tr>
          </w:tbl>
          <w:p w14:paraId="534CCAEF">
            <w:pPr>
              <w:keepNext w:val="0"/>
              <w:keepLines w:val="0"/>
              <w:suppressLineNumbers w:val="0"/>
              <w:adjustRightInd w:val="0"/>
              <w:snapToGrid w:val="0"/>
              <w:spacing w:before="0" w:beforeAutospacing="0" w:after="0" w:afterAutospacing="0"/>
              <w:ind w:left="0" w:right="0" w:firstLine="422" w:firstLineChars="200"/>
              <w:rPr>
                <w:rFonts w:hint="default" w:ascii="Times New Roman" w:hAnsi="Times New Roman" w:eastAsia="宋体"/>
                <w:b/>
                <w:bCs/>
                <w:color w:val="auto"/>
                <w:sz w:val="24"/>
                <w:highlight w:val="none"/>
              </w:rPr>
            </w:pPr>
            <w:r>
              <w:rPr>
                <w:rFonts w:hint="default" w:ascii="Times New Roman" w:hAnsi="Times New Roman" w:eastAsia="宋体" w:cs="Times New Roman"/>
                <w:b/>
                <w:bCs/>
                <w:color w:val="auto"/>
                <w:sz w:val="21"/>
                <w:szCs w:val="21"/>
                <w:lang w:eastAsia="zh-CN"/>
              </w:rPr>
              <w:t>注：根据《环境影响评价技术导则 大气环境》（HJ2.2-2018），对</w:t>
            </w:r>
            <w:r>
              <w:rPr>
                <w:rFonts w:hint="default" w:ascii="Times New Roman" w:hAnsi="Times New Roman" w:eastAsia="宋体" w:cs="Times New Roman"/>
                <w:b/>
                <w:bCs/>
                <w:color w:val="auto"/>
                <w:sz w:val="21"/>
                <w:szCs w:val="21"/>
                <w:lang w:val="en-US" w:eastAsia="zh-CN"/>
              </w:rPr>
              <w:t>8小时平均浓度、</w:t>
            </w:r>
            <w:r>
              <w:rPr>
                <w:rFonts w:hint="default" w:ascii="Times New Roman" w:hAnsi="Times New Roman" w:eastAsia="宋体" w:cs="Times New Roman"/>
                <w:b/>
                <w:bCs/>
                <w:color w:val="auto"/>
                <w:sz w:val="21"/>
                <w:szCs w:val="21"/>
                <w:lang w:eastAsia="zh-CN"/>
              </w:rPr>
              <w:t>24小时平均浓度的，分别按</w:t>
            </w:r>
            <w:r>
              <w:rPr>
                <w:rFonts w:hint="default" w:ascii="Times New Roman" w:hAnsi="Times New Roman" w:eastAsia="宋体" w:cs="Times New Roman"/>
                <w:b/>
                <w:bCs/>
                <w:color w:val="auto"/>
                <w:sz w:val="21"/>
                <w:szCs w:val="21"/>
                <w:lang w:val="en-US" w:eastAsia="zh-CN"/>
              </w:rPr>
              <w:t>2倍、</w:t>
            </w:r>
            <w:r>
              <w:rPr>
                <w:rFonts w:hint="default" w:ascii="Times New Roman" w:hAnsi="Times New Roman" w:eastAsia="宋体" w:cs="Times New Roman"/>
                <w:b/>
                <w:bCs/>
                <w:color w:val="auto"/>
                <w:sz w:val="21"/>
                <w:szCs w:val="21"/>
                <w:lang w:eastAsia="zh-CN"/>
              </w:rPr>
              <w:t>3倍折算为1小时平均浓度</w:t>
            </w:r>
            <w:r>
              <w:rPr>
                <w:rFonts w:hint="eastAsia" w:ascii="Times New Roman" w:hAnsi="Times New Roman" w:eastAsia="宋体" w:cs="Times New Roman"/>
                <w:b/>
                <w:bCs/>
                <w:snapToGrid w:val="0"/>
                <w:color w:val="auto"/>
                <w:kern w:val="0"/>
                <w:sz w:val="21"/>
                <w:szCs w:val="21"/>
                <w:lang w:eastAsia="zh-CN"/>
              </w:rPr>
              <w:t>。</w:t>
            </w:r>
          </w:p>
          <w:p w14:paraId="0AB76557">
            <w:pPr>
              <w:keepNext w:val="0"/>
              <w:keepLines w:val="0"/>
              <w:suppressLineNumbers w:val="0"/>
              <w:snapToGrid w:val="0"/>
              <w:spacing w:before="0" w:beforeAutospacing="0" w:after="0" w:afterAutospacing="0" w:line="360" w:lineRule="auto"/>
              <w:ind w:left="0" w:right="0" w:firstLine="482" w:firstLineChars="200"/>
              <w:rPr>
                <w:rFonts w:hint="eastAsia" w:ascii="Times New Roman" w:hAnsi="Times New Roman" w:eastAsia="宋体"/>
                <w:b/>
                <w:bCs/>
                <w:color w:val="auto"/>
                <w:sz w:val="24"/>
                <w:highlight w:val="none"/>
                <w:lang w:val="en-US" w:eastAsia="zh-CN"/>
              </w:rPr>
            </w:pPr>
            <w:r>
              <w:rPr>
                <w:rFonts w:hint="default" w:ascii="Times New Roman" w:hAnsi="Times New Roman" w:eastAsia="宋体"/>
                <w:b/>
                <w:bCs/>
                <w:color w:val="auto"/>
                <w:sz w:val="24"/>
                <w:highlight w:val="none"/>
              </w:rPr>
              <w:t>2、地表水环境</w:t>
            </w:r>
            <w:r>
              <w:rPr>
                <w:rFonts w:hint="eastAsia" w:ascii="Times New Roman" w:hAnsi="Times New Roman" w:eastAsia="宋体"/>
                <w:b/>
                <w:bCs/>
                <w:color w:val="auto"/>
                <w:sz w:val="24"/>
                <w:highlight w:val="none"/>
                <w:lang w:val="en-US" w:eastAsia="zh-CN"/>
              </w:rPr>
              <w:t>质量标准</w:t>
            </w:r>
          </w:p>
          <w:p w14:paraId="350B0D69">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snapToGrid w:val="0"/>
                <w:color w:val="auto"/>
                <w:kern w:val="0"/>
                <w:sz w:val="24"/>
                <w:highlight w:val="none"/>
              </w:rPr>
            </w:pPr>
            <w:r>
              <w:rPr>
                <w:rFonts w:hint="eastAsia" w:ascii="Times New Roman" w:hAnsi="Times New Roman" w:eastAsia="宋体"/>
                <w:color w:val="auto"/>
                <w:sz w:val="24"/>
                <w:highlight w:val="none"/>
                <w:lang w:val="en-US" w:eastAsia="zh-CN"/>
              </w:rPr>
              <w:t>本项目产生的</w:t>
            </w:r>
            <w:r>
              <w:rPr>
                <w:rFonts w:hint="eastAsia"/>
                <w:color w:val="auto"/>
                <w:sz w:val="24"/>
                <w:highlight w:val="none"/>
                <w:lang w:val="en-US" w:eastAsia="zh-CN"/>
              </w:rPr>
              <w:t>纯水制备浓水、水浴锅排水和经化粪池处理后的员工生活污水、淋浴废水</w:t>
            </w:r>
            <w:r>
              <w:rPr>
                <w:rFonts w:hint="eastAsia" w:ascii="Times New Roman" w:hAnsi="Times New Roman" w:eastAsia="宋体"/>
                <w:color w:val="auto"/>
                <w:sz w:val="24"/>
                <w:highlight w:val="none"/>
                <w:lang w:val="en-US" w:eastAsia="zh-CN"/>
              </w:rPr>
              <w:t>，</w:t>
            </w:r>
            <w:r>
              <w:rPr>
                <w:rStyle w:val="30"/>
                <w:rFonts w:hint="eastAsia" w:ascii="Times New Roman" w:hAnsi="Times New Roman" w:eastAsia="宋体" w:cs="Times New Roman"/>
                <w:b w:val="0"/>
                <w:bCs w:val="0"/>
                <w:color w:val="auto"/>
                <w:kern w:val="2"/>
                <w:sz w:val="24"/>
                <w:szCs w:val="24"/>
                <w:highlight w:val="none"/>
                <w:lang w:val="en-US" w:eastAsia="zh-CN"/>
              </w:rPr>
              <w:t>接管至太湖新城污水处理厂</w:t>
            </w:r>
            <w:r>
              <w:rPr>
                <w:rFonts w:hint="eastAsia" w:ascii="Times New Roman" w:hAnsi="Times New Roman" w:eastAsia="宋体"/>
                <w:color w:val="auto"/>
                <w:sz w:val="24"/>
                <w:szCs w:val="24"/>
                <w:highlight w:val="none"/>
                <w:lang w:eastAsia="zh-CN"/>
              </w:rPr>
              <w:t>集中</w:t>
            </w:r>
            <w:r>
              <w:rPr>
                <w:rFonts w:hint="default" w:ascii="Times New Roman" w:hAnsi="Times New Roman" w:eastAsia="宋体"/>
                <w:color w:val="auto"/>
                <w:sz w:val="24"/>
                <w:szCs w:val="24"/>
                <w:highlight w:val="none"/>
              </w:rPr>
              <w:t>处理，尾水排入京杭运河。</w:t>
            </w:r>
            <w:r>
              <w:rPr>
                <w:rFonts w:hint="default" w:ascii="Times New Roman" w:hAnsi="Times New Roman" w:eastAsia="宋体"/>
                <w:color w:val="auto"/>
                <w:sz w:val="24"/>
                <w:highlight w:val="none"/>
              </w:rPr>
              <w:t>根据《江苏省地表水（环境）功能区划》（江苏省水利厅、江苏省环保厅，2003年3月）</w:t>
            </w:r>
            <w:r>
              <w:rPr>
                <w:rFonts w:hint="eastAsia" w:ascii="Times New Roman" w:hAnsi="Times New Roman" w:eastAsia="宋体"/>
                <w:color w:val="auto"/>
                <w:sz w:val="24"/>
                <w:highlight w:val="none"/>
                <w:lang w:eastAsia="zh-CN"/>
              </w:rPr>
              <w:t>京杭运河</w:t>
            </w:r>
            <w:r>
              <w:rPr>
                <w:rFonts w:hint="default" w:ascii="Times New Roman" w:hAnsi="Times New Roman" w:eastAsia="宋体"/>
                <w:color w:val="auto"/>
                <w:sz w:val="24"/>
                <w:highlight w:val="none"/>
              </w:rPr>
              <w:t>2020年水质</w:t>
            </w:r>
            <w:r>
              <w:rPr>
                <w:rFonts w:hint="eastAsia" w:ascii="Times New Roman" w:hAnsi="Times New Roman" w:eastAsia="宋体"/>
                <w:color w:val="auto"/>
                <w:sz w:val="24"/>
                <w:highlight w:val="none"/>
              </w:rPr>
              <w:t>功能</w:t>
            </w:r>
            <w:r>
              <w:rPr>
                <w:rFonts w:hint="default" w:ascii="Times New Roman" w:hAnsi="Times New Roman" w:eastAsia="宋体"/>
                <w:color w:val="auto"/>
                <w:sz w:val="24"/>
                <w:highlight w:val="none"/>
              </w:rPr>
              <w:t>为Ⅳ类，</w:t>
            </w:r>
            <w:r>
              <w:rPr>
                <w:rFonts w:hint="eastAsia" w:ascii="Times New Roman" w:hAnsi="Times New Roman" w:eastAsia="宋体"/>
                <w:color w:val="auto"/>
                <w:sz w:val="24"/>
                <w:highlight w:val="none"/>
                <w:lang w:eastAsia="zh-CN"/>
              </w:rPr>
              <w:t>京杭运河</w:t>
            </w:r>
            <w:r>
              <w:rPr>
                <w:rFonts w:hint="default" w:ascii="Times New Roman" w:hAnsi="Times New Roman" w:eastAsia="宋体"/>
                <w:color w:val="auto"/>
                <w:sz w:val="24"/>
                <w:highlight w:val="none"/>
              </w:rPr>
              <w:t>水域环境质量执行《地表水环境质量标准》（GB3838-2002）中的Ⅳ类水质标准</w:t>
            </w:r>
            <w:r>
              <w:rPr>
                <w:rFonts w:hint="default" w:ascii="Times New Roman" w:hAnsi="Times New Roman" w:eastAsia="宋体"/>
                <w:bCs/>
                <w:color w:val="auto"/>
                <w:sz w:val="24"/>
                <w:highlight w:val="none"/>
              </w:rPr>
              <w:t>，具体标准值见</w:t>
            </w:r>
            <w:r>
              <w:rPr>
                <w:rFonts w:hint="default" w:ascii="Times New Roman" w:hAnsi="Times New Roman" w:eastAsia="宋体"/>
                <w:snapToGrid w:val="0"/>
                <w:color w:val="auto"/>
                <w:kern w:val="0"/>
                <w:sz w:val="24"/>
                <w:highlight w:val="none"/>
              </w:rPr>
              <w:t>表3-</w:t>
            </w:r>
            <w:r>
              <w:rPr>
                <w:rFonts w:hint="eastAsia" w:ascii="Times New Roman" w:hAnsi="Times New Roman" w:eastAsia="宋体"/>
                <w:snapToGrid w:val="0"/>
                <w:color w:val="auto"/>
                <w:kern w:val="0"/>
                <w:sz w:val="24"/>
                <w:highlight w:val="none"/>
                <w:lang w:val="en-US" w:eastAsia="zh-CN"/>
              </w:rPr>
              <w:t>8</w:t>
            </w:r>
            <w:r>
              <w:rPr>
                <w:rFonts w:hint="default" w:ascii="Times New Roman" w:hAnsi="Times New Roman" w:eastAsia="宋体"/>
                <w:snapToGrid w:val="0"/>
                <w:color w:val="auto"/>
                <w:kern w:val="0"/>
                <w:sz w:val="24"/>
                <w:highlight w:val="none"/>
              </w:rPr>
              <w:t>。</w:t>
            </w:r>
          </w:p>
          <w:p w14:paraId="086598EB">
            <w:pPr>
              <w:pStyle w:val="10"/>
              <w:keepNext w:val="0"/>
              <w:keepLines w:val="0"/>
              <w:numPr>
                <w:ilvl w:val="0"/>
                <w:numId w:val="0"/>
              </w:numPr>
              <w:suppressLineNumbers w:val="0"/>
              <w:spacing w:before="0" w:beforeAutospacing="0" w:after="0" w:afterAutospacing="0"/>
              <w:ind w:left="425" w:leftChars="0" w:right="0" w:hanging="425" w:firstLineChars="0"/>
              <w:jc w:val="center"/>
              <w:rPr>
                <w:rFonts w:hint="eastAsia" w:ascii="Times New Roman" w:hAnsi="Times New Roman" w:eastAsia="宋体"/>
                <w:b/>
                <w:bCs/>
                <w:color w:val="auto"/>
              </w:rPr>
            </w:pPr>
            <w:r>
              <w:rPr>
                <w:rFonts w:hint="default" w:ascii="Times New Roman" w:hAnsi="Times New Roman" w:eastAsia="宋体" w:cs="Times New Roman"/>
                <w:b/>
                <w:bCs/>
                <w:color w:val="auto"/>
                <w:kern w:val="0"/>
                <w:sz w:val="24"/>
                <w:szCs w:val="20"/>
                <w:lang w:val="en-US" w:eastAsia="zh-CN" w:bidi="ar-SA"/>
              </w:rPr>
              <w:t>表3-</w:t>
            </w:r>
            <w:r>
              <w:rPr>
                <w:rFonts w:hint="eastAsia" w:ascii="Times New Roman" w:hAnsi="Times New Roman" w:eastAsia="宋体" w:cs="Times New Roman"/>
                <w:b/>
                <w:bCs/>
                <w:color w:val="auto"/>
                <w:kern w:val="0"/>
                <w:sz w:val="24"/>
                <w:szCs w:val="20"/>
                <w:lang w:val="en-US" w:eastAsia="zh-CN" w:bidi="ar-SA"/>
              </w:rPr>
              <w:t xml:space="preserve">8  </w:t>
            </w:r>
            <w:r>
              <w:rPr>
                <w:rFonts w:hint="eastAsia" w:ascii="Times New Roman" w:hAnsi="Times New Roman" w:eastAsia="宋体"/>
                <w:b/>
                <w:bCs/>
                <w:color w:val="auto"/>
                <w:lang w:val="en-US" w:eastAsia="zh-CN"/>
              </w:rPr>
              <w:t>地表水环境质量标准</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386"/>
              <w:gridCol w:w="1923"/>
              <w:gridCol w:w="1213"/>
              <w:gridCol w:w="3709"/>
            </w:tblGrid>
            <w:tr w14:paraId="4482AF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tcBorders>
                    <w:tl2br w:val="nil"/>
                    <w:tr2bl w:val="nil"/>
                  </w:tcBorders>
                  <w:vAlign w:val="center"/>
                </w:tcPr>
                <w:p w14:paraId="0F20544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序号</w:t>
                  </w:r>
                </w:p>
              </w:tc>
              <w:tc>
                <w:tcPr>
                  <w:tcW w:w="1200" w:type="dxa"/>
                  <w:tcBorders>
                    <w:tl2br w:val="nil"/>
                    <w:tr2bl w:val="nil"/>
                  </w:tcBorders>
                  <w:vAlign w:val="center"/>
                </w:tcPr>
                <w:p w14:paraId="31C4803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评价因子</w:t>
                  </w:r>
                </w:p>
              </w:tc>
              <w:tc>
                <w:tcPr>
                  <w:tcW w:w="1665" w:type="dxa"/>
                  <w:tcBorders>
                    <w:tl2br w:val="nil"/>
                    <w:tr2bl w:val="nil"/>
                  </w:tcBorders>
                  <w:vAlign w:val="center"/>
                </w:tcPr>
                <w:p w14:paraId="0077324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Cs w:val="21"/>
                      <w:highlight w:val="none"/>
                    </w:rPr>
                  </w:pPr>
                  <w:r>
                    <w:rPr>
                      <w:rFonts w:hint="default" w:ascii="Times New Roman" w:hAnsi="Times New Roman" w:eastAsia="宋体" w:cs="Times New Roman"/>
                      <w:b/>
                      <w:bCs/>
                      <w:color w:val="auto"/>
                      <w:szCs w:val="21"/>
                      <w:highlight w:val="none"/>
                    </w:rPr>
                    <w:t>功能水域标准</w:t>
                  </w:r>
                </w:p>
              </w:tc>
              <w:tc>
                <w:tcPr>
                  <w:tcW w:w="1050" w:type="dxa"/>
                  <w:tcBorders>
                    <w:tl2br w:val="nil"/>
                    <w:tr2bl w:val="nil"/>
                  </w:tcBorders>
                  <w:vAlign w:val="center"/>
                </w:tcPr>
                <w:p w14:paraId="020D8C7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单位</w:t>
                  </w:r>
                </w:p>
              </w:tc>
              <w:tc>
                <w:tcPr>
                  <w:tcW w:w="3211" w:type="dxa"/>
                  <w:tcBorders>
                    <w:tl2br w:val="nil"/>
                    <w:tr2bl w:val="nil"/>
                  </w:tcBorders>
                  <w:vAlign w:val="center"/>
                </w:tcPr>
                <w:p w14:paraId="182F81F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标准来源</w:t>
                  </w:r>
                </w:p>
              </w:tc>
            </w:tr>
            <w:tr w14:paraId="4C2AAB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tcBorders>
                    <w:tl2br w:val="nil"/>
                    <w:tr2bl w:val="nil"/>
                  </w:tcBorders>
                  <w:vAlign w:val="center"/>
                </w:tcPr>
                <w:p w14:paraId="7FC14C7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1</w:t>
                  </w:r>
                </w:p>
              </w:tc>
              <w:tc>
                <w:tcPr>
                  <w:tcW w:w="1200" w:type="dxa"/>
                  <w:tcBorders>
                    <w:tl2br w:val="nil"/>
                    <w:tr2bl w:val="nil"/>
                  </w:tcBorders>
                  <w:vAlign w:val="center"/>
                </w:tcPr>
                <w:p w14:paraId="55F6CAC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pH</w:t>
                  </w:r>
                </w:p>
              </w:tc>
              <w:tc>
                <w:tcPr>
                  <w:tcW w:w="1665" w:type="dxa"/>
                  <w:tcBorders>
                    <w:tl2br w:val="nil"/>
                    <w:tr2bl w:val="nil"/>
                  </w:tcBorders>
                  <w:vAlign w:val="center"/>
                </w:tcPr>
                <w:p w14:paraId="17DA51B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6</w:t>
                  </w:r>
                  <w:r>
                    <w:rPr>
                      <w:rFonts w:hint="eastAsia" w:ascii="Times New Roman" w:hAnsi="Times New Roman" w:eastAsia="宋体"/>
                      <w:color w:val="auto"/>
                      <w:szCs w:val="21"/>
                      <w:highlight w:val="none"/>
                      <w:lang w:val="en-US" w:eastAsia="zh-CN"/>
                    </w:rPr>
                    <w:t>~</w:t>
                  </w:r>
                  <w:r>
                    <w:rPr>
                      <w:rFonts w:hint="default" w:ascii="Times New Roman" w:hAnsi="Times New Roman" w:eastAsia="宋体"/>
                      <w:color w:val="auto"/>
                      <w:szCs w:val="21"/>
                      <w:highlight w:val="none"/>
                    </w:rPr>
                    <w:t>9</w:t>
                  </w:r>
                </w:p>
              </w:tc>
              <w:tc>
                <w:tcPr>
                  <w:tcW w:w="1050" w:type="dxa"/>
                  <w:tcBorders>
                    <w:tl2br w:val="nil"/>
                    <w:tr2bl w:val="nil"/>
                  </w:tcBorders>
                  <w:vAlign w:val="center"/>
                </w:tcPr>
                <w:p w14:paraId="1178F26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olor w:val="auto"/>
                      <w:szCs w:val="21"/>
                      <w:highlight w:val="none"/>
                      <w:lang w:eastAsia="zh-CN"/>
                    </w:rPr>
                  </w:pPr>
                  <w:r>
                    <w:rPr>
                      <w:rFonts w:hint="eastAsia" w:ascii="Times New Roman" w:hAnsi="Times New Roman" w:eastAsia="宋体"/>
                      <w:color w:val="auto"/>
                      <w:szCs w:val="21"/>
                      <w:highlight w:val="none"/>
                      <w:lang w:eastAsia="zh-CN"/>
                    </w:rPr>
                    <w:t>无量纲</w:t>
                  </w:r>
                </w:p>
              </w:tc>
              <w:tc>
                <w:tcPr>
                  <w:tcW w:w="3211" w:type="dxa"/>
                  <w:vMerge w:val="restart"/>
                  <w:tcBorders>
                    <w:tl2br w:val="nil"/>
                    <w:tr2bl w:val="nil"/>
                  </w:tcBorders>
                  <w:vAlign w:val="center"/>
                </w:tcPr>
                <w:p w14:paraId="5072051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snapToGrid w:val="0"/>
                      <w:color w:val="auto"/>
                      <w:kern w:val="0"/>
                      <w:szCs w:val="21"/>
                      <w:highlight w:val="none"/>
                    </w:rPr>
                    <w:t>《地表水环境质量标准》（GB3838-2002）</w:t>
                  </w:r>
                </w:p>
              </w:tc>
            </w:tr>
            <w:tr w14:paraId="43C99B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tcBorders>
                    <w:tl2br w:val="nil"/>
                    <w:tr2bl w:val="nil"/>
                  </w:tcBorders>
                  <w:vAlign w:val="center"/>
                </w:tcPr>
                <w:p w14:paraId="3DE405B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2</w:t>
                  </w:r>
                </w:p>
              </w:tc>
              <w:tc>
                <w:tcPr>
                  <w:tcW w:w="1200" w:type="dxa"/>
                  <w:tcBorders>
                    <w:tl2br w:val="nil"/>
                    <w:tr2bl w:val="nil"/>
                  </w:tcBorders>
                  <w:vAlign w:val="center"/>
                </w:tcPr>
                <w:p w14:paraId="09C7257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snapToGrid w:val="0"/>
                      <w:color w:val="auto"/>
                      <w:szCs w:val="21"/>
                      <w:highlight w:val="none"/>
                    </w:rPr>
                    <w:t>COD</w:t>
                  </w:r>
                  <w:r>
                    <w:rPr>
                      <w:rFonts w:hint="default" w:ascii="Times New Roman" w:hAnsi="Times New Roman" w:eastAsia="宋体"/>
                      <w:snapToGrid w:val="0"/>
                      <w:color w:val="auto"/>
                      <w:szCs w:val="21"/>
                      <w:highlight w:val="none"/>
                      <w:vertAlign w:val="subscript"/>
                    </w:rPr>
                    <w:t>Cr</w:t>
                  </w:r>
                </w:p>
              </w:tc>
              <w:tc>
                <w:tcPr>
                  <w:tcW w:w="1665" w:type="dxa"/>
                  <w:tcBorders>
                    <w:tl2br w:val="nil"/>
                    <w:tr2bl w:val="nil"/>
                  </w:tcBorders>
                  <w:vAlign w:val="center"/>
                </w:tcPr>
                <w:p w14:paraId="77E42AC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w:t>
                  </w:r>
                  <w:r>
                    <w:rPr>
                      <w:rFonts w:hint="eastAsia" w:ascii="Times New Roman" w:hAnsi="Times New Roman" w:eastAsia="宋体"/>
                      <w:color w:val="auto"/>
                      <w:szCs w:val="21"/>
                      <w:highlight w:val="none"/>
                      <w:lang w:val="en-US" w:eastAsia="zh-CN"/>
                    </w:rPr>
                    <w:t>3</w:t>
                  </w:r>
                  <w:r>
                    <w:rPr>
                      <w:rFonts w:hint="eastAsia" w:ascii="Times New Roman" w:hAnsi="Times New Roman" w:eastAsia="宋体"/>
                      <w:color w:val="auto"/>
                      <w:szCs w:val="21"/>
                      <w:highlight w:val="none"/>
                    </w:rPr>
                    <w:t>0</w:t>
                  </w:r>
                </w:p>
              </w:tc>
              <w:tc>
                <w:tcPr>
                  <w:tcW w:w="1050" w:type="dxa"/>
                  <w:vMerge w:val="restart"/>
                  <w:tcBorders>
                    <w:tl2br w:val="nil"/>
                    <w:tr2bl w:val="nil"/>
                  </w:tcBorders>
                  <w:vAlign w:val="center"/>
                </w:tcPr>
                <w:p w14:paraId="77C9EFC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mg/L</w:t>
                  </w:r>
                </w:p>
              </w:tc>
              <w:tc>
                <w:tcPr>
                  <w:tcW w:w="3211" w:type="dxa"/>
                  <w:vMerge w:val="continue"/>
                  <w:tcBorders>
                    <w:tl2br w:val="nil"/>
                    <w:tr2bl w:val="nil"/>
                  </w:tcBorders>
                  <w:vAlign w:val="center"/>
                </w:tcPr>
                <w:p w14:paraId="4A8DB80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p>
              </w:tc>
            </w:tr>
            <w:tr w14:paraId="2B70C6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tcBorders>
                    <w:tl2br w:val="nil"/>
                    <w:tr2bl w:val="nil"/>
                  </w:tcBorders>
                  <w:vAlign w:val="center"/>
                </w:tcPr>
                <w:p w14:paraId="6F9C7FA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3</w:t>
                  </w:r>
                </w:p>
              </w:tc>
              <w:tc>
                <w:tcPr>
                  <w:tcW w:w="1200" w:type="dxa"/>
                  <w:tcBorders>
                    <w:tl2br w:val="nil"/>
                    <w:tr2bl w:val="nil"/>
                  </w:tcBorders>
                  <w:vAlign w:val="center"/>
                </w:tcPr>
                <w:p w14:paraId="055CDA6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snapToGrid w:val="0"/>
                      <w:color w:val="auto"/>
                      <w:szCs w:val="21"/>
                      <w:highlight w:val="none"/>
                    </w:rPr>
                    <w:t>NH</w:t>
                  </w:r>
                  <w:r>
                    <w:rPr>
                      <w:rFonts w:hint="default" w:ascii="Times New Roman" w:hAnsi="Times New Roman" w:eastAsia="宋体"/>
                      <w:snapToGrid w:val="0"/>
                      <w:color w:val="auto"/>
                      <w:szCs w:val="21"/>
                      <w:highlight w:val="none"/>
                      <w:vertAlign w:val="subscript"/>
                    </w:rPr>
                    <w:t>3</w:t>
                  </w:r>
                  <w:r>
                    <w:rPr>
                      <w:rFonts w:hint="default" w:ascii="Times New Roman" w:hAnsi="Times New Roman" w:eastAsia="宋体"/>
                      <w:snapToGrid w:val="0"/>
                      <w:color w:val="auto"/>
                      <w:szCs w:val="21"/>
                      <w:highlight w:val="none"/>
                    </w:rPr>
                    <w:t>-N</w:t>
                  </w:r>
                </w:p>
              </w:tc>
              <w:tc>
                <w:tcPr>
                  <w:tcW w:w="1665" w:type="dxa"/>
                  <w:tcBorders>
                    <w:tl2br w:val="nil"/>
                    <w:tr2bl w:val="nil"/>
                  </w:tcBorders>
                  <w:vAlign w:val="center"/>
                </w:tcPr>
                <w:p w14:paraId="287E6FE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olor w:val="auto"/>
                      <w:szCs w:val="21"/>
                      <w:highlight w:val="none"/>
                      <w:lang w:eastAsia="zh-CN"/>
                    </w:rPr>
                  </w:pPr>
                  <w:r>
                    <w:rPr>
                      <w:rFonts w:hint="default" w:ascii="Times New Roman" w:hAnsi="Times New Roman" w:eastAsia="宋体"/>
                      <w:color w:val="auto"/>
                      <w:szCs w:val="21"/>
                      <w:highlight w:val="none"/>
                    </w:rPr>
                    <w:t>≤1</w:t>
                  </w:r>
                  <w:r>
                    <w:rPr>
                      <w:rFonts w:hint="eastAsia" w:ascii="Times New Roman" w:hAnsi="Times New Roman" w:eastAsia="宋体"/>
                      <w:color w:val="auto"/>
                      <w:szCs w:val="21"/>
                      <w:highlight w:val="none"/>
                    </w:rPr>
                    <w:t>.</w:t>
                  </w:r>
                  <w:r>
                    <w:rPr>
                      <w:rFonts w:hint="eastAsia" w:ascii="Times New Roman" w:hAnsi="Times New Roman" w:eastAsia="宋体"/>
                      <w:color w:val="auto"/>
                      <w:szCs w:val="21"/>
                      <w:highlight w:val="none"/>
                      <w:lang w:val="en-US" w:eastAsia="zh-CN"/>
                    </w:rPr>
                    <w:t>5</w:t>
                  </w:r>
                </w:p>
              </w:tc>
              <w:tc>
                <w:tcPr>
                  <w:tcW w:w="1050" w:type="dxa"/>
                  <w:vMerge w:val="continue"/>
                  <w:tcBorders>
                    <w:tl2br w:val="nil"/>
                    <w:tr2bl w:val="nil"/>
                  </w:tcBorders>
                  <w:vAlign w:val="center"/>
                </w:tcPr>
                <w:p w14:paraId="6372651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p>
              </w:tc>
              <w:tc>
                <w:tcPr>
                  <w:tcW w:w="3211" w:type="dxa"/>
                  <w:vMerge w:val="continue"/>
                  <w:tcBorders>
                    <w:tl2br w:val="nil"/>
                    <w:tr2bl w:val="nil"/>
                  </w:tcBorders>
                  <w:vAlign w:val="center"/>
                </w:tcPr>
                <w:p w14:paraId="34E5E51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p>
              </w:tc>
            </w:tr>
            <w:tr w14:paraId="58CAB6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tcBorders>
                    <w:tl2br w:val="nil"/>
                    <w:tr2bl w:val="nil"/>
                  </w:tcBorders>
                  <w:vAlign w:val="center"/>
                </w:tcPr>
                <w:p w14:paraId="5E824C5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4</w:t>
                  </w:r>
                </w:p>
              </w:tc>
              <w:tc>
                <w:tcPr>
                  <w:tcW w:w="1200" w:type="dxa"/>
                  <w:tcBorders>
                    <w:tl2br w:val="nil"/>
                    <w:tr2bl w:val="nil"/>
                  </w:tcBorders>
                  <w:vAlign w:val="center"/>
                </w:tcPr>
                <w:p w14:paraId="2267941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TN</w:t>
                  </w:r>
                </w:p>
              </w:tc>
              <w:tc>
                <w:tcPr>
                  <w:tcW w:w="1665" w:type="dxa"/>
                  <w:tcBorders>
                    <w:tl2br w:val="nil"/>
                    <w:tr2bl w:val="nil"/>
                  </w:tcBorders>
                  <w:vAlign w:val="center"/>
                </w:tcPr>
                <w:p w14:paraId="7EA8713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olor w:val="auto"/>
                      <w:szCs w:val="21"/>
                      <w:highlight w:val="none"/>
                      <w:lang w:eastAsia="zh-CN"/>
                    </w:rPr>
                  </w:pPr>
                  <w:r>
                    <w:rPr>
                      <w:rFonts w:hint="default" w:ascii="Times New Roman" w:hAnsi="Times New Roman" w:eastAsia="宋体"/>
                      <w:color w:val="auto"/>
                      <w:szCs w:val="21"/>
                      <w:highlight w:val="none"/>
                    </w:rPr>
                    <w:t>≤1.</w:t>
                  </w:r>
                  <w:r>
                    <w:rPr>
                      <w:rFonts w:hint="eastAsia" w:ascii="Times New Roman" w:hAnsi="Times New Roman" w:eastAsia="宋体"/>
                      <w:color w:val="auto"/>
                      <w:szCs w:val="21"/>
                      <w:highlight w:val="none"/>
                      <w:lang w:val="en-US" w:eastAsia="zh-CN"/>
                    </w:rPr>
                    <w:t>5</w:t>
                  </w:r>
                </w:p>
              </w:tc>
              <w:tc>
                <w:tcPr>
                  <w:tcW w:w="1050" w:type="dxa"/>
                  <w:vMerge w:val="continue"/>
                  <w:tcBorders>
                    <w:tl2br w:val="nil"/>
                    <w:tr2bl w:val="nil"/>
                  </w:tcBorders>
                  <w:vAlign w:val="center"/>
                </w:tcPr>
                <w:p w14:paraId="36CF7E2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p>
              </w:tc>
              <w:tc>
                <w:tcPr>
                  <w:tcW w:w="3211" w:type="dxa"/>
                  <w:vMerge w:val="continue"/>
                  <w:tcBorders>
                    <w:tl2br w:val="nil"/>
                    <w:tr2bl w:val="nil"/>
                  </w:tcBorders>
                  <w:vAlign w:val="center"/>
                </w:tcPr>
                <w:p w14:paraId="30612BA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p>
              </w:tc>
            </w:tr>
            <w:tr w14:paraId="5D689B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tcBorders>
                    <w:tl2br w:val="nil"/>
                    <w:tr2bl w:val="nil"/>
                  </w:tcBorders>
                  <w:vAlign w:val="center"/>
                </w:tcPr>
                <w:p w14:paraId="7EDAB05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5</w:t>
                  </w:r>
                </w:p>
              </w:tc>
              <w:tc>
                <w:tcPr>
                  <w:tcW w:w="1200" w:type="dxa"/>
                  <w:tcBorders>
                    <w:tl2br w:val="nil"/>
                    <w:tr2bl w:val="nil"/>
                  </w:tcBorders>
                  <w:vAlign w:val="center"/>
                </w:tcPr>
                <w:p w14:paraId="71058C4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snapToGrid w:val="0"/>
                      <w:color w:val="auto"/>
                      <w:szCs w:val="21"/>
                      <w:highlight w:val="none"/>
                    </w:rPr>
                    <w:t>TP</w:t>
                  </w:r>
                </w:p>
              </w:tc>
              <w:tc>
                <w:tcPr>
                  <w:tcW w:w="1665" w:type="dxa"/>
                  <w:tcBorders>
                    <w:tl2br w:val="nil"/>
                    <w:tr2bl w:val="nil"/>
                  </w:tcBorders>
                  <w:vAlign w:val="center"/>
                </w:tcPr>
                <w:p w14:paraId="79921BA2">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olor w:val="auto"/>
                      <w:szCs w:val="21"/>
                      <w:highlight w:val="none"/>
                      <w:lang w:eastAsia="zh-CN"/>
                    </w:rPr>
                  </w:pPr>
                  <w:r>
                    <w:rPr>
                      <w:rFonts w:hint="default" w:ascii="Times New Roman" w:hAnsi="Times New Roman" w:eastAsia="宋体" w:cs="Times New Roman"/>
                      <w:color w:val="auto"/>
                      <w:szCs w:val="21"/>
                      <w:highlight w:val="none"/>
                    </w:rPr>
                    <w:t>≤0.</w:t>
                  </w:r>
                  <w:r>
                    <w:rPr>
                      <w:rFonts w:hint="eastAsia" w:ascii="Times New Roman" w:hAnsi="Times New Roman" w:eastAsia="宋体" w:cs="Times New Roman"/>
                      <w:color w:val="auto"/>
                      <w:szCs w:val="21"/>
                      <w:highlight w:val="none"/>
                      <w:lang w:val="en-US" w:eastAsia="zh-CN"/>
                    </w:rPr>
                    <w:t>3</w:t>
                  </w:r>
                </w:p>
              </w:tc>
              <w:tc>
                <w:tcPr>
                  <w:tcW w:w="1050" w:type="dxa"/>
                  <w:vMerge w:val="continue"/>
                  <w:tcBorders>
                    <w:tl2br w:val="nil"/>
                    <w:tr2bl w:val="nil"/>
                  </w:tcBorders>
                  <w:vAlign w:val="center"/>
                </w:tcPr>
                <w:p w14:paraId="470ED07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p>
              </w:tc>
              <w:tc>
                <w:tcPr>
                  <w:tcW w:w="3211" w:type="dxa"/>
                  <w:vMerge w:val="continue"/>
                  <w:tcBorders>
                    <w:tl2br w:val="nil"/>
                    <w:tr2bl w:val="nil"/>
                  </w:tcBorders>
                  <w:vAlign w:val="center"/>
                </w:tcPr>
                <w:p w14:paraId="6433EB5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p>
              </w:tc>
            </w:tr>
          </w:tbl>
          <w:p w14:paraId="59ADB0C4">
            <w:pPr>
              <w:keepNext w:val="0"/>
              <w:keepLines w:val="0"/>
              <w:suppressLineNumbers w:val="0"/>
              <w:adjustRightInd w:val="0"/>
              <w:snapToGrid w:val="0"/>
              <w:spacing w:before="159" w:beforeLines="50" w:beforeAutospacing="0" w:after="0" w:afterAutospacing="0" w:line="360" w:lineRule="auto"/>
              <w:ind w:left="0" w:right="0" w:firstLine="482" w:firstLineChars="200"/>
              <w:rPr>
                <w:rFonts w:hint="eastAsia" w:ascii="Times New Roman" w:hAnsi="Times New Roman" w:eastAsia="宋体"/>
                <w:b/>
                <w:bCs/>
                <w:color w:val="auto"/>
                <w:sz w:val="24"/>
                <w:szCs w:val="21"/>
                <w:highlight w:val="none"/>
                <w:lang w:val="en-US" w:eastAsia="zh-CN"/>
              </w:rPr>
            </w:pPr>
            <w:r>
              <w:rPr>
                <w:rFonts w:hint="default" w:ascii="Times New Roman" w:hAnsi="Times New Roman" w:eastAsia="宋体"/>
                <w:b/>
                <w:bCs/>
                <w:color w:val="auto"/>
                <w:sz w:val="24"/>
                <w:highlight w:val="none"/>
              </w:rPr>
              <w:t>3、声环境</w:t>
            </w:r>
            <w:r>
              <w:rPr>
                <w:rFonts w:hint="eastAsia" w:ascii="Times New Roman" w:hAnsi="Times New Roman" w:eastAsia="宋体"/>
                <w:b/>
                <w:bCs/>
                <w:color w:val="auto"/>
                <w:sz w:val="24"/>
                <w:highlight w:val="none"/>
                <w:lang w:val="en-US" w:eastAsia="zh-CN"/>
              </w:rPr>
              <w:t>质量标准</w:t>
            </w:r>
          </w:p>
          <w:p w14:paraId="361D036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b/>
                <w:color w:val="auto"/>
                <w:sz w:val="24"/>
                <w:szCs w:val="22"/>
              </w:rPr>
            </w:pPr>
            <w:r>
              <w:rPr>
                <w:rFonts w:hint="default" w:ascii="Times New Roman" w:hAnsi="Times New Roman" w:eastAsia="宋体"/>
                <w:color w:val="auto"/>
                <w:sz w:val="24"/>
                <w:szCs w:val="30"/>
              </w:rPr>
              <w:t>根据《市政府办公室关于印发无锡市区声环境功能区划分调整方案的通知》（</w:t>
            </w:r>
            <w:r>
              <w:rPr>
                <w:rFonts w:hint="eastAsia" w:ascii="Times New Roman" w:hAnsi="Times New Roman" w:eastAsia="宋体"/>
                <w:color w:val="auto"/>
                <w:sz w:val="24"/>
                <w:szCs w:val="30"/>
                <w:highlight w:val="none"/>
                <w:lang w:eastAsia="zh-CN"/>
              </w:rPr>
              <w:t>锡政办发〔2024〕32号</w:t>
            </w:r>
            <w:r>
              <w:rPr>
                <w:rFonts w:hint="default" w:ascii="Times New Roman" w:hAnsi="Times New Roman" w:eastAsia="宋体"/>
                <w:color w:val="auto"/>
                <w:sz w:val="24"/>
                <w:szCs w:val="30"/>
              </w:rPr>
              <w:t>）</w:t>
            </w:r>
            <w:r>
              <w:rPr>
                <w:rFonts w:hint="default" w:ascii="Times New Roman" w:hAnsi="Times New Roman" w:eastAsia="宋体"/>
                <w:color w:val="auto"/>
                <w:sz w:val="24"/>
              </w:rPr>
              <w:t>，</w:t>
            </w:r>
            <w:r>
              <w:rPr>
                <w:rFonts w:hint="default" w:ascii="Times New Roman" w:hAnsi="Times New Roman" w:eastAsia="宋体"/>
                <w:color w:val="auto"/>
                <w:sz w:val="24"/>
                <w:lang w:val="zh-CN"/>
              </w:rPr>
              <w:t>该区域为</w:t>
            </w:r>
            <w:r>
              <w:rPr>
                <w:rFonts w:hint="eastAsia" w:ascii="Times New Roman" w:hAnsi="Times New Roman" w:eastAsia="宋体"/>
                <w:color w:val="auto"/>
                <w:sz w:val="24"/>
                <w:lang w:val="en-US" w:eastAsia="zh-CN"/>
              </w:rPr>
              <w:t>2</w:t>
            </w:r>
            <w:r>
              <w:rPr>
                <w:rFonts w:hint="default" w:ascii="Times New Roman" w:hAnsi="Times New Roman" w:eastAsia="宋体"/>
                <w:color w:val="auto"/>
                <w:sz w:val="24"/>
                <w:lang w:val="zh-CN"/>
              </w:rPr>
              <w:t>类声功能区，故项目所在地环境噪声</w:t>
            </w:r>
            <w:r>
              <w:rPr>
                <w:rFonts w:hint="default" w:ascii="Times New Roman" w:hAnsi="Times New Roman" w:eastAsia="宋体"/>
                <w:bCs/>
                <w:snapToGrid w:val="0"/>
                <w:color w:val="auto"/>
                <w:kern w:val="0"/>
                <w:sz w:val="24"/>
              </w:rPr>
              <w:t>执行《声环境质量标准》</w:t>
            </w:r>
            <w:r>
              <w:rPr>
                <w:rFonts w:hint="eastAsia" w:ascii="Times New Roman" w:hAnsi="Times New Roman" w:eastAsia="宋体"/>
                <w:bCs/>
                <w:snapToGrid w:val="0"/>
                <w:color w:val="auto"/>
                <w:kern w:val="0"/>
                <w:sz w:val="24"/>
              </w:rPr>
              <w:t>（GB 3096-2008）</w:t>
            </w:r>
            <w:r>
              <w:rPr>
                <w:rFonts w:hint="eastAsia" w:ascii="Times New Roman" w:hAnsi="Times New Roman" w:eastAsia="宋体"/>
                <w:bCs/>
                <w:snapToGrid w:val="0"/>
                <w:color w:val="auto"/>
                <w:kern w:val="0"/>
                <w:sz w:val="24"/>
                <w:lang w:val="en-US" w:eastAsia="zh-CN"/>
              </w:rPr>
              <w:t>2</w:t>
            </w:r>
            <w:r>
              <w:rPr>
                <w:rFonts w:hint="default" w:ascii="Times New Roman" w:hAnsi="Times New Roman" w:eastAsia="宋体"/>
                <w:bCs/>
                <w:snapToGrid w:val="0"/>
                <w:color w:val="auto"/>
                <w:kern w:val="0"/>
                <w:sz w:val="24"/>
              </w:rPr>
              <w:t>类声环境功能区环境噪声限值，详见</w:t>
            </w:r>
            <w:r>
              <w:rPr>
                <w:rFonts w:hint="eastAsia" w:ascii="Times New Roman" w:hAnsi="Times New Roman" w:eastAsia="宋体"/>
                <w:bCs/>
                <w:snapToGrid w:val="0"/>
                <w:color w:val="auto"/>
                <w:kern w:val="0"/>
                <w:sz w:val="24"/>
                <w:lang w:eastAsia="zh-CN"/>
              </w:rPr>
              <w:t>下表</w:t>
            </w:r>
            <w:r>
              <w:rPr>
                <w:rFonts w:hint="default" w:ascii="Times New Roman" w:hAnsi="Times New Roman" w:eastAsia="宋体"/>
                <w:bCs/>
                <w:snapToGrid w:val="0"/>
                <w:color w:val="auto"/>
                <w:kern w:val="0"/>
                <w:sz w:val="24"/>
              </w:rPr>
              <w:t>。</w:t>
            </w:r>
          </w:p>
          <w:p w14:paraId="53532C6E">
            <w:pPr>
              <w:pStyle w:val="10"/>
              <w:keepNext w:val="0"/>
              <w:keepLines w:val="0"/>
              <w:numPr>
                <w:ilvl w:val="0"/>
                <w:numId w:val="0"/>
              </w:numPr>
              <w:suppressLineNumbers w:val="0"/>
              <w:spacing w:before="0" w:beforeAutospacing="0" w:after="0" w:afterAutospacing="0"/>
              <w:ind w:left="425" w:leftChars="0" w:right="0" w:hanging="425" w:firstLineChars="0"/>
              <w:jc w:val="center"/>
              <w:rPr>
                <w:rFonts w:hint="eastAsia" w:ascii="Times New Roman" w:hAnsi="Times New Roman" w:eastAsia="宋体"/>
                <w:b/>
                <w:bCs/>
                <w:color w:val="auto"/>
                <w:lang w:val="en-US" w:eastAsia="zh-CN"/>
              </w:rPr>
            </w:pPr>
            <w:r>
              <w:rPr>
                <w:rFonts w:hint="default" w:ascii="Times New Roman" w:hAnsi="Times New Roman" w:eastAsia="宋体" w:cs="Times New Roman"/>
                <w:b/>
                <w:bCs/>
                <w:color w:val="auto"/>
                <w:kern w:val="0"/>
                <w:sz w:val="24"/>
                <w:szCs w:val="20"/>
                <w:lang w:val="en-US" w:eastAsia="zh-CN" w:bidi="ar-SA"/>
              </w:rPr>
              <w:t>表3-</w:t>
            </w:r>
            <w:r>
              <w:rPr>
                <w:rFonts w:hint="eastAsia" w:ascii="Times New Roman" w:hAnsi="Times New Roman" w:eastAsia="宋体" w:cs="Times New Roman"/>
                <w:b/>
                <w:bCs/>
                <w:color w:val="auto"/>
                <w:kern w:val="0"/>
                <w:sz w:val="24"/>
                <w:szCs w:val="20"/>
                <w:lang w:val="en-US" w:eastAsia="zh-CN" w:bidi="ar-SA"/>
              </w:rPr>
              <w:t xml:space="preserve">9  </w:t>
            </w:r>
            <w:r>
              <w:rPr>
                <w:rFonts w:hint="eastAsia" w:ascii="Times New Roman" w:hAnsi="Times New Roman" w:eastAsia="宋体"/>
                <w:b/>
                <w:bCs/>
                <w:color w:val="auto"/>
                <w:lang w:val="en-US" w:eastAsia="zh-CN"/>
              </w:rPr>
              <w:t>环境噪声限值   单位：dB(A)</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91"/>
              <w:gridCol w:w="1447"/>
              <w:gridCol w:w="1449"/>
              <w:gridCol w:w="3820"/>
            </w:tblGrid>
            <w:tr w14:paraId="66AA91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pct"/>
                  <w:noWrap w:val="0"/>
                  <w:vAlign w:val="center"/>
                </w:tcPr>
                <w:p w14:paraId="067BF9A4">
                  <w:pPr>
                    <w:keepNext w:val="0"/>
                    <w:keepLines w:val="0"/>
                    <w:suppressLineNumbers w:val="0"/>
                    <w:spacing w:before="0" w:beforeAutospacing="0" w:after="0" w:afterAutospacing="0"/>
                    <w:ind w:left="0" w:right="0"/>
                    <w:jc w:val="center"/>
                    <w:rPr>
                      <w:rFonts w:hint="default" w:ascii="Times New Roman" w:hAnsi="Times New Roman" w:eastAsia="宋体"/>
                      <w:b/>
                      <w:color w:val="auto"/>
                    </w:rPr>
                  </w:pPr>
                  <w:r>
                    <w:rPr>
                      <w:rFonts w:hint="default" w:ascii="Times New Roman" w:hAnsi="Times New Roman" w:eastAsia="宋体"/>
                      <w:b/>
                      <w:color w:val="auto"/>
                    </w:rPr>
                    <w:t>声环境功能区类别</w:t>
                  </w:r>
                </w:p>
              </w:tc>
              <w:tc>
                <w:tcPr>
                  <w:tcW w:w="803" w:type="pct"/>
                  <w:noWrap w:val="0"/>
                  <w:vAlign w:val="center"/>
                </w:tcPr>
                <w:p w14:paraId="091C3921">
                  <w:pPr>
                    <w:keepNext w:val="0"/>
                    <w:keepLines w:val="0"/>
                    <w:suppressLineNumbers w:val="0"/>
                    <w:spacing w:before="0" w:beforeAutospacing="0" w:after="0" w:afterAutospacing="0"/>
                    <w:ind w:left="0" w:right="0"/>
                    <w:jc w:val="center"/>
                    <w:rPr>
                      <w:rFonts w:hint="default" w:ascii="Times New Roman" w:hAnsi="Times New Roman" w:eastAsia="宋体"/>
                      <w:b/>
                      <w:color w:val="auto"/>
                    </w:rPr>
                  </w:pPr>
                  <w:r>
                    <w:rPr>
                      <w:rFonts w:hint="default" w:ascii="Times New Roman" w:hAnsi="Times New Roman" w:eastAsia="宋体"/>
                      <w:b/>
                      <w:color w:val="auto"/>
                    </w:rPr>
                    <w:t>昼间</w:t>
                  </w:r>
                </w:p>
              </w:tc>
              <w:tc>
                <w:tcPr>
                  <w:tcW w:w="804" w:type="pct"/>
                  <w:noWrap w:val="0"/>
                  <w:vAlign w:val="center"/>
                </w:tcPr>
                <w:p w14:paraId="28FE8CC6">
                  <w:pPr>
                    <w:keepNext w:val="0"/>
                    <w:keepLines w:val="0"/>
                    <w:suppressLineNumbers w:val="0"/>
                    <w:spacing w:before="0" w:beforeAutospacing="0" w:after="0" w:afterAutospacing="0"/>
                    <w:ind w:left="0" w:right="0"/>
                    <w:jc w:val="center"/>
                    <w:rPr>
                      <w:rFonts w:hint="default" w:ascii="Times New Roman" w:hAnsi="Times New Roman" w:eastAsia="宋体"/>
                      <w:b/>
                      <w:color w:val="auto"/>
                    </w:rPr>
                  </w:pPr>
                  <w:r>
                    <w:rPr>
                      <w:rFonts w:hint="default" w:ascii="Times New Roman" w:hAnsi="Times New Roman" w:eastAsia="宋体"/>
                      <w:b/>
                      <w:color w:val="auto"/>
                    </w:rPr>
                    <w:t>夜间</w:t>
                  </w:r>
                </w:p>
              </w:tc>
              <w:tc>
                <w:tcPr>
                  <w:tcW w:w="2119" w:type="pct"/>
                  <w:noWrap w:val="0"/>
                  <w:vAlign w:val="center"/>
                </w:tcPr>
                <w:p w14:paraId="4D1B20DD">
                  <w:pPr>
                    <w:keepNext w:val="0"/>
                    <w:keepLines w:val="0"/>
                    <w:suppressLineNumbers w:val="0"/>
                    <w:spacing w:before="0" w:beforeAutospacing="0" w:after="0" w:afterAutospacing="0"/>
                    <w:ind w:left="0" w:right="0"/>
                    <w:jc w:val="center"/>
                    <w:rPr>
                      <w:rFonts w:hint="default" w:ascii="Times New Roman" w:hAnsi="Times New Roman" w:eastAsia="宋体"/>
                      <w:b/>
                      <w:color w:val="auto"/>
                    </w:rPr>
                  </w:pPr>
                  <w:r>
                    <w:rPr>
                      <w:rFonts w:hint="default" w:ascii="Times New Roman" w:hAnsi="Times New Roman" w:eastAsia="宋体"/>
                      <w:b/>
                      <w:bCs/>
                      <w:color w:val="auto"/>
                      <w:szCs w:val="21"/>
                      <w:highlight w:val="none"/>
                    </w:rPr>
                    <w:t>标准来源</w:t>
                  </w:r>
                </w:p>
              </w:tc>
            </w:tr>
            <w:tr w14:paraId="0CF471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pct"/>
                  <w:noWrap w:val="0"/>
                  <w:vAlign w:val="center"/>
                </w:tcPr>
                <w:p w14:paraId="3C168991">
                  <w:pPr>
                    <w:keepNext w:val="0"/>
                    <w:keepLines w:val="0"/>
                    <w:suppressLineNumbers w:val="0"/>
                    <w:spacing w:before="0" w:beforeAutospacing="0" w:after="0" w:afterAutospacing="0"/>
                    <w:ind w:left="0" w:right="0"/>
                    <w:jc w:val="center"/>
                    <w:rPr>
                      <w:rFonts w:hint="default" w:ascii="Times New Roman" w:hAnsi="Times New Roman" w:eastAsia="宋体"/>
                      <w:color w:val="auto"/>
                    </w:rPr>
                  </w:pPr>
                  <w:r>
                    <w:rPr>
                      <w:rFonts w:hint="eastAsia" w:ascii="Times New Roman" w:hAnsi="Times New Roman" w:eastAsia="宋体"/>
                      <w:color w:val="auto"/>
                      <w:lang w:val="en-US" w:eastAsia="zh-CN"/>
                    </w:rPr>
                    <w:t>2</w:t>
                  </w:r>
                  <w:r>
                    <w:rPr>
                      <w:rFonts w:hint="default" w:ascii="Times New Roman" w:hAnsi="Times New Roman" w:eastAsia="宋体"/>
                      <w:color w:val="auto"/>
                    </w:rPr>
                    <w:t>类</w:t>
                  </w:r>
                </w:p>
              </w:tc>
              <w:tc>
                <w:tcPr>
                  <w:tcW w:w="803" w:type="pct"/>
                  <w:noWrap w:val="0"/>
                  <w:vAlign w:val="center"/>
                </w:tcPr>
                <w:p w14:paraId="26A85B6A">
                  <w:pPr>
                    <w:keepNext w:val="0"/>
                    <w:keepLines w:val="0"/>
                    <w:suppressLineNumbers w:val="0"/>
                    <w:spacing w:before="0" w:beforeAutospacing="0" w:after="0" w:afterAutospacing="0"/>
                    <w:ind w:left="0" w:right="0"/>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60</w:t>
                  </w:r>
                </w:p>
              </w:tc>
              <w:tc>
                <w:tcPr>
                  <w:tcW w:w="804" w:type="pct"/>
                  <w:noWrap w:val="0"/>
                  <w:vAlign w:val="center"/>
                </w:tcPr>
                <w:p w14:paraId="555F46B7">
                  <w:pPr>
                    <w:keepNext w:val="0"/>
                    <w:keepLines w:val="0"/>
                    <w:suppressLineNumbers w:val="0"/>
                    <w:spacing w:before="0" w:beforeAutospacing="0" w:after="0" w:afterAutospacing="0"/>
                    <w:ind w:left="0" w:right="0"/>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50</w:t>
                  </w:r>
                </w:p>
              </w:tc>
              <w:tc>
                <w:tcPr>
                  <w:tcW w:w="2119" w:type="pct"/>
                  <w:noWrap w:val="0"/>
                  <w:vAlign w:val="center"/>
                </w:tcPr>
                <w:p w14:paraId="16438A34">
                  <w:pPr>
                    <w:keepNext w:val="0"/>
                    <w:keepLines w:val="0"/>
                    <w:suppressLineNumbers w:val="0"/>
                    <w:spacing w:before="0" w:beforeAutospacing="0" w:after="0" w:afterAutospacing="0"/>
                    <w:ind w:left="0" w:right="0"/>
                    <w:jc w:val="center"/>
                    <w:rPr>
                      <w:rFonts w:hint="eastAsia" w:ascii="Times New Roman" w:hAnsi="Times New Roman" w:eastAsia="宋体"/>
                      <w:color w:val="auto"/>
                      <w:lang w:val="en-US" w:eastAsia="zh-CN"/>
                    </w:rPr>
                  </w:pPr>
                  <w:r>
                    <w:rPr>
                      <w:rFonts w:hint="eastAsia" w:ascii="Times New Roman" w:hAnsi="Times New Roman" w:eastAsia="宋体"/>
                      <w:color w:val="auto"/>
                      <w:highlight w:val="none"/>
                    </w:rPr>
                    <w:t>《声环境质量标准》（GB 3096-2008）</w:t>
                  </w:r>
                </w:p>
              </w:tc>
            </w:tr>
          </w:tbl>
          <w:p w14:paraId="01D20A73">
            <w:pPr>
              <w:keepNext w:val="0"/>
              <w:keepLines w:val="0"/>
              <w:pageBreakBefore w:val="0"/>
              <w:widowControl w:val="0"/>
              <w:suppressLineNumbers w:val="0"/>
              <w:tabs>
                <w:tab w:val="left" w:pos="180"/>
              </w:tabs>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b/>
                <w:color w:val="auto"/>
                <w:sz w:val="24"/>
                <w:highlight w:val="none"/>
              </w:rPr>
            </w:pPr>
            <w:r>
              <w:rPr>
                <w:rFonts w:hint="default" w:ascii="Times New Roman" w:hAnsi="Times New Roman" w:eastAsia="宋体"/>
                <w:b/>
                <w:color w:val="auto"/>
                <w:sz w:val="24"/>
                <w:highlight w:val="none"/>
              </w:rPr>
              <w:t>二、污染物排放标准</w:t>
            </w:r>
          </w:p>
          <w:p w14:paraId="05C6B477">
            <w:pPr>
              <w:keepNext w:val="0"/>
              <w:keepLines w:val="0"/>
              <w:pageBreakBefore w:val="0"/>
              <w:suppressLineNumbers w:val="0"/>
              <w:tabs>
                <w:tab w:val="left" w:pos="180"/>
              </w:tabs>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b/>
                <w:color w:val="auto"/>
                <w:sz w:val="24"/>
                <w:highlight w:val="none"/>
              </w:rPr>
            </w:pPr>
            <w:r>
              <w:rPr>
                <w:rFonts w:hint="default" w:ascii="Times New Roman" w:hAnsi="Times New Roman" w:eastAsia="宋体"/>
                <w:b/>
                <w:color w:val="auto"/>
                <w:sz w:val="24"/>
                <w:highlight w:val="none"/>
              </w:rPr>
              <w:t>1、废气排放标准：</w:t>
            </w:r>
          </w:p>
          <w:p w14:paraId="69CD5F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Times New Roman" w:hAnsi="Times New Roman" w:eastAsia="宋体" w:cs="宋体"/>
                <w:b w:val="0"/>
                <w:bCs w:val="0"/>
                <w:color w:val="auto"/>
                <w:sz w:val="24"/>
                <w:szCs w:val="24"/>
                <w:highlight w:val="none"/>
                <w:lang w:val="en-US" w:eastAsia="zh-CN"/>
              </w:rPr>
            </w:pPr>
            <w:r>
              <w:rPr>
                <w:rFonts w:hint="eastAsia" w:ascii="Times New Roman" w:hAnsi="Times New Roman" w:eastAsia="宋体" w:cs="宋体"/>
                <w:b/>
                <w:bCs/>
                <w:color w:val="auto"/>
                <w:sz w:val="24"/>
                <w:szCs w:val="24"/>
                <w:highlight w:val="none"/>
                <w:lang w:val="en-US" w:eastAsia="zh-CN"/>
              </w:rPr>
              <w:t>有组织：</w:t>
            </w:r>
            <w:r>
              <w:rPr>
                <w:rFonts w:hint="eastAsia" w:ascii="Times New Roman" w:hAnsi="Times New Roman" w:eastAsia="宋体" w:cs="宋体"/>
                <w:b w:val="0"/>
                <w:bCs w:val="0"/>
                <w:color w:val="auto"/>
                <w:sz w:val="24"/>
                <w:szCs w:val="24"/>
                <w:highlight w:val="none"/>
                <w:lang w:val="en-US" w:eastAsia="zh-CN"/>
              </w:rPr>
              <w:t>本项目非甲烷总烃、甲醇执行江苏省《制药工业大气污染物排放标准》（DB32/4042-2021） 表 1、表 2、表 C.1 限值；</w:t>
            </w:r>
          </w:p>
          <w:p w14:paraId="45D947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Times New Roman" w:hAnsi="Times New Roman" w:eastAsia="宋体" w:cs="宋体"/>
                <w:b w:val="0"/>
                <w:bCs w:val="0"/>
                <w:color w:val="auto"/>
                <w:sz w:val="24"/>
                <w:szCs w:val="24"/>
                <w:highlight w:val="none"/>
                <w:lang w:val="en-US" w:eastAsia="zh-CN"/>
              </w:rPr>
            </w:pPr>
            <w:r>
              <w:rPr>
                <w:rFonts w:hint="eastAsia" w:cs="宋体"/>
                <w:b/>
                <w:bCs/>
                <w:color w:val="auto"/>
                <w:sz w:val="24"/>
                <w:szCs w:val="24"/>
                <w:highlight w:val="none"/>
                <w:lang w:val="en-US" w:eastAsia="zh-CN"/>
              </w:rPr>
              <w:t>厂界</w:t>
            </w:r>
            <w:r>
              <w:rPr>
                <w:rFonts w:hint="eastAsia" w:ascii="Times New Roman" w:hAnsi="Times New Roman" w:eastAsia="宋体" w:cs="宋体"/>
                <w:b/>
                <w:bCs/>
                <w:color w:val="auto"/>
                <w:sz w:val="24"/>
                <w:szCs w:val="24"/>
                <w:highlight w:val="none"/>
                <w:lang w:val="en-US" w:eastAsia="zh-CN"/>
              </w:rPr>
              <w:t>无组织：</w:t>
            </w:r>
            <w:r>
              <w:rPr>
                <w:rFonts w:hint="eastAsia" w:cs="宋体"/>
                <w:b w:val="0"/>
                <w:bCs w:val="0"/>
                <w:color w:val="auto"/>
                <w:sz w:val="24"/>
                <w:szCs w:val="24"/>
                <w:highlight w:val="none"/>
                <w:lang w:val="en-US" w:eastAsia="zh-CN"/>
              </w:rPr>
              <w:t>本项目厂界</w:t>
            </w:r>
            <w:r>
              <w:rPr>
                <w:rFonts w:hint="eastAsia" w:ascii="Times New Roman" w:hAnsi="Times New Roman" w:eastAsia="宋体" w:cs="宋体"/>
                <w:b w:val="0"/>
                <w:bCs w:val="0"/>
                <w:color w:val="auto"/>
                <w:sz w:val="24"/>
                <w:szCs w:val="24"/>
                <w:highlight w:val="none"/>
                <w:lang w:val="en-US" w:eastAsia="zh-CN"/>
              </w:rPr>
              <w:t>无组织非甲烷总烃、甲醇执行江苏省《大气污染物综合排放标准》（DB32/4041-2021）表 3 标准限值；</w:t>
            </w:r>
          </w:p>
          <w:p w14:paraId="3D3CAC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Times New Roman" w:hAnsi="Times New Roman" w:eastAsia="宋体"/>
                <w:b/>
                <w:bCs/>
                <w:color w:val="auto"/>
                <w:highlight w:val="none"/>
              </w:rPr>
            </w:pPr>
            <w:r>
              <w:rPr>
                <w:rFonts w:hint="eastAsia" w:cs="宋体"/>
                <w:b/>
                <w:bCs/>
                <w:color w:val="auto"/>
                <w:sz w:val="24"/>
                <w:szCs w:val="24"/>
                <w:highlight w:val="none"/>
                <w:lang w:val="en-US" w:eastAsia="zh-CN"/>
              </w:rPr>
              <w:t>厂区内无组织</w:t>
            </w:r>
            <w:r>
              <w:rPr>
                <w:rFonts w:hint="eastAsia" w:ascii="Times New Roman" w:hAnsi="Times New Roman" w:eastAsia="宋体" w:cs="宋体"/>
                <w:b/>
                <w:bCs/>
                <w:color w:val="auto"/>
                <w:sz w:val="24"/>
                <w:szCs w:val="24"/>
                <w:highlight w:val="none"/>
                <w:lang w:val="en-US" w:eastAsia="zh-CN"/>
              </w:rPr>
              <w:t>：</w:t>
            </w:r>
            <w:r>
              <w:rPr>
                <w:rFonts w:hint="eastAsia" w:cs="宋体"/>
                <w:b w:val="0"/>
                <w:bCs w:val="0"/>
                <w:color w:val="auto"/>
                <w:sz w:val="24"/>
                <w:szCs w:val="24"/>
                <w:highlight w:val="none"/>
                <w:lang w:val="en-US" w:eastAsia="zh-CN"/>
              </w:rPr>
              <w:t>本项目</w:t>
            </w:r>
            <w:r>
              <w:rPr>
                <w:rFonts w:hint="eastAsia" w:ascii="Times New Roman" w:hAnsi="Times New Roman" w:eastAsia="宋体" w:cs="宋体"/>
                <w:b w:val="0"/>
                <w:bCs w:val="0"/>
                <w:color w:val="auto"/>
                <w:sz w:val="24"/>
                <w:szCs w:val="24"/>
                <w:highlight w:val="none"/>
                <w:lang w:val="en-US" w:eastAsia="zh-CN"/>
              </w:rPr>
              <w:t>厂区内无组织非甲烷总烃排放限值执行</w:t>
            </w:r>
            <w:r>
              <w:rPr>
                <w:rFonts w:hint="eastAsia" w:cs="宋体"/>
                <w:b w:val="0"/>
                <w:bCs w:val="0"/>
                <w:color w:val="auto"/>
                <w:sz w:val="24"/>
                <w:szCs w:val="24"/>
                <w:highlight w:val="none"/>
                <w:lang w:val="en-US" w:eastAsia="zh-CN"/>
              </w:rPr>
              <w:t>江苏省</w:t>
            </w:r>
            <w:r>
              <w:rPr>
                <w:rFonts w:hint="eastAsia" w:ascii="Times New Roman" w:hAnsi="Times New Roman" w:eastAsia="宋体" w:cs="宋体"/>
                <w:b w:val="0"/>
                <w:bCs w:val="0"/>
                <w:color w:val="auto"/>
                <w:sz w:val="24"/>
                <w:szCs w:val="24"/>
                <w:highlight w:val="none"/>
                <w:lang w:val="en-US" w:eastAsia="zh-CN"/>
              </w:rPr>
              <w:t>《制药工业大气污染物排放标准》（DB 32/4042-2021）表 6 限值。具体排放限值见下</w:t>
            </w:r>
            <w:r>
              <w:rPr>
                <w:rFonts w:hint="eastAsia" w:ascii="Times New Roman" w:hAnsi="Times New Roman" w:eastAsia="宋体" w:cs="宋体"/>
                <w:b/>
                <w:bCs/>
                <w:color w:val="auto"/>
                <w:sz w:val="24"/>
                <w:szCs w:val="24"/>
                <w:highlight w:val="none"/>
                <w:lang w:val="en-US" w:eastAsia="zh-CN"/>
              </w:rPr>
              <w:t>表</w:t>
            </w:r>
            <w:r>
              <w:rPr>
                <w:rFonts w:hint="eastAsia" w:cs="宋体"/>
                <w:b/>
                <w:bCs/>
                <w:color w:val="auto"/>
                <w:sz w:val="24"/>
                <w:szCs w:val="24"/>
                <w:highlight w:val="none"/>
                <w:lang w:val="en-US" w:eastAsia="zh-CN"/>
              </w:rPr>
              <w:t>3-10、3-11、3-12</w:t>
            </w:r>
            <w:r>
              <w:rPr>
                <w:rFonts w:hint="eastAsia" w:ascii="Times New Roman" w:hAnsi="Times New Roman" w:eastAsia="宋体" w:cs="宋体"/>
                <w:b w:val="0"/>
                <w:bCs w:val="0"/>
                <w:color w:val="auto"/>
                <w:sz w:val="24"/>
                <w:szCs w:val="24"/>
                <w:highlight w:val="none"/>
                <w:lang w:val="en-US" w:eastAsia="zh-CN"/>
              </w:rPr>
              <w:t>。</w:t>
            </w:r>
          </w:p>
          <w:p w14:paraId="2A209D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82" w:firstLineChars="200"/>
              <w:jc w:val="center"/>
              <w:textAlignment w:val="auto"/>
              <w:rPr>
                <w:rFonts w:hint="default" w:ascii="Times New Roman" w:hAnsi="Times New Roman" w:eastAsia="宋体"/>
                <w:b/>
                <w:bCs/>
                <w:color w:val="auto"/>
                <w:sz w:val="24"/>
                <w:szCs w:val="21"/>
                <w:highlight w:val="none"/>
              </w:rPr>
            </w:pPr>
            <w:r>
              <w:rPr>
                <w:rFonts w:hint="default" w:ascii="Times New Roman" w:hAnsi="Times New Roman" w:eastAsia="宋体" w:cs="宋体"/>
                <w:b/>
                <w:bCs/>
                <w:color w:val="auto"/>
                <w:kern w:val="2"/>
                <w:sz w:val="24"/>
                <w:szCs w:val="24"/>
                <w:highlight w:val="none"/>
                <w:lang w:val="en-US" w:eastAsia="zh-CN" w:bidi="ar-SA"/>
              </w:rPr>
              <w:t>表3-</w:t>
            </w:r>
            <w:r>
              <w:rPr>
                <w:rFonts w:hint="eastAsia" w:ascii="Times New Roman" w:hAnsi="Times New Roman" w:eastAsia="宋体" w:cs="宋体"/>
                <w:b/>
                <w:bCs/>
                <w:color w:val="auto"/>
                <w:kern w:val="2"/>
                <w:sz w:val="24"/>
                <w:szCs w:val="24"/>
                <w:highlight w:val="none"/>
                <w:lang w:val="en-US" w:eastAsia="zh-CN" w:bidi="ar-SA"/>
              </w:rPr>
              <w:t xml:space="preserve">10  </w:t>
            </w:r>
            <w:r>
              <w:rPr>
                <w:rFonts w:hint="default" w:ascii="Times New Roman" w:hAnsi="Times New Roman" w:eastAsia="宋体"/>
                <w:b/>
                <w:bCs/>
                <w:color w:val="auto"/>
                <w:sz w:val="24"/>
                <w:highlight w:val="none"/>
              </w:rPr>
              <w:t>大气污染物排放标准限值表</w:t>
            </w:r>
          </w:p>
          <w:tbl>
            <w:tblPr>
              <w:tblStyle w:val="25"/>
              <w:tblW w:w="483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574"/>
              <w:gridCol w:w="2106"/>
              <w:gridCol w:w="1057"/>
              <w:gridCol w:w="1219"/>
              <w:gridCol w:w="1057"/>
              <w:gridCol w:w="2072"/>
            </w:tblGrid>
            <w:tr w14:paraId="0333A4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34" w:type="pct"/>
                  <w:vMerge w:val="restart"/>
                  <w:tcBorders>
                    <w:bottom w:val="single" w:color="auto" w:sz="2" w:space="0"/>
                    <w:right w:val="single" w:color="auto" w:sz="2" w:space="0"/>
                  </w:tcBorders>
                  <w:vAlign w:val="center"/>
                </w:tcPr>
                <w:p w14:paraId="35353376">
                  <w:pPr>
                    <w:keepNext w:val="0"/>
                    <w:keepLines w:val="0"/>
                    <w:suppressLineNumbers w:val="0"/>
                    <w:adjustRightInd w:val="0"/>
                    <w:snapToGrid w:val="0"/>
                    <w:spacing w:before="0" w:beforeAutospacing="0" w:after="0" w:afterAutospacing="0"/>
                    <w:ind w:left="0" w:right="0"/>
                    <w:jc w:val="center"/>
                    <w:rPr>
                      <w:rFonts w:hint="default"/>
                      <w:b/>
                      <w:bCs/>
                      <w:color w:val="auto"/>
                      <w:sz w:val="21"/>
                      <w:szCs w:val="21"/>
                      <w:highlight w:val="none"/>
                      <w:lang w:val="en-US" w:eastAsia="zh-CN"/>
                    </w:rPr>
                  </w:pPr>
                  <w:r>
                    <w:rPr>
                      <w:rFonts w:hint="eastAsia"/>
                      <w:b/>
                      <w:bCs/>
                      <w:color w:val="auto"/>
                      <w:sz w:val="21"/>
                      <w:szCs w:val="21"/>
                      <w:highlight w:val="none"/>
                      <w:lang w:val="en-US" w:eastAsia="zh-CN"/>
                    </w:rPr>
                    <w:t>产生工段</w:t>
                  </w:r>
                </w:p>
              </w:tc>
              <w:tc>
                <w:tcPr>
                  <w:tcW w:w="335" w:type="pct"/>
                  <w:vMerge w:val="restart"/>
                  <w:tcBorders>
                    <w:left w:val="single" w:color="auto" w:sz="2" w:space="0"/>
                    <w:bottom w:val="single" w:color="auto" w:sz="2" w:space="0"/>
                    <w:right w:val="single" w:color="auto" w:sz="2" w:space="0"/>
                  </w:tcBorders>
                  <w:vAlign w:val="center"/>
                </w:tcPr>
                <w:p w14:paraId="7C4E0B9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 w:val="21"/>
                      <w:szCs w:val="21"/>
                      <w:highlight w:val="none"/>
                      <w:lang w:val="en-US" w:eastAsia="zh-CN"/>
                    </w:rPr>
                  </w:pPr>
                  <w:r>
                    <w:rPr>
                      <w:rFonts w:hint="eastAsia"/>
                      <w:b/>
                      <w:bCs/>
                      <w:color w:val="auto"/>
                      <w:sz w:val="21"/>
                      <w:szCs w:val="21"/>
                      <w:highlight w:val="none"/>
                      <w:lang w:val="en-US" w:eastAsia="zh-CN"/>
                    </w:rPr>
                    <w:t>污染物名称</w:t>
                  </w:r>
                </w:p>
              </w:tc>
              <w:tc>
                <w:tcPr>
                  <w:tcW w:w="1207" w:type="pct"/>
                  <w:vMerge w:val="restart"/>
                  <w:tcBorders>
                    <w:left w:val="single" w:color="auto" w:sz="2" w:space="0"/>
                    <w:bottom w:val="single" w:color="auto" w:sz="2" w:space="0"/>
                    <w:right w:val="single" w:color="auto" w:sz="2" w:space="0"/>
                  </w:tcBorders>
                  <w:vAlign w:val="center"/>
                </w:tcPr>
                <w:p w14:paraId="20C73CB7">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b/>
                      <w:bCs/>
                      <w:color w:val="auto"/>
                      <w:sz w:val="21"/>
                      <w:szCs w:val="21"/>
                      <w:highlight w:val="none"/>
                      <w:lang w:val="en-US" w:eastAsia="zh-CN"/>
                    </w:rPr>
                  </w:pPr>
                  <w:r>
                    <w:rPr>
                      <w:rFonts w:hint="eastAsia"/>
                      <w:b/>
                      <w:bCs/>
                      <w:color w:val="auto"/>
                      <w:sz w:val="21"/>
                      <w:szCs w:val="21"/>
                      <w:highlight w:val="none"/>
                      <w:lang w:val="en-US" w:eastAsia="zh-CN"/>
                    </w:rPr>
                    <w:t>执行标准</w:t>
                  </w:r>
                </w:p>
              </w:tc>
              <w:tc>
                <w:tcPr>
                  <w:tcW w:w="612" w:type="pct"/>
                  <w:vMerge w:val="restart"/>
                  <w:tcBorders>
                    <w:left w:val="single" w:color="auto" w:sz="2" w:space="0"/>
                    <w:bottom w:val="single" w:color="auto" w:sz="2" w:space="0"/>
                    <w:right w:val="single" w:color="auto" w:sz="2" w:space="0"/>
                  </w:tcBorders>
                  <w:vAlign w:val="center"/>
                </w:tcPr>
                <w:p w14:paraId="4BC6A4E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b/>
                      <w:bCs/>
                      <w:color w:val="auto"/>
                      <w:sz w:val="21"/>
                      <w:szCs w:val="21"/>
                      <w:highlight w:val="none"/>
                      <w:lang w:val="en-US" w:eastAsia="zh-CN"/>
                    </w:rPr>
                  </w:pPr>
                  <w:r>
                    <w:rPr>
                      <w:rFonts w:hint="eastAsia"/>
                      <w:b/>
                      <w:bCs/>
                      <w:color w:val="auto"/>
                      <w:sz w:val="21"/>
                      <w:szCs w:val="21"/>
                      <w:highlight w:val="none"/>
                      <w:lang w:val="en-US" w:eastAsia="zh-CN"/>
                    </w:rPr>
                    <w:t>取值表号及级别</w:t>
                  </w:r>
                </w:p>
              </w:tc>
              <w:tc>
                <w:tcPr>
                  <w:tcW w:w="1316" w:type="pct"/>
                  <w:gridSpan w:val="2"/>
                  <w:tcBorders>
                    <w:left w:val="single" w:color="auto" w:sz="2" w:space="0"/>
                    <w:bottom w:val="single" w:color="auto" w:sz="2" w:space="0"/>
                    <w:right w:val="single" w:color="auto" w:sz="2" w:space="0"/>
                  </w:tcBorders>
                  <w:vAlign w:val="center"/>
                </w:tcPr>
                <w:p w14:paraId="27214EE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b/>
                      <w:bCs/>
                      <w:color w:val="auto"/>
                      <w:sz w:val="21"/>
                      <w:szCs w:val="21"/>
                      <w:highlight w:val="none"/>
                      <w:lang w:val="en-US" w:eastAsia="zh-CN"/>
                    </w:rPr>
                  </w:pPr>
                  <w:r>
                    <w:rPr>
                      <w:rFonts w:hint="eastAsia"/>
                      <w:b/>
                      <w:bCs/>
                      <w:color w:val="auto"/>
                      <w:sz w:val="21"/>
                      <w:szCs w:val="21"/>
                      <w:highlight w:val="none"/>
                      <w:lang w:val="en-US" w:eastAsia="zh-CN"/>
                    </w:rPr>
                    <w:t>标准限制</w:t>
                  </w:r>
                </w:p>
              </w:tc>
              <w:tc>
                <w:tcPr>
                  <w:tcW w:w="1193" w:type="pct"/>
                  <w:vMerge w:val="restart"/>
                  <w:tcBorders>
                    <w:left w:val="single" w:color="auto" w:sz="2" w:space="0"/>
                    <w:bottom w:val="single" w:color="auto" w:sz="2" w:space="0"/>
                  </w:tcBorders>
                  <w:vAlign w:val="center"/>
                </w:tcPr>
                <w:p w14:paraId="317CE31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 w:val="21"/>
                      <w:szCs w:val="21"/>
                      <w:highlight w:val="none"/>
                      <w:lang w:val="en-US" w:eastAsia="zh-CN"/>
                    </w:rPr>
                  </w:pPr>
                  <w:r>
                    <w:rPr>
                      <w:rFonts w:hint="eastAsia"/>
                      <w:b/>
                      <w:bCs/>
                      <w:color w:val="auto"/>
                      <w:sz w:val="21"/>
                      <w:szCs w:val="21"/>
                      <w:highlight w:val="none"/>
                      <w:lang w:val="en-US" w:eastAsia="zh-CN"/>
                    </w:rPr>
                    <w:t xml:space="preserve">   排气筒高度   </w:t>
                  </w:r>
                </w:p>
              </w:tc>
            </w:tr>
            <w:tr w14:paraId="09D434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334" w:type="pct"/>
                  <w:vMerge w:val="continue"/>
                  <w:tcBorders>
                    <w:top w:val="single" w:color="auto" w:sz="2" w:space="0"/>
                    <w:bottom w:val="single" w:color="auto" w:sz="2" w:space="0"/>
                    <w:right w:val="single" w:color="auto" w:sz="2" w:space="0"/>
                  </w:tcBorders>
                  <w:vAlign w:val="center"/>
                </w:tcPr>
                <w:p w14:paraId="47871EE5">
                  <w:pPr>
                    <w:keepNext w:val="0"/>
                    <w:keepLines w:val="0"/>
                    <w:suppressLineNumbers w:val="0"/>
                    <w:adjustRightInd w:val="0"/>
                    <w:snapToGrid w:val="0"/>
                    <w:spacing w:before="0" w:beforeAutospacing="0" w:after="0" w:afterAutospacing="0"/>
                    <w:ind w:left="0" w:right="0"/>
                    <w:jc w:val="center"/>
                    <w:rPr>
                      <w:rFonts w:hint="eastAsia"/>
                      <w:b/>
                      <w:bCs/>
                      <w:color w:val="auto"/>
                      <w:sz w:val="21"/>
                      <w:szCs w:val="21"/>
                      <w:highlight w:val="none"/>
                      <w:lang w:val="en-US" w:eastAsia="zh-CN"/>
                    </w:rPr>
                  </w:pPr>
                </w:p>
              </w:tc>
              <w:tc>
                <w:tcPr>
                  <w:tcW w:w="335" w:type="pct"/>
                  <w:vMerge w:val="continue"/>
                  <w:tcBorders>
                    <w:top w:val="single" w:color="auto" w:sz="2" w:space="0"/>
                    <w:left w:val="single" w:color="auto" w:sz="2" w:space="0"/>
                    <w:bottom w:val="single" w:color="auto" w:sz="2" w:space="0"/>
                    <w:right w:val="single" w:color="auto" w:sz="2" w:space="0"/>
                  </w:tcBorders>
                  <w:vAlign w:val="center"/>
                </w:tcPr>
                <w:p w14:paraId="738C8151">
                  <w:pPr>
                    <w:keepNext w:val="0"/>
                    <w:keepLines w:val="0"/>
                    <w:suppressLineNumbers w:val="0"/>
                    <w:adjustRightInd w:val="0"/>
                    <w:snapToGrid w:val="0"/>
                    <w:spacing w:before="0" w:beforeAutospacing="0" w:after="0" w:afterAutospacing="0"/>
                    <w:ind w:left="0" w:right="0"/>
                    <w:jc w:val="center"/>
                    <w:rPr>
                      <w:rFonts w:hint="eastAsia"/>
                      <w:b/>
                      <w:bCs/>
                      <w:color w:val="auto"/>
                      <w:sz w:val="21"/>
                      <w:szCs w:val="21"/>
                      <w:highlight w:val="none"/>
                      <w:lang w:val="en-US" w:eastAsia="zh-CN"/>
                    </w:rPr>
                  </w:pPr>
                </w:p>
              </w:tc>
              <w:tc>
                <w:tcPr>
                  <w:tcW w:w="1207" w:type="pct"/>
                  <w:vMerge w:val="continue"/>
                  <w:tcBorders>
                    <w:top w:val="single" w:color="auto" w:sz="2" w:space="0"/>
                    <w:left w:val="single" w:color="auto" w:sz="2" w:space="0"/>
                    <w:bottom w:val="single" w:color="auto" w:sz="2" w:space="0"/>
                    <w:right w:val="single" w:color="auto" w:sz="2" w:space="0"/>
                  </w:tcBorders>
                  <w:vAlign w:val="center"/>
                </w:tcPr>
                <w:p w14:paraId="5D847039">
                  <w:pPr>
                    <w:keepNext w:val="0"/>
                    <w:keepLines w:val="0"/>
                    <w:suppressLineNumbers w:val="0"/>
                    <w:adjustRightInd w:val="0"/>
                    <w:snapToGrid w:val="0"/>
                    <w:spacing w:before="0" w:beforeAutospacing="0" w:after="0" w:afterAutospacing="0"/>
                    <w:ind w:left="0" w:right="0"/>
                    <w:jc w:val="center"/>
                    <w:rPr>
                      <w:rFonts w:hint="eastAsia"/>
                      <w:b/>
                      <w:bCs/>
                      <w:color w:val="auto"/>
                      <w:sz w:val="21"/>
                      <w:szCs w:val="21"/>
                      <w:highlight w:val="none"/>
                      <w:lang w:val="en-US" w:eastAsia="zh-CN"/>
                    </w:rPr>
                  </w:pPr>
                </w:p>
              </w:tc>
              <w:tc>
                <w:tcPr>
                  <w:tcW w:w="612" w:type="pct"/>
                  <w:vMerge w:val="continue"/>
                  <w:tcBorders>
                    <w:top w:val="single" w:color="auto" w:sz="2" w:space="0"/>
                    <w:left w:val="single" w:color="auto" w:sz="2" w:space="0"/>
                    <w:bottom w:val="single" w:color="auto" w:sz="2" w:space="0"/>
                    <w:right w:val="single" w:color="auto" w:sz="2" w:space="0"/>
                  </w:tcBorders>
                  <w:vAlign w:val="center"/>
                </w:tcPr>
                <w:p w14:paraId="6CBE4E1A">
                  <w:pPr>
                    <w:keepNext w:val="0"/>
                    <w:keepLines w:val="0"/>
                    <w:suppressLineNumbers w:val="0"/>
                    <w:adjustRightInd w:val="0"/>
                    <w:snapToGrid w:val="0"/>
                    <w:spacing w:before="0" w:beforeAutospacing="0" w:after="0" w:afterAutospacing="0"/>
                    <w:ind w:left="0" w:right="0"/>
                    <w:jc w:val="center"/>
                    <w:rPr>
                      <w:rFonts w:hint="eastAsia"/>
                      <w:b/>
                      <w:bCs/>
                      <w:color w:val="auto"/>
                      <w:sz w:val="21"/>
                      <w:szCs w:val="21"/>
                      <w:highlight w:val="none"/>
                      <w:lang w:val="en-US" w:eastAsia="zh-CN"/>
                    </w:rPr>
                  </w:pPr>
                </w:p>
              </w:tc>
              <w:tc>
                <w:tcPr>
                  <w:tcW w:w="699" w:type="pct"/>
                  <w:tcBorders>
                    <w:top w:val="single" w:color="auto" w:sz="2" w:space="0"/>
                    <w:left w:val="single" w:color="auto" w:sz="2" w:space="0"/>
                    <w:bottom w:val="single" w:color="auto" w:sz="2" w:space="0"/>
                    <w:right w:val="single" w:color="auto" w:sz="2" w:space="0"/>
                  </w:tcBorders>
                  <w:vAlign w:val="center"/>
                </w:tcPr>
                <w:p w14:paraId="2FBC56C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 w:val="21"/>
                      <w:szCs w:val="21"/>
                      <w:highlight w:val="none"/>
                    </w:rPr>
                  </w:pPr>
                  <w:r>
                    <w:rPr>
                      <w:rFonts w:hint="default" w:ascii="Times New Roman" w:hAnsi="Times New Roman" w:eastAsia="宋体"/>
                      <w:b/>
                      <w:bCs/>
                      <w:color w:val="auto"/>
                      <w:sz w:val="21"/>
                      <w:szCs w:val="21"/>
                      <w:highlight w:val="none"/>
                    </w:rPr>
                    <w:t>最高容许排放浓度</w:t>
                  </w:r>
                </w:p>
                <w:p w14:paraId="04286C9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b/>
                      <w:bCs/>
                      <w:color w:val="auto"/>
                      <w:sz w:val="21"/>
                      <w:szCs w:val="21"/>
                      <w:highlight w:val="none"/>
                    </w:rPr>
                  </w:pPr>
                  <w:r>
                    <w:rPr>
                      <w:rFonts w:hint="default" w:ascii="Times New Roman" w:hAnsi="Times New Roman" w:eastAsia="宋体"/>
                      <w:b/>
                      <w:bCs/>
                      <w:color w:val="auto"/>
                      <w:sz w:val="21"/>
                      <w:szCs w:val="21"/>
                      <w:highlight w:val="none"/>
                    </w:rPr>
                    <w:t>（mg/m</w:t>
                  </w:r>
                  <w:r>
                    <w:rPr>
                      <w:rFonts w:hint="default" w:ascii="Times New Roman" w:hAnsi="Times New Roman" w:eastAsia="宋体"/>
                      <w:b/>
                      <w:bCs/>
                      <w:color w:val="auto"/>
                      <w:sz w:val="21"/>
                      <w:szCs w:val="21"/>
                      <w:highlight w:val="none"/>
                      <w:vertAlign w:val="superscript"/>
                    </w:rPr>
                    <w:t>3</w:t>
                  </w:r>
                  <w:r>
                    <w:rPr>
                      <w:rFonts w:hint="default" w:ascii="Times New Roman" w:hAnsi="Times New Roman" w:eastAsia="宋体"/>
                      <w:b/>
                      <w:bCs/>
                      <w:color w:val="auto"/>
                      <w:sz w:val="21"/>
                      <w:szCs w:val="21"/>
                      <w:highlight w:val="none"/>
                    </w:rPr>
                    <w:t>）</w:t>
                  </w:r>
                </w:p>
              </w:tc>
              <w:tc>
                <w:tcPr>
                  <w:tcW w:w="616" w:type="pct"/>
                  <w:tcBorders>
                    <w:top w:val="single" w:color="auto" w:sz="2" w:space="0"/>
                    <w:left w:val="single" w:color="auto" w:sz="2" w:space="0"/>
                    <w:bottom w:val="single" w:color="auto" w:sz="2" w:space="0"/>
                    <w:right w:val="single" w:color="auto" w:sz="2" w:space="0"/>
                  </w:tcBorders>
                  <w:vAlign w:val="center"/>
                </w:tcPr>
                <w:p w14:paraId="5000D18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 w:val="21"/>
                      <w:szCs w:val="21"/>
                      <w:highlight w:val="none"/>
                    </w:rPr>
                  </w:pPr>
                  <w:r>
                    <w:rPr>
                      <w:rFonts w:hint="default" w:ascii="Times New Roman" w:hAnsi="Times New Roman" w:eastAsia="宋体"/>
                      <w:b/>
                      <w:bCs/>
                      <w:color w:val="auto"/>
                      <w:sz w:val="21"/>
                      <w:szCs w:val="21"/>
                      <w:highlight w:val="none"/>
                    </w:rPr>
                    <w:t>排放</w:t>
                  </w:r>
                </w:p>
                <w:p w14:paraId="4063C5E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b/>
                      <w:bCs/>
                      <w:color w:val="auto"/>
                      <w:sz w:val="21"/>
                      <w:szCs w:val="21"/>
                      <w:highlight w:val="none"/>
                    </w:rPr>
                  </w:pPr>
                  <w:r>
                    <w:rPr>
                      <w:rFonts w:hint="default" w:ascii="Times New Roman" w:hAnsi="Times New Roman" w:eastAsia="宋体"/>
                      <w:b/>
                      <w:bCs/>
                      <w:color w:val="auto"/>
                      <w:sz w:val="21"/>
                      <w:szCs w:val="21"/>
                      <w:highlight w:val="none"/>
                    </w:rPr>
                    <w:t>速率（kg/h）</w:t>
                  </w:r>
                </w:p>
              </w:tc>
              <w:tc>
                <w:tcPr>
                  <w:tcW w:w="1193" w:type="pct"/>
                  <w:vMerge w:val="continue"/>
                  <w:tcBorders>
                    <w:top w:val="single" w:color="auto" w:sz="2" w:space="0"/>
                    <w:left w:val="single" w:color="auto" w:sz="2" w:space="0"/>
                    <w:bottom w:val="single" w:color="auto" w:sz="2" w:space="0"/>
                  </w:tcBorders>
                  <w:vAlign w:val="center"/>
                </w:tcPr>
                <w:p w14:paraId="23AA6FE0">
                  <w:pPr>
                    <w:keepNext w:val="0"/>
                    <w:keepLines w:val="0"/>
                    <w:suppressLineNumbers w:val="0"/>
                    <w:adjustRightInd w:val="0"/>
                    <w:snapToGrid w:val="0"/>
                    <w:spacing w:before="0" w:beforeAutospacing="0" w:after="0" w:afterAutospacing="0"/>
                    <w:ind w:left="0" w:right="0"/>
                    <w:jc w:val="center"/>
                    <w:rPr>
                      <w:rFonts w:hint="eastAsia"/>
                      <w:b/>
                      <w:bCs/>
                      <w:color w:val="auto"/>
                      <w:sz w:val="21"/>
                      <w:szCs w:val="21"/>
                      <w:highlight w:val="none"/>
                      <w:lang w:val="en-US" w:eastAsia="zh-CN"/>
                    </w:rPr>
                  </w:pPr>
                </w:p>
              </w:tc>
            </w:tr>
            <w:tr w14:paraId="6B391C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334" w:type="pct"/>
                  <w:vMerge w:val="restart"/>
                  <w:tcBorders>
                    <w:top w:val="single" w:color="auto" w:sz="2" w:space="0"/>
                    <w:bottom w:val="single" w:color="auto" w:sz="2" w:space="0"/>
                    <w:right w:val="single" w:color="auto" w:sz="2" w:space="0"/>
                  </w:tcBorders>
                  <w:vAlign w:val="center"/>
                </w:tcPr>
                <w:p w14:paraId="187B9B2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原料挥发、危废间</w:t>
                  </w:r>
                </w:p>
              </w:tc>
              <w:tc>
                <w:tcPr>
                  <w:tcW w:w="335" w:type="pct"/>
                  <w:tcBorders>
                    <w:top w:val="single" w:color="auto" w:sz="2" w:space="0"/>
                    <w:left w:val="single" w:color="auto" w:sz="2" w:space="0"/>
                    <w:bottom w:val="single" w:color="auto" w:sz="2" w:space="0"/>
                    <w:right w:val="single" w:color="auto" w:sz="2" w:space="0"/>
                  </w:tcBorders>
                  <w:vAlign w:val="center"/>
                </w:tcPr>
                <w:p w14:paraId="3910FD8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非甲烷总烃</w:t>
                  </w:r>
                </w:p>
              </w:tc>
              <w:tc>
                <w:tcPr>
                  <w:tcW w:w="1207" w:type="pct"/>
                  <w:vMerge w:val="restart"/>
                  <w:tcBorders>
                    <w:top w:val="single" w:color="auto" w:sz="2" w:space="0"/>
                    <w:left w:val="single" w:color="auto" w:sz="2" w:space="0"/>
                    <w:bottom w:val="single" w:color="auto" w:sz="2" w:space="0"/>
                    <w:right w:val="single" w:color="auto" w:sz="2" w:space="0"/>
                  </w:tcBorders>
                  <w:vAlign w:val="center"/>
                </w:tcPr>
                <w:p w14:paraId="4D5BB7D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江苏省</w:t>
                  </w:r>
                  <w:r>
                    <w:rPr>
                      <w:rFonts w:hint="default" w:ascii="Times New Roman" w:hAnsi="Times New Roman" w:eastAsia="宋体" w:cs="Times New Roman"/>
                      <w:b w:val="0"/>
                      <w:bCs w:val="0"/>
                      <w:color w:val="auto"/>
                      <w:sz w:val="21"/>
                      <w:szCs w:val="21"/>
                      <w:highlight w:val="none"/>
                      <w:lang w:val="en-US" w:eastAsia="zh-CN"/>
                    </w:rPr>
                    <w:t>《制药工业大气污染物排放标准》 （DB32/4042-2021）</w:t>
                  </w:r>
                </w:p>
              </w:tc>
              <w:tc>
                <w:tcPr>
                  <w:tcW w:w="612" w:type="pct"/>
                  <w:tcBorders>
                    <w:top w:val="single" w:color="auto" w:sz="2" w:space="0"/>
                    <w:left w:val="single" w:color="auto" w:sz="2" w:space="0"/>
                    <w:bottom w:val="single" w:color="auto" w:sz="2" w:space="0"/>
                    <w:right w:val="single" w:color="auto" w:sz="2" w:space="0"/>
                  </w:tcBorders>
                  <w:vAlign w:val="center"/>
                </w:tcPr>
                <w:p w14:paraId="66E62336">
                  <w:pPr>
                    <w:keepNext w:val="0"/>
                    <w:keepLines w:val="0"/>
                    <w:pageBreakBefore w:val="0"/>
                    <w:suppressLineNumbers w:val="0"/>
                    <w:kinsoku/>
                    <w:wordWrap/>
                    <w:overflowPunct/>
                    <w:topLinePunct w:val="0"/>
                    <w:autoSpaceDE/>
                    <w:autoSpaceDN/>
                    <w:bidi w:val="0"/>
                    <w:snapToGrid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表1、表C.1</w:t>
                  </w:r>
                </w:p>
              </w:tc>
              <w:tc>
                <w:tcPr>
                  <w:tcW w:w="699" w:type="pct"/>
                  <w:tcBorders>
                    <w:top w:val="single" w:color="auto" w:sz="2" w:space="0"/>
                    <w:left w:val="single" w:color="auto" w:sz="2" w:space="0"/>
                    <w:bottom w:val="single" w:color="auto" w:sz="2" w:space="0"/>
                    <w:right w:val="single" w:color="auto" w:sz="2" w:space="0"/>
                  </w:tcBorders>
                  <w:vAlign w:val="center"/>
                </w:tcPr>
                <w:p w14:paraId="2BD2861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60</w:t>
                  </w:r>
                </w:p>
              </w:tc>
              <w:tc>
                <w:tcPr>
                  <w:tcW w:w="616" w:type="pct"/>
                  <w:tcBorders>
                    <w:top w:val="single" w:color="auto" w:sz="2" w:space="0"/>
                    <w:left w:val="single" w:color="auto" w:sz="2" w:space="0"/>
                    <w:bottom w:val="single" w:color="auto" w:sz="2" w:space="0"/>
                    <w:right w:val="single" w:color="auto" w:sz="2" w:space="0"/>
                  </w:tcBorders>
                  <w:vAlign w:val="center"/>
                </w:tcPr>
                <w:p w14:paraId="7BDFD8F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2.0</w:t>
                  </w:r>
                </w:p>
              </w:tc>
              <w:tc>
                <w:tcPr>
                  <w:tcW w:w="1193" w:type="pct"/>
                  <w:vMerge w:val="restart"/>
                  <w:tcBorders>
                    <w:top w:val="single" w:color="auto" w:sz="2" w:space="0"/>
                    <w:left w:val="single" w:color="auto" w:sz="2" w:space="0"/>
                  </w:tcBorders>
                  <w:vAlign w:val="center"/>
                </w:tcPr>
                <w:p w14:paraId="1B360B9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一根15米高排气筒FQ01</w:t>
                  </w:r>
                </w:p>
              </w:tc>
            </w:tr>
            <w:tr w14:paraId="159CBC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334" w:type="pct"/>
                  <w:vMerge w:val="continue"/>
                  <w:tcBorders>
                    <w:top w:val="single" w:color="auto" w:sz="2" w:space="0"/>
                    <w:bottom w:val="single" w:color="auto" w:sz="12" w:space="0"/>
                    <w:right w:val="single" w:color="auto" w:sz="2" w:space="0"/>
                  </w:tcBorders>
                  <w:vAlign w:val="center"/>
                </w:tcPr>
                <w:p w14:paraId="1956FF8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olor w:val="auto"/>
                      <w:sz w:val="21"/>
                      <w:szCs w:val="21"/>
                      <w:highlight w:val="none"/>
                      <w:lang w:val="en-US" w:eastAsia="zh-CN"/>
                    </w:rPr>
                  </w:pPr>
                </w:p>
              </w:tc>
              <w:tc>
                <w:tcPr>
                  <w:tcW w:w="335" w:type="pct"/>
                  <w:tcBorders>
                    <w:top w:val="single" w:color="auto" w:sz="2" w:space="0"/>
                    <w:left w:val="single" w:color="auto" w:sz="2" w:space="0"/>
                    <w:bottom w:val="single" w:color="auto" w:sz="12" w:space="0"/>
                    <w:right w:val="single" w:color="auto" w:sz="2" w:space="0"/>
                  </w:tcBorders>
                  <w:vAlign w:val="center"/>
                </w:tcPr>
                <w:p w14:paraId="55E846A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甲醇</w:t>
                  </w:r>
                </w:p>
              </w:tc>
              <w:tc>
                <w:tcPr>
                  <w:tcW w:w="1207" w:type="pct"/>
                  <w:vMerge w:val="continue"/>
                  <w:tcBorders>
                    <w:top w:val="single" w:color="auto" w:sz="2" w:space="0"/>
                    <w:left w:val="single" w:color="auto" w:sz="2" w:space="0"/>
                    <w:bottom w:val="single" w:color="auto" w:sz="12" w:space="0"/>
                    <w:right w:val="single" w:color="auto" w:sz="2" w:space="0"/>
                  </w:tcBorders>
                  <w:vAlign w:val="center"/>
                </w:tcPr>
                <w:p w14:paraId="40C9A9F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auto"/>
                      <w:sz w:val="21"/>
                      <w:szCs w:val="21"/>
                      <w:highlight w:val="none"/>
                      <w:lang w:val="en-US" w:eastAsia="zh-CN"/>
                    </w:rPr>
                  </w:pPr>
                </w:p>
              </w:tc>
              <w:tc>
                <w:tcPr>
                  <w:tcW w:w="612" w:type="pct"/>
                  <w:tcBorders>
                    <w:top w:val="single" w:color="auto" w:sz="2" w:space="0"/>
                    <w:left w:val="single" w:color="auto" w:sz="2" w:space="0"/>
                    <w:bottom w:val="single" w:color="auto" w:sz="12" w:space="0"/>
                    <w:right w:val="single" w:color="auto" w:sz="2" w:space="0"/>
                  </w:tcBorders>
                  <w:vAlign w:val="center"/>
                </w:tcPr>
                <w:p w14:paraId="554AEA70">
                  <w:pPr>
                    <w:keepNext w:val="0"/>
                    <w:keepLines w:val="0"/>
                    <w:pageBreakBefore w:val="0"/>
                    <w:suppressLineNumbers w:val="0"/>
                    <w:kinsoku/>
                    <w:wordWrap/>
                    <w:overflowPunct/>
                    <w:topLinePunct w:val="0"/>
                    <w:autoSpaceDE/>
                    <w:autoSpaceDN/>
                    <w:bidi w:val="0"/>
                    <w:snapToGrid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表</w:t>
                  </w:r>
                  <w:r>
                    <w:rPr>
                      <w:rFonts w:hint="eastAsia" w:cs="Times New Roman"/>
                      <w:b w:val="0"/>
                      <w:bCs w:val="0"/>
                      <w:color w:val="auto"/>
                      <w:sz w:val="21"/>
                      <w:szCs w:val="21"/>
                      <w:highlight w:val="none"/>
                      <w:lang w:val="en-US" w:eastAsia="zh-CN"/>
                    </w:rPr>
                    <w:t>2</w:t>
                  </w:r>
                  <w:r>
                    <w:rPr>
                      <w:rFonts w:hint="eastAsia" w:ascii="Times New Roman" w:hAnsi="Times New Roman" w:eastAsia="宋体" w:cs="Times New Roman"/>
                      <w:b w:val="0"/>
                      <w:bCs w:val="0"/>
                      <w:color w:val="auto"/>
                      <w:sz w:val="21"/>
                      <w:szCs w:val="21"/>
                      <w:highlight w:val="none"/>
                      <w:lang w:val="en-US" w:eastAsia="zh-CN"/>
                    </w:rPr>
                    <w:t>、表C.1</w:t>
                  </w:r>
                </w:p>
              </w:tc>
              <w:tc>
                <w:tcPr>
                  <w:tcW w:w="699" w:type="pct"/>
                  <w:tcBorders>
                    <w:top w:val="single" w:color="auto" w:sz="2" w:space="0"/>
                    <w:left w:val="single" w:color="auto" w:sz="2" w:space="0"/>
                    <w:bottom w:val="single" w:color="auto" w:sz="12" w:space="0"/>
                    <w:right w:val="single" w:color="auto" w:sz="2" w:space="0"/>
                  </w:tcBorders>
                  <w:vAlign w:val="center"/>
                </w:tcPr>
                <w:p w14:paraId="7EBE038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50</w:t>
                  </w:r>
                </w:p>
              </w:tc>
              <w:tc>
                <w:tcPr>
                  <w:tcW w:w="616" w:type="pct"/>
                  <w:tcBorders>
                    <w:top w:val="single" w:color="auto" w:sz="2" w:space="0"/>
                    <w:left w:val="single" w:color="auto" w:sz="2" w:space="0"/>
                    <w:bottom w:val="single" w:color="auto" w:sz="12" w:space="0"/>
                    <w:right w:val="single" w:color="auto" w:sz="2" w:space="0"/>
                  </w:tcBorders>
                  <w:vAlign w:val="center"/>
                </w:tcPr>
                <w:p w14:paraId="15E1807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3.0</w:t>
                  </w:r>
                </w:p>
              </w:tc>
              <w:tc>
                <w:tcPr>
                  <w:tcW w:w="1193" w:type="pct"/>
                  <w:vMerge w:val="continue"/>
                  <w:tcBorders>
                    <w:left w:val="single" w:color="auto" w:sz="2" w:space="0"/>
                    <w:bottom w:val="single" w:color="auto" w:sz="12" w:space="0"/>
                  </w:tcBorders>
                  <w:vAlign w:val="center"/>
                </w:tcPr>
                <w:p w14:paraId="08E6091F">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auto"/>
                      <w:sz w:val="21"/>
                      <w:szCs w:val="21"/>
                      <w:highlight w:val="none"/>
                      <w:lang w:val="en-US" w:eastAsia="zh-CN"/>
                    </w:rPr>
                  </w:pPr>
                </w:p>
              </w:tc>
            </w:tr>
          </w:tbl>
          <w:p w14:paraId="763340E4">
            <w:pPr>
              <w:keepNext w:val="0"/>
              <w:keepLines w:val="0"/>
              <w:pageBreakBefore w:val="0"/>
              <w:widowControl w:val="0"/>
              <w:numPr>
                <w:ilvl w:val="0"/>
                <w:numId w:val="6"/>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eastAsia" w:ascii="Times New Roman" w:hAnsi="Times New Roman" w:eastAsia="宋体"/>
                <w:b/>
                <w:bCs/>
                <w:color w:val="auto"/>
                <w:sz w:val="24"/>
                <w:szCs w:val="24"/>
                <w:highlight w:val="none"/>
              </w:rPr>
            </w:pPr>
            <w:r>
              <w:rPr>
                <w:rFonts w:hint="eastAsia" w:ascii="Times New Roman" w:hAnsi="Times New Roman" w:eastAsia="宋体"/>
                <w:b/>
                <w:bCs/>
                <w:color w:val="auto"/>
                <w:sz w:val="24"/>
                <w:szCs w:val="24"/>
                <w:highlight w:val="none"/>
              </w:rPr>
              <w:t>大气污染物无组织排放标准限值</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903"/>
              <w:gridCol w:w="1519"/>
              <w:gridCol w:w="1811"/>
              <w:gridCol w:w="3773"/>
            </w:tblGrid>
            <w:tr w14:paraId="5867114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1057" w:type="pct"/>
                  <w:vMerge w:val="restart"/>
                  <w:noWrap w:val="0"/>
                  <w:vAlign w:val="center"/>
                </w:tcPr>
                <w:p w14:paraId="0D78F2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b/>
                      <w:bCs/>
                      <w:color w:val="auto"/>
                      <w:sz w:val="21"/>
                      <w:szCs w:val="21"/>
                      <w:highlight w:val="none"/>
                    </w:rPr>
                  </w:pPr>
                  <w:r>
                    <w:rPr>
                      <w:rFonts w:hint="default" w:ascii="Times New Roman" w:hAnsi="Times New Roman" w:eastAsia="宋体"/>
                      <w:b/>
                      <w:bCs/>
                      <w:color w:val="auto"/>
                      <w:sz w:val="21"/>
                      <w:szCs w:val="21"/>
                      <w:highlight w:val="none"/>
                    </w:rPr>
                    <w:t>污染物名称</w:t>
                  </w:r>
                </w:p>
              </w:tc>
              <w:tc>
                <w:tcPr>
                  <w:tcW w:w="1848" w:type="pct"/>
                  <w:gridSpan w:val="2"/>
                  <w:noWrap w:val="0"/>
                  <w:vAlign w:val="center"/>
                </w:tcPr>
                <w:p w14:paraId="0B0082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b/>
                      <w:bCs/>
                      <w:color w:val="auto"/>
                      <w:sz w:val="21"/>
                      <w:szCs w:val="21"/>
                      <w:highlight w:val="none"/>
                    </w:rPr>
                  </w:pPr>
                  <w:r>
                    <w:rPr>
                      <w:rFonts w:hint="default" w:ascii="Times New Roman" w:hAnsi="Times New Roman" w:eastAsia="宋体"/>
                      <w:b/>
                      <w:bCs/>
                      <w:color w:val="auto"/>
                      <w:sz w:val="21"/>
                      <w:szCs w:val="21"/>
                      <w:highlight w:val="none"/>
                    </w:rPr>
                    <w:t>无组织排放监控点浓度限值</w:t>
                  </w:r>
                </w:p>
              </w:tc>
              <w:tc>
                <w:tcPr>
                  <w:tcW w:w="2094" w:type="pct"/>
                  <w:vMerge w:val="restart"/>
                  <w:noWrap w:val="0"/>
                  <w:vAlign w:val="center"/>
                </w:tcPr>
                <w:p w14:paraId="13FA6E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b/>
                      <w:bCs/>
                      <w:color w:val="auto"/>
                      <w:sz w:val="21"/>
                      <w:szCs w:val="21"/>
                      <w:highlight w:val="none"/>
                    </w:rPr>
                  </w:pPr>
                  <w:r>
                    <w:rPr>
                      <w:rFonts w:hint="default" w:ascii="Times New Roman" w:hAnsi="Times New Roman" w:eastAsia="宋体"/>
                      <w:b/>
                      <w:bCs/>
                      <w:color w:val="auto"/>
                      <w:sz w:val="21"/>
                      <w:szCs w:val="21"/>
                      <w:highlight w:val="none"/>
                    </w:rPr>
                    <w:t>标准来源</w:t>
                  </w:r>
                </w:p>
              </w:tc>
            </w:tr>
            <w:tr w14:paraId="24E36CC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1057" w:type="pct"/>
                  <w:vMerge w:val="continue"/>
                  <w:noWrap w:val="0"/>
                  <w:vAlign w:val="center"/>
                </w:tcPr>
                <w:p w14:paraId="1DAD13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b/>
                      <w:bCs/>
                      <w:color w:val="auto"/>
                      <w:sz w:val="21"/>
                      <w:szCs w:val="21"/>
                      <w:highlight w:val="none"/>
                    </w:rPr>
                  </w:pPr>
                </w:p>
              </w:tc>
              <w:tc>
                <w:tcPr>
                  <w:tcW w:w="843" w:type="pct"/>
                  <w:noWrap w:val="0"/>
                  <w:vAlign w:val="center"/>
                </w:tcPr>
                <w:p w14:paraId="0AB04B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监控点</w:t>
                  </w:r>
                </w:p>
              </w:tc>
              <w:tc>
                <w:tcPr>
                  <w:tcW w:w="1005" w:type="pct"/>
                  <w:noWrap w:val="0"/>
                  <w:vAlign w:val="center"/>
                </w:tcPr>
                <w:p w14:paraId="66BC96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b/>
                      <w:bCs/>
                      <w:color w:val="auto"/>
                      <w:sz w:val="21"/>
                      <w:szCs w:val="21"/>
                      <w:highlight w:val="none"/>
                    </w:rPr>
                  </w:pPr>
                  <w:r>
                    <w:rPr>
                      <w:rFonts w:hint="default" w:ascii="Times New Roman" w:hAnsi="Times New Roman" w:eastAsia="宋体"/>
                      <w:b/>
                      <w:bCs/>
                      <w:color w:val="auto"/>
                      <w:sz w:val="21"/>
                      <w:szCs w:val="21"/>
                      <w:highlight w:val="none"/>
                    </w:rPr>
                    <w:t>浓度（mg/m</w:t>
                  </w:r>
                  <w:r>
                    <w:rPr>
                      <w:rFonts w:hint="default" w:ascii="Times New Roman" w:hAnsi="Times New Roman" w:eastAsia="宋体"/>
                      <w:b/>
                      <w:bCs/>
                      <w:color w:val="auto"/>
                      <w:sz w:val="21"/>
                      <w:szCs w:val="21"/>
                      <w:highlight w:val="none"/>
                      <w:vertAlign w:val="superscript"/>
                    </w:rPr>
                    <w:t>3</w:t>
                  </w:r>
                  <w:r>
                    <w:rPr>
                      <w:rFonts w:hint="default" w:ascii="Times New Roman" w:hAnsi="Times New Roman" w:eastAsia="宋体"/>
                      <w:b/>
                      <w:bCs/>
                      <w:color w:val="auto"/>
                      <w:sz w:val="21"/>
                      <w:szCs w:val="21"/>
                      <w:highlight w:val="none"/>
                    </w:rPr>
                    <w:t>）</w:t>
                  </w:r>
                </w:p>
              </w:tc>
              <w:tc>
                <w:tcPr>
                  <w:tcW w:w="2094" w:type="pct"/>
                  <w:vMerge w:val="continue"/>
                  <w:noWrap w:val="0"/>
                  <w:vAlign w:val="center"/>
                </w:tcPr>
                <w:p w14:paraId="2DB40E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b/>
                      <w:bCs/>
                      <w:color w:val="auto"/>
                      <w:sz w:val="21"/>
                      <w:szCs w:val="21"/>
                      <w:highlight w:val="none"/>
                    </w:rPr>
                  </w:pPr>
                </w:p>
              </w:tc>
            </w:tr>
            <w:tr w14:paraId="50429BB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1057" w:type="pct"/>
                  <w:noWrap w:val="0"/>
                  <w:vAlign w:val="center"/>
                </w:tcPr>
                <w:p w14:paraId="268015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rPr>
                    <w:t>非甲烷总烃</w:t>
                  </w:r>
                </w:p>
              </w:tc>
              <w:tc>
                <w:tcPr>
                  <w:tcW w:w="843" w:type="pct"/>
                  <w:vMerge w:val="restart"/>
                  <w:noWrap w:val="0"/>
                  <w:vAlign w:val="center"/>
                </w:tcPr>
                <w:p w14:paraId="54356B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rPr>
                    <w:t>厂界</w:t>
                  </w:r>
                </w:p>
              </w:tc>
              <w:tc>
                <w:tcPr>
                  <w:tcW w:w="1005" w:type="pct"/>
                  <w:noWrap w:val="0"/>
                  <w:vAlign w:val="center"/>
                </w:tcPr>
                <w:p w14:paraId="42990F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4.0</w:t>
                  </w:r>
                </w:p>
              </w:tc>
              <w:tc>
                <w:tcPr>
                  <w:tcW w:w="2094" w:type="pct"/>
                  <w:vMerge w:val="restart"/>
                  <w:noWrap w:val="0"/>
                  <w:vAlign w:val="center"/>
                </w:tcPr>
                <w:p w14:paraId="3D57CF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江苏省《大气污染物综合排放标准》（DB32/4041-2021）表3标准</w:t>
                  </w:r>
                </w:p>
              </w:tc>
            </w:tr>
            <w:tr w14:paraId="475A9FF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1057" w:type="pct"/>
                  <w:noWrap w:val="0"/>
                  <w:vAlign w:val="center"/>
                </w:tcPr>
                <w:p w14:paraId="291BB1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甲醇</w:t>
                  </w:r>
                </w:p>
              </w:tc>
              <w:tc>
                <w:tcPr>
                  <w:tcW w:w="843" w:type="pct"/>
                  <w:vMerge w:val="continue"/>
                  <w:noWrap w:val="0"/>
                  <w:vAlign w:val="center"/>
                </w:tcPr>
                <w:p w14:paraId="22AAF8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z w:val="21"/>
                      <w:szCs w:val="21"/>
                      <w:highlight w:val="none"/>
                    </w:rPr>
                  </w:pPr>
                </w:p>
              </w:tc>
              <w:tc>
                <w:tcPr>
                  <w:tcW w:w="1005" w:type="pct"/>
                  <w:noWrap w:val="0"/>
                  <w:vAlign w:val="center"/>
                </w:tcPr>
                <w:p w14:paraId="10163F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1.0</w:t>
                  </w:r>
                </w:p>
              </w:tc>
              <w:tc>
                <w:tcPr>
                  <w:tcW w:w="2094" w:type="pct"/>
                  <w:vMerge w:val="continue"/>
                  <w:noWrap w:val="0"/>
                  <w:vAlign w:val="center"/>
                </w:tcPr>
                <w:p w14:paraId="3028B7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z w:val="21"/>
                      <w:szCs w:val="21"/>
                      <w:highlight w:val="none"/>
                    </w:rPr>
                  </w:pPr>
                </w:p>
              </w:tc>
            </w:tr>
          </w:tbl>
          <w:p w14:paraId="0208010F">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425" w:leftChars="0" w:right="0" w:hanging="425" w:firstLineChars="0"/>
              <w:jc w:val="center"/>
              <w:textAlignment w:val="auto"/>
              <w:rPr>
                <w:rFonts w:hint="default" w:ascii="Times New Roman" w:hAnsi="Times New Roman" w:eastAsia="宋体"/>
                <w:b/>
                <w:bCs/>
                <w:color w:val="auto"/>
                <w:sz w:val="24"/>
                <w:highlight w:val="none"/>
              </w:rPr>
            </w:pPr>
            <w:r>
              <w:rPr>
                <w:rFonts w:hint="default" w:ascii="Times New Roman" w:hAnsi="Times New Roman" w:eastAsia="宋体" w:cs="宋体"/>
                <w:b/>
                <w:bCs/>
                <w:color w:val="auto"/>
                <w:kern w:val="2"/>
                <w:sz w:val="24"/>
                <w:szCs w:val="24"/>
                <w:highlight w:val="none"/>
                <w:lang w:val="en-US" w:eastAsia="zh-CN" w:bidi="ar-SA"/>
              </w:rPr>
              <w:t>表3-</w:t>
            </w:r>
            <w:r>
              <w:rPr>
                <w:rFonts w:hint="eastAsia" w:ascii="Times New Roman" w:hAnsi="Times New Roman" w:eastAsia="宋体" w:cs="宋体"/>
                <w:b/>
                <w:bCs/>
                <w:color w:val="auto"/>
                <w:kern w:val="2"/>
                <w:sz w:val="24"/>
                <w:szCs w:val="24"/>
                <w:highlight w:val="none"/>
                <w:lang w:val="en-US" w:eastAsia="zh-CN" w:bidi="ar-SA"/>
              </w:rPr>
              <w:t xml:space="preserve">11 </w:t>
            </w:r>
            <w:r>
              <w:rPr>
                <w:rFonts w:hint="eastAsia" w:ascii="Times New Roman" w:hAnsi="Times New Roman" w:eastAsia="宋体"/>
                <w:b/>
                <w:bCs/>
                <w:color w:val="auto"/>
                <w:sz w:val="24"/>
                <w:highlight w:val="none"/>
              </w:rPr>
              <w:t xml:space="preserve"> </w:t>
            </w:r>
            <w:r>
              <w:rPr>
                <w:rFonts w:hint="default" w:ascii="Times New Roman" w:hAnsi="Times New Roman" w:eastAsia="宋体"/>
                <w:b/>
                <w:bCs/>
                <w:color w:val="auto"/>
                <w:sz w:val="24"/>
                <w:highlight w:val="none"/>
              </w:rPr>
              <w:t>厂区内</w:t>
            </w:r>
            <w:r>
              <w:rPr>
                <w:rFonts w:hint="eastAsia" w:ascii="Times New Roman" w:hAnsi="Times New Roman" w:eastAsia="宋体"/>
                <w:b/>
                <w:bCs/>
                <w:color w:val="auto"/>
                <w:sz w:val="24"/>
                <w:highlight w:val="none"/>
                <w:lang w:val="en-US" w:eastAsia="zh-CN"/>
              </w:rPr>
              <w:t>非甲烷总烃</w:t>
            </w:r>
            <w:r>
              <w:rPr>
                <w:rFonts w:hint="default" w:ascii="Times New Roman" w:hAnsi="Times New Roman" w:eastAsia="宋体"/>
                <w:b/>
                <w:bCs/>
                <w:color w:val="auto"/>
                <w:sz w:val="24"/>
                <w:highlight w:val="none"/>
              </w:rPr>
              <w:t>无组织排放限值</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7"/>
              <w:gridCol w:w="1323"/>
              <w:gridCol w:w="2639"/>
              <w:gridCol w:w="1292"/>
              <w:gridCol w:w="2796"/>
            </w:tblGrid>
            <w:tr w14:paraId="3A76B4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31" w:type="pct"/>
                  <w:tcMar>
                    <w:left w:w="0" w:type="dxa"/>
                    <w:right w:w="0" w:type="dxa"/>
                  </w:tcMar>
                  <w:vAlign w:val="center"/>
                </w:tcPr>
                <w:p w14:paraId="31326319">
                  <w:pPr>
                    <w:keepNext w:val="0"/>
                    <w:keepLines w:val="0"/>
                    <w:suppressLineNumbers w:val="0"/>
                    <w:tabs>
                      <w:tab w:val="left" w:pos="5142"/>
                    </w:tabs>
                    <w:snapToGrid w:val="0"/>
                    <w:spacing w:before="0" w:beforeAutospacing="0" w:after="0" w:afterAutospacing="0"/>
                    <w:ind w:left="0" w:right="0"/>
                    <w:jc w:val="center"/>
                    <w:rPr>
                      <w:rFonts w:hint="default" w:ascii="Times New Roman" w:hAnsi="Times New Roman" w:eastAsia="宋体"/>
                      <w:b/>
                      <w:color w:val="auto"/>
                      <w:sz w:val="21"/>
                      <w:szCs w:val="21"/>
                      <w:highlight w:val="none"/>
                    </w:rPr>
                  </w:pPr>
                  <w:r>
                    <w:rPr>
                      <w:rFonts w:hint="default" w:ascii="Times New Roman" w:hAnsi="Times New Roman" w:eastAsia="宋体"/>
                      <w:b/>
                      <w:color w:val="auto"/>
                      <w:sz w:val="21"/>
                      <w:szCs w:val="21"/>
                      <w:highlight w:val="none"/>
                    </w:rPr>
                    <w:t>污染物</w:t>
                  </w:r>
                </w:p>
              </w:tc>
              <w:tc>
                <w:tcPr>
                  <w:tcW w:w="734" w:type="pct"/>
                  <w:tcMar>
                    <w:left w:w="0" w:type="dxa"/>
                    <w:right w:w="0" w:type="dxa"/>
                  </w:tcMar>
                  <w:vAlign w:val="center"/>
                </w:tcPr>
                <w:p w14:paraId="1B2990E6">
                  <w:pPr>
                    <w:keepNext w:val="0"/>
                    <w:keepLines w:val="0"/>
                    <w:suppressLineNumbers w:val="0"/>
                    <w:tabs>
                      <w:tab w:val="left" w:pos="5142"/>
                    </w:tabs>
                    <w:snapToGrid w:val="0"/>
                    <w:spacing w:before="0" w:beforeAutospacing="0" w:after="0" w:afterAutospacing="0"/>
                    <w:ind w:left="0" w:right="0"/>
                    <w:jc w:val="center"/>
                    <w:rPr>
                      <w:rFonts w:hint="default" w:ascii="Times New Roman" w:hAnsi="Times New Roman" w:eastAsia="宋体"/>
                      <w:b/>
                      <w:color w:val="auto"/>
                      <w:sz w:val="21"/>
                      <w:szCs w:val="21"/>
                      <w:highlight w:val="none"/>
                    </w:rPr>
                  </w:pPr>
                  <w:r>
                    <w:rPr>
                      <w:rFonts w:hint="default" w:ascii="Times New Roman" w:hAnsi="Times New Roman" w:eastAsia="宋体"/>
                      <w:b/>
                      <w:color w:val="auto"/>
                      <w:sz w:val="21"/>
                      <w:szCs w:val="21"/>
                      <w:highlight w:val="none"/>
                    </w:rPr>
                    <w:t>特别排放限值(mg/m</w:t>
                  </w:r>
                  <w:r>
                    <w:rPr>
                      <w:rFonts w:hint="default" w:ascii="Times New Roman" w:hAnsi="Times New Roman" w:eastAsia="宋体"/>
                      <w:b/>
                      <w:color w:val="auto"/>
                      <w:sz w:val="21"/>
                      <w:szCs w:val="21"/>
                      <w:highlight w:val="none"/>
                      <w:vertAlign w:val="superscript"/>
                    </w:rPr>
                    <w:t>3</w:t>
                  </w:r>
                  <w:r>
                    <w:rPr>
                      <w:rFonts w:hint="default" w:ascii="Times New Roman" w:hAnsi="Times New Roman" w:eastAsia="宋体"/>
                      <w:b/>
                      <w:color w:val="auto"/>
                      <w:sz w:val="21"/>
                      <w:szCs w:val="21"/>
                      <w:highlight w:val="none"/>
                    </w:rPr>
                    <w:t>)</w:t>
                  </w:r>
                </w:p>
              </w:tc>
              <w:tc>
                <w:tcPr>
                  <w:tcW w:w="1464" w:type="pct"/>
                  <w:tcMar>
                    <w:left w:w="0" w:type="dxa"/>
                    <w:right w:w="0" w:type="dxa"/>
                  </w:tcMar>
                  <w:vAlign w:val="center"/>
                </w:tcPr>
                <w:p w14:paraId="79957984">
                  <w:pPr>
                    <w:keepNext w:val="0"/>
                    <w:keepLines w:val="0"/>
                    <w:suppressLineNumbers w:val="0"/>
                    <w:tabs>
                      <w:tab w:val="left" w:pos="5142"/>
                    </w:tabs>
                    <w:snapToGrid w:val="0"/>
                    <w:spacing w:before="0" w:beforeAutospacing="0" w:after="0" w:afterAutospacing="0"/>
                    <w:ind w:left="0" w:right="0"/>
                    <w:jc w:val="center"/>
                    <w:rPr>
                      <w:rFonts w:hint="default" w:ascii="Times New Roman" w:hAnsi="Times New Roman" w:eastAsia="宋体"/>
                      <w:b/>
                      <w:color w:val="auto"/>
                      <w:sz w:val="21"/>
                      <w:szCs w:val="21"/>
                      <w:highlight w:val="none"/>
                    </w:rPr>
                  </w:pPr>
                  <w:r>
                    <w:rPr>
                      <w:rFonts w:hint="default" w:ascii="Times New Roman" w:hAnsi="Times New Roman" w:eastAsia="宋体"/>
                      <w:b/>
                      <w:color w:val="auto"/>
                      <w:sz w:val="21"/>
                      <w:szCs w:val="21"/>
                      <w:highlight w:val="none"/>
                    </w:rPr>
                    <w:t>限值含义</w:t>
                  </w:r>
                </w:p>
              </w:tc>
              <w:tc>
                <w:tcPr>
                  <w:tcW w:w="717" w:type="pct"/>
                  <w:tcMar>
                    <w:left w:w="0" w:type="dxa"/>
                    <w:right w:w="0" w:type="dxa"/>
                  </w:tcMar>
                  <w:vAlign w:val="center"/>
                </w:tcPr>
                <w:p w14:paraId="06E4DB8D">
                  <w:pPr>
                    <w:keepNext w:val="0"/>
                    <w:keepLines w:val="0"/>
                    <w:suppressLineNumbers w:val="0"/>
                    <w:tabs>
                      <w:tab w:val="left" w:pos="5142"/>
                    </w:tabs>
                    <w:snapToGrid w:val="0"/>
                    <w:spacing w:before="0" w:beforeAutospacing="0" w:after="0" w:afterAutospacing="0"/>
                    <w:ind w:left="0" w:right="0"/>
                    <w:jc w:val="center"/>
                    <w:rPr>
                      <w:rFonts w:hint="default" w:ascii="Times New Roman" w:hAnsi="Times New Roman" w:eastAsia="宋体"/>
                      <w:b/>
                      <w:color w:val="auto"/>
                      <w:sz w:val="21"/>
                      <w:szCs w:val="21"/>
                      <w:highlight w:val="none"/>
                    </w:rPr>
                  </w:pPr>
                  <w:r>
                    <w:rPr>
                      <w:rFonts w:hint="default" w:ascii="Times New Roman" w:hAnsi="Times New Roman" w:eastAsia="宋体"/>
                      <w:b/>
                      <w:color w:val="auto"/>
                      <w:sz w:val="21"/>
                      <w:szCs w:val="21"/>
                      <w:highlight w:val="none"/>
                    </w:rPr>
                    <w:t>无组织排放监控位置</w:t>
                  </w:r>
                </w:p>
              </w:tc>
              <w:tc>
                <w:tcPr>
                  <w:tcW w:w="1551" w:type="pct"/>
                  <w:tcMar>
                    <w:left w:w="0" w:type="dxa"/>
                    <w:right w:w="0" w:type="dxa"/>
                  </w:tcMar>
                  <w:vAlign w:val="center"/>
                </w:tcPr>
                <w:p w14:paraId="183917CA">
                  <w:pPr>
                    <w:keepNext w:val="0"/>
                    <w:keepLines w:val="0"/>
                    <w:suppressLineNumbers w:val="0"/>
                    <w:tabs>
                      <w:tab w:val="left" w:pos="5142"/>
                    </w:tabs>
                    <w:snapToGrid w:val="0"/>
                    <w:spacing w:before="0" w:beforeAutospacing="0" w:after="0" w:afterAutospacing="0"/>
                    <w:ind w:left="0" w:right="0"/>
                    <w:jc w:val="center"/>
                    <w:rPr>
                      <w:rFonts w:hint="default" w:ascii="Times New Roman" w:hAnsi="Times New Roman" w:eastAsia="宋体"/>
                      <w:b/>
                      <w:color w:val="auto"/>
                      <w:sz w:val="21"/>
                      <w:szCs w:val="21"/>
                      <w:highlight w:val="none"/>
                    </w:rPr>
                  </w:pPr>
                  <w:r>
                    <w:rPr>
                      <w:rFonts w:hint="default" w:ascii="Times New Roman" w:hAnsi="Times New Roman" w:eastAsia="宋体"/>
                      <w:b/>
                      <w:color w:val="auto"/>
                      <w:sz w:val="21"/>
                      <w:szCs w:val="21"/>
                      <w:highlight w:val="none"/>
                    </w:rPr>
                    <w:t>标准来源</w:t>
                  </w:r>
                </w:p>
              </w:tc>
            </w:tr>
            <w:tr w14:paraId="79629E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531" w:type="pct"/>
                  <w:vMerge w:val="restart"/>
                  <w:tcMar>
                    <w:left w:w="0" w:type="dxa"/>
                    <w:right w:w="0" w:type="dxa"/>
                  </w:tcMar>
                  <w:vAlign w:val="center"/>
                </w:tcPr>
                <w:p w14:paraId="74722646">
                  <w:pPr>
                    <w:keepNext w:val="0"/>
                    <w:keepLines w:val="0"/>
                    <w:suppressLineNumbers w:val="0"/>
                    <w:snapToGrid w:val="0"/>
                    <w:spacing w:before="0" w:beforeAutospacing="0" w:after="0" w:afterAutospacing="0"/>
                    <w:ind w:left="0" w:right="0" w:firstLine="105" w:firstLineChars="50"/>
                    <w:jc w:val="center"/>
                    <w:rPr>
                      <w:rFonts w:hint="default"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非甲烷总烃</w:t>
                  </w:r>
                </w:p>
              </w:tc>
              <w:tc>
                <w:tcPr>
                  <w:tcW w:w="734" w:type="pct"/>
                  <w:tcMar>
                    <w:left w:w="0" w:type="dxa"/>
                    <w:right w:w="0" w:type="dxa"/>
                  </w:tcMar>
                  <w:vAlign w:val="center"/>
                </w:tcPr>
                <w:p w14:paraId="6300624A">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rPr>
                    <w:t>6</w:t>
                  </w:r>
                </w:p>
              </w:tc>
              <w:tc>
                <w:tcPr>
                  <w:tcW w:w="1464" w:type="pct"/>
                  <w:tcMar>
                    <w:left w:w="0" w:type="dxa"/>
                    <w:right w:w="0" w:type="dxa"/>
                  </w:tcMar>
                  <w:vAlign w:val="center"/>
                </w:tcPr>
                <w:p w14:paraId="2FE6C318">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rPr>
                    <w:t>监控点处1h平均浓度值</w:t>
                  </w:r>
                </w:p>
              </w:tc>
              <w:tc>
                <w:tcPr>
                  <w:tcW w:w="717" w:type="pct"/>
                  <w:vMerge w:val="restart"/>
                  <w:tcMar>
                    <w:left w:w="0" w:type="dxa"/>
                    <w:right w:w="0" w:type="dxa"/>
                  </w:tcMar>
                  <w:vAlign w:val="center"/>
                </w:tcPr>
                <w:p w14:paraId="147376F0">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rPr>
                    <w:t>在厂房外设置监控点</w:t>
                  </w:r>
                </w:p>
              </w:tc>
              <w:tc>
                <w:tcPr>
                  <w:tcW w:w="1551" w:type="pct"/>
                  <w:vMerge w:val="restart"/>
                  <w:tcMar>
                    <w:left w:w="0" w:type="dxa"/>
                    <w:right w:w="0" w:type="dxa"/>
                  </w:tcMar>
                  <w:vAlign w:val="center"/>
                </w:tcPr>
                <w:p w14:paraId="2B169FA5">
                  <w:pPr>
                    <w:keepNext w:val="0"/>
                    <w:keepLines w:val="0"/>
                    <w:suppressLineNumbers w:val="0"/>
                    <w:wordWrap w:val="0"/>
                    <w:snapToGrid w:val="0"/>
                    <w:spacing w:before="0" w:beforeAutospacing="0" w:after="0" w:afterAutospacing="0"/>
                    <w:ind w:left="0" w:right="0"/>
                    <w:jc w:val="center"/>
                    <w:rPr>
                      <w:rFonts w:hint="default" w:ascii="Times New Roman" w:hAnsi="Times New Roman" w:eastAsia="宋体"/>
                      <w:color w:val="auto"/>
                      <w:sz w:val="21"/>
                      <w:szCs w:val="21"/>
                      <w:highlight w:val="none"/>
                    </w:rPr>
                  </w:pPr>
                  <w:r>
                    <w:rPr>
                      <w:rFonts w:hint="eastAsia"/>
                      <w:color w:val="auto"/>
                      <w:sz w:val="21"/>
                      <w:szCs w:val="21"/>
                      <w:highlight w:val="none"/>
                      <w:lang w:val="en-US" w:eastAsia="zh-CN"/>
                    </w:rPr>
                    <w:t>江苏省</w:t>
                  </w:r>
                  <w:r>
                    <w:rPr>
                      <w:rFonts w:hint="default" w:ascii="Times New Roman" w:hAnsi="Times New Roman" w:eastAsia="宋体"/>
                      <w:color w:val="auto"/>
                      <w:sz w:val="21"/>
                      <w:szCs w:val="21"/>
                      <w:highlight w:val="none"/>
                    </w:rPr>
                    <w:t>《制药工业大气污染物排放标准》（DB 32/4042-2021）表 6 限值</w:t>
                  </w:r>
                </w:p>
              </w:tc>
            </w:tr>
            <w:tr w14:paraId="02DAD8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31" w:type="pct"/>
                  <w:vMerge w:val="continue"/>
                  <w:tcMar>
                    <w:left w:w="0" w:type="dxa"/>
                    <w:right w:w="0" w:type="dxa"/>
                  </w:tcMar>
                  <w:vAlign w:val="center"/>
                </w:tcPr>
                <w:p w14:paraId="574CFB6D">
                  <w:pPr>
                    <w:keepNext w:val="0"/>
                    <w:keepLines w:val="0"/>
                    <w:suppressLineNumbers w:val="0"/>
                    <w:snapToGrid w:val="0"/>
                    <w:spacing w:before="0" w:beforeAutospacing="0" w:after="0" w:afterAutospacing="0"/>
                    <w:ind w:left="0" w:right="0" w:firstLine="120" w:firstLineChars="50"/>
                    <w:jc w:val="center"/>
                    <w:rPr>
                      <w:rFonts w:hint="default" w:ascii="Times New Roman" w:hAnsi="Times New Roman" w:eastAsia="宋体"/>
                      <w:color w:val="auto"/>
                      <w:sz w:val="24"/>
                      <w:szCs w:val="21"/>
                      <w:highlight w:val="none"/>
                    </w:rPr>
                  </w:pPr>
                </w:p>
              </w:tc>
              <w:tc>
                <w:tcPr>
                  <w:tcW w:w="734" w:type="pct"/>
                  <w:tcMar>
                    <w:left w:w="0" w:type="dxa"/>
                    <w:right w:w="0" w:type="dxa"/>
                  </w:tcMar>
                  <w:vAlign w:val="center"/>
                </w:tcPr>
                <w:p w14:paraId="176AC575">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rPr>
                    <w:t>20</w:t>
                  </w:r>
                </w:p>
              </w:tc>
              <w:tc>
                <w:tcPr>
                  <w:tcW w:w="1464" w:type="pct"/>
                  <w:tcMar>
                    <w:left w:w="0" w:type="dxa"/>
                    <w:right w:w="0" w:type="dxa"/>
                  </w:tcMar>
                  <w:vAlign w:val="center"/>
                </w:tcPr>
                <w:p w14:paraId="6D9D421E">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rPr>
                    <w:t>监控点处任意一次浓度值</w:t>
                  </w:r>
                </w:p>
              </w:tc>
              <w:tc>
                <w:tcPr>
                  <w:tcW w:w="717" w:type="pct"/>
                  <w:vMerge w:val="continue"/>
                  <w:tcMar>
                    <w:left w:w="0" w:type="dxa"/>
                    <w:right w:w="0" w:type="dxa"/>
                  </w:tcMar>
                  <w:vAlign w:val="center"/>
                </w:tcPr>
                <w:p w14:paraId="76F8C5DD">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sz w:val="24"/>
                      <w:szCs w:val="21"/>
                      <w:highlight w:val="none"/>
                    </w:rPr>
                  </w:pPr>
                </w:p>
              </w:tc>
              <w:tc>
                <w:tcPr>
                  <w:tcW w:w="1551" w:type="pct"/>
                  <w:vMerge w:val="continue"/>
                  <w:tcMar>
                    <w:left w:w="0" w:type="dxa"/>
                    <w:right w:w="0" w:type="dxa"/>
                  </w:tcMar>
                  <w:vAlign w:val="center"/>
                </w:tcPr>
                <w:p w14:paraId="27F81E63">
                  <w:pPr>
                    <w:keepNext w:val="0"/>
                    <w:keepLines w:val="0"/>
                    <w:suppressLineNumbers w:val="0"/>
                    <w:snapToGrid w:val="0"/>
                    <w:spacing w:before="0" w:beforeAutospacing="0" w:after="0" w:afterAutospacing="0"/>
                    <w:ind w:left="0" w:right="0"/>
                    <w:jc w:val="center"/>
                    <w:rPr>
                      <w:rFonts w:hint="default" w:ascii="Times New Roman" w:hAnsi="Times New Roman" w:eastAsia="宋体"/>
                      <w:bCs/>
                      <w:color w:val="auto"/>
                      <w:sz w:val="24"/>
                      <w:szCs w:val="21"/>
                      <w:highlight w:val="none"/>
                    </w:rPr>
                  </w:pPr>
                </w:p>
              </w:tc>
            </w:tr>
          </w:tbl>
          <w:p w14:paraId="291822A4">
            <w:pPr>
              <w:keepNext w:val="0"/>
              <w:keepLines w:val="0"/>
              <w:suppressLineNumbers w:val="0"/>
              <w:tabs>
                <w:tab w:val="left" w:pos="180"/>
              </w:tabs>
              <w:snapToGrid w:val="0"/>
              <w:spacing w:before="0" w:beforeAutospacing="0" w:after="0" w:afterAutospacing="0" w:line="360" w:lineRule="auto"/>
              <w:ind w:left="0" w:right="0"/>
              <w:jc w:val="left"/>
              <w:rPr>
                <w:rFonts w:hint="default" w:ascii="Times New Roman" w:hAnsi="Times New Roman" w:eastAsia="宋体"/>
                <w:b/>
                <w:color w:val="auto"/>
                <w:sz w:val="24"/>
                <w:highlight w:val="none"/>
              </w:rPr>
            </w:pPr>
            <w:r>
              <w:rPr>
                <w:rFonts w:hint="default" w:ascii="Times New Roman" w:hAnsi="Times New Roman" w:eastAsia="宋体"/>
                <w:b/>
                <w:color w:val="auto"/>
                <w:sz w:val="24"/>
                <w:highlight w:val="none"/>
              </w:rPr>
              <w:t>2、废水排放标准：</w:t>
            </w:r>
          </w:p>
          <w:p w14:paraId="0DC99855">
            <w:pPr>
              <w:keepNext w:val="0"/>
              <w:keepLines w:val="0"/>
              <w:suppressLineNumbers w:val="0"/>
              <w:spacing w:before="0" w:beforeAutospacing="0" w:after="0" w:afterAutospacing="0" w:line="360" w:lineRule="auto"/>
              <w:ind w:left="0" w:right="0" w:firstLine="480" w:firstLineChars="200"/>
              <w:rPr>
                <w:rFonts w:hint="default" w:ascii="Times New Roman" w:hAnsi="Times New Roman"/>
                <w:color w:val="auto"/>
                <w:sz w:val="24"/>
                <w:szCs w:val="24"/>
                <w:highlight w:val="none"/>
                <w:lang w:val="en-US"/>
              </w:rPr>
            </w:pPr>
            <w:r>
              <w:rPr>
                <w:rFonts w:hint="default" w:ascii="Times New Roman" w:hAnsi="Times New Roman" w:eastAsia="宋体"/>
                <w:b w:val="0"/>
                <w:bCs w:val="0"/>
                <w:color w:val="auto"/>
                <w:sz w:val="24"/>
                <w:highlight w:val="none"/>
              </w:rPr>
              <w:t>本项目排水主要为</w:t>
            </w:r>
            <w:r>
              <w:rPr>
                <w:rFonts w:hint="eastAsia" w:ascii="Times New Roman" w:hAnsi="Times New Roman" w:eastAsia="宋体"/>
                <w:b w:val="0"/>
                <w:bCs w:val="0"/>
                <w:color w:val="auto"/>
                <w:sz w:val="24"/>
                <w:highlight w:val="none"/>
                <w:lang w:val="en-US" w:eastAsia="zh-CN"/>
              </w:rPr>
              <w:t>经化粪池处理后的</w:t>
            </w:r>
            <w:r>
              <w:rPr>
                <w:rFonts w:hint="default" w:ascii="Times New Roman" w:hAnsi="Times New Roman" w:eastAsia="宋体"/>
                <w:b w:val="0"/>
                <w:bCs w:val="0"/>
                <w:color w:val="auto"/>
                <w:sz w:val="24"/>
                <w:highlight w:val="none"/>
              </w:rPr>
              <w:t>生活污水</w:t>
            </w:r>
            <w:r>
              <w:rPr>
                <w:rFonts w:hint="eastAsia"/>
                <w:b w:val="0"/>
                <w:bCs w:val="0"/>
                <w:color w:val="auto"/>
                <w:sz w:val="24"/>
                <w:highlight w:val="none"/>
                <w:lang w:eastAsia="zh-CN"/>
              </w:rPr>
              <w:t>、</w:t>
            </w:r>
            <w:r>
              <w:rPr>
                <w:rFonts w:hint="eastAsia"/>
                <w:b w:val="0"/>
                <w:bCs w:val="0"/>
                <w:color w:val="auto"/>
                <w:sz w:val="24"/>
                <w:highlight w:val="none"/>
                <w:lang w:val="en-US" w:eastAsia="zh-CN"/>
              </w:rPr>
              <w:t>淋浴废水</w:t>
            </w:r>
            <w:r>
              <w:rPr>
                <w:rFonts w:hint="default" w:ascii="Times New Roman" w:hAnsi="Times New Roman" w:eastAsia="宋体"/>
                <w:b w:val="0"/>
                <w:bCs w:val="0"/>
                <w:color w:val="auto"/>
                <w:sz w:val="24"/>
                <w:highlight w:val="none"/>
              </w:rPr>
              <w:t>和不含氮磷</w:t>
            </w:r>
            <w:r>
              <w:rPr>
                <w:rFonts w:hint="eastAsia"/>
                <w:b w:val="0"/>
                <w:bCs w:val="0"/>
                <w:color w:val="auto"/>
                <w:sz w:val="24"/>
                <w:highlight w:val="none"/>
                <w:lang w:val="en-US" w:eastAsia="zh-CN"/>
              </w:rPr>
              <w:t>的生产废水（包括纯水制备浓水和水浴锅排水）</w:t>
            </w:r>
            <w:r>
              <w:rPr>
                <w:rFonts w:hint="default" w:ascii="Times New Roman" w:hAnsi="Times New Roman" w:eastAsia="宋体"/>
                <w:b w:val="0"/>
                <w:bCs w:val="0"/>
                <w:color w:val="auto"/>
                <w:sz w:val="24"/>
                <w:highlight w:val="none"/>
              </w:rPr>
              <w:t>，水质简单，依托出租方现有管网及总排口接管市政污水管网</w:t>
            </w:r>
            <w:r>
              <w:rPr>
                <w:rFonts w:hint="eastAsia"/>
                <w:b w:val="0"/>
                <w:bCs w:val="0"/>
                <w:color w:val="auto"/>
                <w:sz w:val="24"/>
                <w:highlight w:val="none"/>
                <w:lang w:val="en-US" w:eastAsia="zh-CN"/>
              </w:rPr>
              <w:t>接管至</w:t>
            </w:r>
            <w:r>
              <w:rPr>
                <w:rStyle w:val="30"/>
                <w:rFonts w:hint="eastAsia" w:ascii="Times New Roman" w:hAnsi="Times New Roman" w:eastAsia="宋体" w:cs="Times New Roman"/>
                <w:b w:val="0"/>
                <w:bCs w:val="0"/>
                <w:color w:val="auto"/>
                <w:kern w:val="2"/>
                <w:sz w:val="24"/>
                <w:szCs w:val="24"/>
                <w:highlight w:val="none"/>
                <w:lang w:val="en-US" w:eastAsia="zh-CN"/>
              </w:rPr>
              <w:t>至太湖新城污水处理厂</w:t>
            </w:r>
            <w:r>
              <w:rPr>
                <w:rFonts w:hint="eastAsia" w:ascii="Times New Roman" w:hAnsi="Times New Roman" w:eastAsia="宋体"/>
                <w:color w:val="auto"/>
                <w:sz w:val="24"/>
                <w:szCs w:val="24"/>
                <w:highlight w:val="none"/>
                <w:lang w:eastAsia="zh-CN"/>
              </w:rPr>
              <w:t>集中</w:t>
            </w:r>
            <w:r>
              <w:rPr>
                <w:rFonts w:hint="default" w:ascii="Times New Roman" w:hAnsi="Times New Roman" w:eastAsia="宋体"/>
                <w:color w:val="auto"/>
                <w:sz w:val="24"/>
                <w:szCs w:val="24"/>
                <w:highlight w:val="none"/>
              </w:rPr>
              <w:t>处理，尾水排入京杭运河。</w:t>
            </w:r>
            <w:r>
              <w:rPr>
                <w:rFonts w:hint="default" w:ascii="Times New Roman" w:hAnsi="Times New Roman" w:eastAsia="宋体" w:cs="Times New Roman"/>
                <w:color w:val="auto"/>
                <w:sz w:val="24"/>
                <w:szCs w:val="24"/>
                <w:highlight w:val="none"/>
              </w:rPr>
              <w:t>根据《生物工程类制药工业水污染物排放标准》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GB21907-2008</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生物工程类制药的研发机构</w:t>
            </w:r>
            <w:r>
              <w:rPr>
                <w:rFonts w:hint="default" w:ascii="Times New Roman" w:hAnsi="Times New Roman" w:cs="Times New Roman"/>
                <w:color w:val="auto"/>
                <w:sz w:val="24"/>
                <w:szCs w:val="24"/>
                <w:highlight w:val="none"/>
                <w:lang w:eastAsia="zh-CN"/>
              </w:rPr>
              <w:t>可参照本标准执行，</w:t>
            </w:r>
            <w:r>
              <w:rPr>
                <w:rFonts w:hint="default" w:ascii="Times New Roman" w:hAnsi="Times New Roman" w:eastAsia="宋体" w:cs="Times New Roman"/>
                <w:color w:val="auto"/>
                <w:sz w:val="24"/>
                <w:szCs w:val="24"/>
                <w:highlight w:val="none"/>
              </w:rPr>
              <w:t>企业向设置污水处理厂的城镇排水系统排放废水时，其污染物的排放控制要求由企业与城镇污水处理厂根据其污水处理能力商定或执行相关标准</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本项目污水接管至太湖新城污水处理厂，废水接管要求COD、SS 执行《污水综合排放标准》(GB8978-1996)中表4三级标准，TP、NH3-N、TN 执行《污水排入城镇下水道水质标准》(GB/T 31962-2015)表1中A等级标准，具体见表 3-12。</w:t>
            </w:r>
          </w:p>
          <w:p w14:paraId="5E75842A">
            <w:pPr>
              <w:pStyle w:val="12"/>
              <w:keepNext w:val="0"/>
              <w:keepLines w:val="0"/>
              <w:suppressLineNumbers w:val="0"/>
              <w:spacing w:beforeAutospacing="0" w:afterAutospacing="0"/>
              <w:ind w:left="0"/>
              <w:jc w:val="center"/>
              <w:rPr>
                <w:rFonts w:hint="default" w:ascii="Times New Roman" w:hAnsi="Times New Roman"/>
                <w:color w:val="auto"/>
                <w:highlight w:val="none"/>
              </w:rPr>
            </w:pPr>
            <w:r>
              <w:rPr>
                <w:rFonts w:hint="eastAsia" w:ascii="Times New Roman" w:hAnsi="Times New Roman"/>
                <w:b/>
                <w:bCs/>
                <w:color w:val="auto"/>
                <w:sz w:val="24"/>
                <w:szCs w:val="24"/>
                <w:highlight w:val="none"/>
              </w:rPr>
              <w:t>表</w:t>
            </w:r>
            <w:r>
              <w:rPr>
                <w:rFonts w:hint="eastAsia"/>
                <w:b/>
                <w:bCs/>
                <w:color w:val="auto"/>
                <w:sz w:val="24"/>
                <w:szCs w:val="24"/>
                <w:highlight w:val="none"/>
                <w:lang w:val="en-US" w:eastAsia="zh-CN"/>
              </w:rPr>
              <w:t>3-12</w:t>
            </w:r>
            <w:r>
              <w:rPr>
                <w:rFonts w:hint="eastAsia" w:ascii="Times New Roman" w:hAnsi="Times New Roman"/>
                <w:b/>
                <w:bCs/>
                <w:color w:val="auto"/>
                <w:sz w:val="24"/>
                <w:szCs w:val="24"/>
                <w:highlight w:val="none"/>
              </w:rPr>
              <w:t xml:space="preserve">  废水污染物排放执行标准表（接管标准）</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1020"/>
              <w:gridCol w:w="1321"/>
              <w:gridCol w:w="2870"/>
              <w:gridCol w:w="2951"/>
            </w:tblGrid>
            <w:tr w14:paraId="243B60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vMerge w:val="restart"/>
                  <w:vAlign w:val="center"/>
                </w:tcPr>
                <w:p w14:paraId="36E0D718">
                  <w:pPr>
                    <w:keepNext w:val="0"/>
                    <w:keepLines w:val="0"/>
                    <w:suppressLineNumbers w:val="0"/>
                    <w:adjustRightInd w:val="0"/>
                    <w:snapToGrid w:val="0"/>
                    <w:spacing w:before="0" w:beforeAutospacing="0" w:after="0" w:afterAutospacing="0"/>
                    <w:ind w:left="0" w:right="0"/>
                    <w:jc w:val="center"/>
                    <w:rPr>
                      <w:rFonts w:hint="default" w:ascii="Times New Roman" w:hAnsi="Times New Roman"/>
                      <w:b/>
                      <w:color w:val="auto"/>
                      <w:highlight w:val="none"/>
                    </w:rPr>
                  </w:pPr>
                  <w:r>
                    <w:rPr>
                      <w:rFonts w:hint="default" w:ascii="Times New Roman" w:hAnsi="Times New Roman"/>
                      <w:b/>
                      <w:color w:val="auto"/>
                      <w:highlight w:val="none"/>
                    </w:rPr>
                    <w:t>序号</w:t>
                  </w:r>
                </w:p>
              </w:tc>
              <w:tc>
                <w:tcPr>
                  <w:tcW w:w="566" w:type="pct"/>
                  <w:vMerge w:val="restart"/>
                  <w:vAlign w:val="center"/>
                </w:tcPr>
                <w:p w14:paraId="1FA06546">
                  <w:pPr>
                    <w:keepNext w:val="0"/>
                    <w:keepLines w:val="0"/>
                    <w:suppressLineNumbers w:val="0"/>
                    <w:adjustRightInd w:val="0"/>
                    <w:snapToGrid w:val="0"/>
                    <w:spacing w:before="0" w:beforeAutospacing="0" w:after="0" w:afterAutospacing="0"/>
                    <w:ind w:left="0" w:right="0"/>
                    <w:jc w:val="center"/>
                    <w:rPr>
                      <w:rFonts w:hint="default" w:ascii="Times New Roman" w:hAnsi="Times New Roman"/>
                      <w:b/>
                      <w:color w:val="auto"/>
                      <w:highlight w:val="none"/>
                    </w:rPr>
                  </w:pPr>
                  <w:r>
                    <w:rPr>
                      <w:rFonts w:hint="default" w:ascii="Times New Roman" w:hAnsi="Times New Roman"/>
                      <w:b/>
                      <w:color w:val="auto"/>
                      <w:highlight w:val="none"/>
                    </w:rPr>
                    <w:t>排放口编号</w:t>
                  </w:r>
                </w:p>
              </w:tc>
              <w:tc>
                <w:tcPr>
                  <w:tcW w:w="733" w:type="pct"/>
                  <w:vMerge w:val="restart"/>
                  <w:vAlign w:val="center"/>
                </w:tcPr>
                <w:p w14:paraId="447021BD">
                  <w:pPr>
                    <w:keepNext w:val="0"/>
                    <w:keepLines w:val="0"/>
                    <w:suppressLineNumbers w:val="0"/>
                    <w:adjustRightInd w:val="0"/>
                    <w:snapToGrid w:val="0"/>
                    <w:spacing w:before="0" w:beforeAutospacing="0" w:after="0" w:afterAutospacing="0"/>
                    <w:ind w:left="0" w:right="0"/>
                    <w:jc w:val="center"/>
                    <w:rPr>
                      <w:rFonts w:hint="default" w:ascii="Times New Roman" w:hAnsi="Times New Roman"/>
                      <w:b/>
                      <w:color w:val="auto"/>
                      <w:highlight w:val="none"/>
                    </w:rPr>
                  </w:pPr>
                  <w:r>
                    <w:rPr>
                      <w:rFonts w:hint="default" w:ascii="Times New Roman" w:hAnsi="Times New Roman"/>
                      <w:b/>
                      <w:color w:val="auto"/>
                      <w:highlight w:val="none"/>
                    </w:rPr>
                    <w:t>污染物种类</w:t>
                  </w:r>
                </w:p>
              </w:tc>
              <w:tc>
                <w:tcPr>
                  <w:tcW w:w="3231" w:type="pct"/>
                  <w:gridSpan w:val="2"/>
                  <w:vAlign w:val="center"/>
                </w:tcPr>
                <w:p w14:paraId="39069D0F">
                  <w:pPr>
                    <w:keepNext w:val="0"/>
                    <w:keepLines w:val="0"/>
                    <w:suppressLineNumbers w:val="0"/>
                    <w:adjustRightInd w:val="0"/>
                    <w:snapToGrid w:val="0"/>
                    <w:spacing w:before="0" w:beforeAutospacing="0" w:after="0" w:afterAutospacing="0"/>
                    <w:ind w:left="0" w:right="0"/>
                    <w:jc w:val="center"/>
                    <w:rPr>
                      <w:rFonts w:hint="default" w:ascii="Times New Roman" w:hAnsi="Times New Roman"/>
                      <w:b/>
                      <w:color w:val="auto"/>
                      <w:highlight w:val="none"/>
                    </w:rPr>
                  </w:pPr>
                  <w:r>
                    <w:rPr>
                      <w:rFonts w:hint="default" w:ascii="Times New Roman" w:hAnsi="Times New Roman"/>
                      <w:b/>
                      <w:color w:val="auto"/>
                      <w:highlight w:val="none"/>
                    </w:rPr>
                    <w:t>国家或地方污染物排放标准及其他按规定商定的排放协议</w:t>
                  </w:r>
                </w:p>
              </w:tc>
            </w:tr>
            <w:tr w14:paraId="064990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vMerge w:val="continue"/>
                  <w:vAlign w:val="center"/>
                </w:tcPr>
                <w:p w14:paraId="1A7BF3AB">
                  <w:pPr>
                    <w:keepNext w:val="0"/>
                    <w:keepLines w:val="0"/>
                    <w:suppressLineNumbers w:val="0"/>
                    <w:adjustRightInd w:val="0"/>
                    <w:snapToGrid w:val="0"/>
                    <w:spacing w:before="0" w:beforeAutospacing="0" w:after="0" w:afterAutospacing="0"/>
                    <w:ind w:left="0" w:right="0"/>
                    <w:jc w:val="center"/>
                    <w:rPr>
                      <w:rFonts w:hint="default" w:ascii="Times New Roman" w:hAnsi="Times New Roman"/>
                      <w:b/>
                      <w:color w:val="auto"/>
                      <w:highlight w:val="none"/>
                    </w:rPr>
                  </w:pPr>
                </w:p>
              </w:tc>
              <w:tc>
                <w:tcPr>
                  <w:tcW w:w="566" w:type="pct"/>
                  <w:vMerge w:val="continue"/>
                  <w:vAlign w:val="center"/>
                </w:tcPr>
                <w:p w14:paraId="6333D9FF">
                  <w:pPr>
                    <w:keepNext w:val="0"/>
                    <w:keepLines w:val="0"/>
                    <w:suppressLineNumbers w:val="0"/>
                    <w:adjustRightInd w:val="0"/>
                    <w:snapToGrid w:val="0"/>
                    <w:spacing w:before="0" w:beforeAutospacing="0" w:after="0" w:afterAutospacing="0"/>
                    <w:ind w:left="0" w:right="0"/>
                    <w:jc w:val="center"/>
                    <w:rPr>
                      <w:rFonts w:hint="default" w:ascii="Times New Roman" w:hAnsi="Times New Roman"/>
                      <w:b/>
                      <w:color w:val="auto"/>
                      <w:highlight w:val="none"/>
                    </w:rPr>
                  </w:pPr>
                </w:p>
              </w:tc>
              <w:tc>
                <w:tcPr>
                  <w:tcW w:w="733" w:type="pct"/>
                  <w:vMerge w:val="continue"/>
                  <w:vAlign w:val="center"/>
                </w:tcPr>
                <w:p w14:paraId="4B475AD4">
                  <w:pPr>
                    <w:keepNext w:val="0"/>
                    <w:keepLines w:val="0"/>
                    <w:suppressLineNumbers w:val="0"/>
                    <w:adjustRightInd w:val="0"/>
                    <w:snapToGrid w:val="0"/>
                    <w:spacing w:before="0" w:beforeAutospacing="0" w:after="0" w:afterAutospacing="0"/>
                    <w:ind w:left="0" w:right="0"/>
                    <w:jc w:val="center"/>
                    <w:rPr>
                      <w:rFonts w:hint="default" w:ascii="Times New Roman" w:hAnsi="Times New Roman"/>
                      <w:b/>
                      <w:color w:val="auto"/>
                      <w:highlight w:val="none"/>
                    </w:rPr>
                  </w:pPr>
                </w:p>
              </w:tc>
              <w:tc>
                <w:tcPr>
                  <w:tcW w:w="1593" w:type="pct"/>
                  <w:vAlign w:val="center"/>
                </w:tcPr>
                <w:p w14:paraId="073DF5C0">
                  <w:pPr>
                    <w:keepNext w:val="0"/>
                    <w:keepLines w:val="0"/>
                    <w:suppressLineNumbers w:val="0"/>
                    <w:adjustRightInd w:val="0"/>
                    <w:snapToGrid w:val="0"/>
                    <w:spacing w:before="0" w:beforeAutospacing="0" w:after="0" w:afterAutospacing="0"/>
                    <w:ind w:left="0" w:right="0"/>
                    <w:jc w:val="center"/>
                    <w:rPr>
                      <w:rFonts w:hint="default" w:ascii="Times New Roman" w:hAnsi="Times New Roman"/>
                      <w:b/>
                      <w:color w:val="auto"/>
                      <w:highlight w:val="none"/>
                    </w:rPr>
                  </w:pPr>
                  <w:r>
                    <w:rPr>
                      <w:rFonts w:hint="default" w:ascii="Times New Roman" w:hAnsi="Times New Roman"/>
                      <w:b/>
                      <w:color w:val="auto"/>
                      <w:highlight w:val="none"/>
                    </w:rPr>
                    <w:t>名称</w:t>
                  </w:r>
                </w:p>
              </w:tc>
              <w:tc>
                <w:tcPr>
                  <w:tcW w:w="1637" w:type="pct"/>
                  <w:vAlign w:val="center"/>
                </w:tcPr>
                <w:p w14:paraId="5C1310B7">
                  <w:pPr>
                    <w:keepNext w:val="0"/>
                    <w:keepLines w:val="0"/>
                    <w:suppressLineNumbers w:val="0"/>
                    <w:adjustRightInd w:val="0"/>
                    <w:snapToGrid w:val="0"/>
                    <w:spacing w:before="0" w:beforeAutospacing="0" w:after="0" w:afterAutospacing="0"/>
                    <w:ind w:left="0" w:right="0"/>
                    <w:jc w:val="center"/>
                    <w:rPr>
                      <w:rFonts w:hint="default" w:ascii="Times New Roman" w:hAnsi="Times New Roman"/>
                      <w:b/>
                      <w:color w:val="auto"/>
                      <w:highlight w:val="none"/>
                    </w:rPr>
                  </w:pPr>
                  <w:r>
                    <w:rPr>
                      <w:rFonts w:hint="default" w:ascii="Times New Roman" w:hAnsi="Times New Roman"/>
                      <w:b/>
                      <w:color w:val="auto"/>
                      <w:highlight w:val="none"/>
                    </w:rPr>
                    <w:t>浓度限值（mg/L，pH无量纲）</w:t>
                  </w:r>
                </w:p>
              </w:tc>
            </w:tr>
            <w:tr w14:paraId="63B2EF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vAlign w:val="center"/>
                </w:tcPr>
                <w:p w14:paraId="1EFDBCF5">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highlight w:val="none"/>
                    </w:rPr>
                  </w:pPr>
                  <w:r>
                    <w:rPr>
                      <w:rFonts w:hint="default" w:ascii="Times New Roman" w:hAnsi="Times New Roman"/>
                      <w:color w:val="auto"/>
                      <w:highlight w:val="none"/>
                    </w:rPr>
                    <w:t>1</w:t>
                  </w:r>
                </w:p>
              </w:tc>
              <w:tc>
                <w:tcPr>
                  <w:tcW w:w="566" w:type="pct"/>
                  <w:vMerge w:val="restart"/>
                  <w:vAlign w:val="center"/>
                </w:tcPr>
                <w:p w14:paraId="25C4AC31">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highlight w:val="none"/>
                    </w:rPr>
                  </w:pPr>
                  <w:r>
                    <w:rPr>
                      <w:rFonts w:hint="eastAsia"/>
                      <w:color w:val="auto"/>
                      <w:highlight w:val="none"/>
                      <w:lang w:eastAsia="zh-CN"/>
                    </w:rPr>
                    <w:t>DW001</w:t>
                  </w:r>
                </w:p>
              </w:tc>
              <w:tc>
                <w:tcPr>
                  <w:tcW w:w="733" w:type="pct"/>
                  <w:vAlign w:val="center"/>
                </w:tcPr>
                <w:p w14:paraId="382DC6ED">
                  <w:pPr>
                    <w:keepNext w:val="0"/>
                    <w:keepLines w:val="0"/>
                    <w:suppressLineNumbers w:val="0"/>
                    <w:spacing w:before="0" w:beforeAutospacing="0" w:after="0" w:afterAutospacing="0"/>
                    <w:ind w:left="0" w:right="0"/>
                    <w:jc w:val="center"/>
                    <w:rPr>
                      <w:rFonts w:hint="default" w:ascii="Times New Roman" w:hAnsi="Times New Roman"/>
                      <w:color w:val="auto"/>
                      <w:highlight w:val="none"/>
                    </w:rPr>
                  </w:pPr>
                  <w:r>
                    <w:rPr>
                      <w:rFonts w:hint="default" w:ascii="Times New Roman" w:hAnsi="Times New Roman"/>
                      <w:color w:val="auto"/>
                      <w:highlight w:val="none"/>
                    </w:rPr>
                    <w:t>pH</w:t>
                  </w:r>
                </w:p>
              </w:tc>
              <w:tc>
                <w:tcPr>
                  <w:tcW w:w="1593" w:type="pct"/>
                  <w:vMerge w:val="restart"/>
                  <w:vAlign w:val="center"/>
                </w:tcPr>
                <w:p w14:paraId="67946778">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highlight w:val="none"/>
                    </w:rPr>
                  </w:pPr>
                  <w:r>
                    <w:rPr>
                      <w:rFonts w:hint="default" w:ascii="Times New Roman" w:hAnsi="Times New Roman"/>
                      <w:color w:val="auto"/>
                      <w:highlight w:val="none"/>
                    </w:rPr>
                    <w:t>《污水综合排放标准》（GB8978-1996）表4中三级标准</w:t>
                  </w:r>
                </w:p>
              </w:tc>
              <w:tc>
                <w:tcPr>
                  <w:tcW w:w="1637" w:type="pct"/>
                  <w:vAlign w:val="center"/>
                </w:tcPr>
                <w:p w14:paraId="185F5087">
                  <w:pPr>
                    <w:keepNext w:val="0"/>
                    <w:keepLines w:val="0"/>
                    <w:suppressLineNumbers w:val="0"/>
                    <w:spacing w:before="0" w:beforeAutospacing="0" w:after="0" w:afterAutospacing="0"/>
                    <w:ind w:left="0" w:right="0"/>
                    <w:jc w:val="center"/>
                    <w:rPr>
                      <w:rFonts w:hint="default" w:ascii="Times New Roman" w:hAnsi="Times New Roman"/>
                      <w:color w:val="auto"/>
                      <w:highlight w:val="none"/>
                    </w:rPr>
                  </w:pPr>
                  <w:r>
                    <w:rPr>
                      <w:rFonts w:hint="default" w:ascii="Times New Roman" w:hAnsi="Times New Roman"/>
                      <w:color w:val="auto"/>
                      <w:highlight w:val="none"/>
                    </w:rPr>
                    <w:t>6-9</w:t>
                  </w:r>
                </w:p>
              </w:tc>
            </w:tr>
            <w:tr w14:paraId="6B5C48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vAlign w:val="center"/>
                </w:tcPr>
                <w:p w14:paraId="1E3C9118">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highlight w:val="none"/>
                    </w:rPr>
                  </w:pPr>
                  <w:r>
                    <w:rPr>
                      <w:rFonts w:hint="default" w:ascii="Times New Roman" w:hAnsi="Times New Roman"/>
                      <w:color w:val="auto"/>
                      <w:highlight w:val="none"/>
                    </w:rPr>
                    <w:t>2</w:t>
                  </w:r>
                </w:p>
              </w:tc>
              <w:tc>
                <w:tcPr>
                  <w:tcW w:w="566" w:type="pct"/>
                  <w:vMerge w:val="continue"/>
                  <w:vAlign w:val="center"/>
                </w:tcPr>
                <w:p w14:paraId="182CD2B1">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highlight w:val="none"/>
                    </w:rPr>
                  </w:pPr>
                </w:p>
              </w:tc>
              <w:tc>
                <w:tcPr>
                  <w:tcW w:w="733" w:type="pct"/>
                  <w:vAlign w:val="center"/>
                </w:tcPr>
                <w:p w14:paraId="322E475B">
                  <w:pPr>
                    <w:keepNext w:val="0"/>
                    <w:keepLines w:val="0"/>
                    <w:suppressLineNumbers w:val="0"/>
                    <w:spacing w:before="0" w:beforeAutospacing="0" w:after="0" w:afterAutospacing="0"/>
                    <w:ind w:left="0" w:right="0"/>
                    <w:jc w:val="center"/>
                    <w:rPr>
                      <w:rFonts w:hint="default" w:ascii="Times New Roman" w:hAnsi="Times New Roman"/>
                      <w:color w:val="auto"/>
                      <w:highlight w:val="none"/>
                    </w:rPr>
                  </w:pPr>
                  <w:r>
                    <w:rPr>
                      <w:rFonts w:hint="default" w:ascii="Times New Roman" w:hAnsi="Times New Roman"/>
                      <w:color w:val="auto"/>
                      <w:highlight w:val="none"/>
                    </w:rPr>
                    <w:t>COD</w:t>
                  </w:r>
                </w:p>
              </w:tc>
              <w:tc>
                <w:tcPr>
                  <w:tcW w:w="1593" w:type="pct"/>
                  <w:vMerge w:val="continue"/>
                  <w:vAlign w:val="center"/>
                </w:tcPr>
                <w:p w14:paraId="03996A13">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highlight w:val="none"/>
                    </w:rPr>
                  </w:pPr>
                </w:p>
              </w:tc>
              <w:tc>
                <w:tcPr>
                  <w:tcW w:w="1637" w:type="pct"/>
                  <w:vAlign w:val="center"/>
                </w:tcPr>
                <w:p w14:paraId="55EE07E8">
                  <w:pPr>
                    <w:keepNext w:val="0"/>
                    <w:keepLines w:val="0"/>
                    <w:suppressLineNumbers w:val="0"/>
                    <w:spacing w:before="0" w:beforeAutospacing="0" w:after="0" w:afterAutospacing="0"/>
                    <w:ind w:left="0" w:right="0"/>
                    <w:jc w:val="center"/>
                    <w:rPr>
                      <w:rFonts w:hint="default" w:ascii="Times New Roman" w:hAnsi="Times New Roman"/>
                      <w:color w:val="auto"/>
                      <w:highlight w:val="none"/>
                    </w:rPr>
                  </w:pPr>
                  <w:r>
                    <w:rPr>
                      <w:rFonts w:hint="default" w:ascii="Times New Roman" w:hAnsi="Times New Roman"/>
                      <w:color w:val="auto"/>
                      <w:highlight w:val="none"/>
                    </w:rPr>
                    <w:t>500</w:t>
                  </w:r>
                </w:p>
              </w:tc>
            </w:tr>
            <w:tr w14:paraId="6D8BDE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vAlign w:val="center"/>
                </w:tcPr>
                <w:p w14:paraId="596E3D25">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highlight w:val="none"/>
                    </w:rPr>
                  </w:pPr>
                  <w:r>
                    <w:rPr>
                      <w:rFonts w:hint="default" w:ascii="Times New Roman" w:hAnsi="Times New Roman"/>
                      <w:color w:val="auto"/>
                      <w:highlight w:val="none"/>
                    </w:rPr>
                    <w:t>3</w:t>
                  </w:r>
                </w:p>
              </w:tc>
              <w:tc>
                <w:tcPr>
                  <w:tcW w:w="566" w:type="pct"/>
                  <w:vMerge w:val="continue"/>
                  <w:vAlign w:val="center"/>
                </w:tcPr>
                <w:p w14:paraId="784E1DFD">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highlight w:val="none"/>
                    </w:rPr>
                  </w:pPr>
                </w:p>
              </w:tc>
              <w:tc>
                <w:tcPr>
                  <w:tcW w:w="733" w:type="pct"/>
                  <w:vAlign w:val="center"/>
                </w:tcPr>
                <w:p w14:paraId="6AE2C661">
                  <w:pPr>
                    <w:keepNext w:val="0"/>
                    <w:keepLines w:val="0"/>
                    <w:suppressLineNumbers w:val="0"/>
                    <w:spacing w:before="0" w:beforeAutospacing="0" w:after="0" w:afterAutospacing="0"/>
                    <w:ind w:left="0" w:right="0"/>
                    <w:jc w:val="center"/>
                    <w:rPr>
                      <w:rFonts w:hint="default" w:ascii="Times New Roman" w:hAnsi="Times New Roman"/>
                      <w:color w:val="auto"/>
                      <w:highlight w:val="none"/>
                    </w:rPr>
                  </w:pPr>
                  <w:r>
                    <w:rPr>
                      <w:rFonts w:hint="default" w:ascii="Times New Roman" w:hAnsi="Times New Roman"/>
                      <w:color w:val="auto"/>
                      <w:highlight w:val="none"/>
                    </w:rPr>
                    <w:t>SS</w:t>
                  </w:r>
                </w:p>
              </w:tc>
              <w:tc>
                <w:tcPr>
                  <w:tcW w:w="1593" w:type="pct"/>
                  <w:vMerge w:val="continue"/>
                  <w:vAlign w:val="center"/>
                </w:tcPr>
                <w:p w14:paraId="798B6426">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highlight w:val="none"/>
                    </w:rPr>
                  </w:pPr>
                </w:p>
              </w:tc>
              <w:tc>
                <w:tcPr>
                  <w:tcW w:w="1637" w:type="pct"/>
                  <w:vAlign w:val="center"/>
                </w:tcPr>
                <w:p w14:paraId="5BD948FB">
                  <w:pPr>
                    <w:keepNext w:val="0"/>
                    <w:keepLines w:val="0"/>
                    <w:suppressLineNumbers w:val="0"/>
                    <w:spacing w:before="0" w:beforeAutospacing="0" w:after="0" w:afterAutospacing="0"/>
                    <w:ind w:left="0" w:right="0"/>
                    <w:jc w:val="center"/>
                    <w:rPr>
                      <w:rFonts w:hint="default" w:ascii="Times New Roman" w:hAnsi="Times New Roman"/>
                      <w:color w:val="auto"/>
                      <w:highlight w:val="none"/>
                    </w:rPr>
                  </w:pPr>
                  <w:r>
                    <w:rPr>
                      <w:rFonts w:hint="default" w:ascii="Times New Roman" w:hAnsi="Times New Roman"/>
                      <w:color w:val="auto"/>
                      <w:highlight w:val="none"/>
                    </w:rPr>
                    <w:t>400</w:t>
                  </w:r>
                </w:p>
              </w:tc>
            </w:tr>
            <w:tr w14:paraId="54FC4B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vAlign w:val="center"/>
                </w:tcPr>
                <w:p w14:paraId="503A2152">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highlight w:val="none"/>
                    </w:rPr>
                  </w:pPr>
                  <w:r>
                    <w:rPr>
                      <w:rFonts w:hint="default" w:ascii="Times New Roman" w:hAnsi="Times New Roman"/>
                      <w:color w:val="auto"/>
                      <w:highlight w:val="none"/>
                    </w:rPr>
                    <w:t>4</w:t>
                  </w:r>
                </w:p>
              </w:tc>
              <w:tc>
                <w:tcPr>
                  <w:tcW w:w="566" w:type="pct"/>
                  <w:vMerge w:val="continue"/>
                  <w:vAlign w:val="center"/>
                </w:tcPr>
                <w:p w14:paraId="0BC1E94F">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highlight w:val="none"/>
                    </w:rPr>
                  </w:pPr>
                </w:p>
              </w:tc>
              <w:tc>
                <w:tcPr>
                  <w:tcW w:w="733" w:type="pct"/>
                  <w:vAlign w:val="center"/>
                </w:tcPr>
                <w:p w14:paraId="09CEB96D">
                  <w:pPr>
                    <w:keepNext w:val="0"/>
                    <w:keepLines w:val="0"/>
                    <w:suppressLineNumbers w:val="0"/>
                    <w:spacing w:before="0" w:beforeAutospacing="0" w:after="0" w:afterAutospacing="0"/>
                    <w:ind w:left="0" w:right="0"/>
                    <w:jc w:val="center"/>
                    <w:rPr>
                      <w:rFonts w:hint="default" w:ascii="Times New Roman" w:hAnsi="Times New Roman"/>
                      <w:color w:val="auto"/>
                      <w:highlight w:val="none"/>
                    </w:rPr>
                  </w:pPr>
                  <w:r>
                    <w:rPr>
                      <w:rFonts w:hint="default" w:ascii="Times New Roman" w:hAnsi="Times New Roman"/>
                      <w:color w:val="auto"/>
                      <w:highlight w:val="none"/>
                    </w:rPr>
                    <w:t>NH</w:t>
                  </w:r>
                  <w:r>
                    <w:rPr>
                      <w:rFonts w:hint="default" w:ascii="Times New Roman" w:hAnsi="Times New Roman"/>
                      <w:color w:val="auto"/>
                      <w:highlight w:val="none"/>
                      <w:vertAlign w:val="subscript"/>
                    </w:rPr>
                    <w:t>3</w:t>
                  </w:r>
                  <w:r>
                    <w:rPr>
                      <w:rFonts w:hint="default" w:ascii="Times New Roman" w:hAnsi="Times New Roman"/>
                      <w:color w:val="auto"/>
                      <w:highlight w:val="none"/>
                    </w:rPr>
                    <w:t>-N</w:t>
                  </w:r>
                </w:p>
              </w:tc>
              <w:tc>
                <w:tcPr>
                  <w:tcW w:w="1593" w:type="pct"/>
                  <w:vMerge w:val="restart"/>
                  <w:vAlign w:val="center"/>
                </w:tcPr>
                <w:p w14:paraId="3AE61987">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highlight w:val="none"/>
                    </w:rPr>
                  </w:pPr>
                  <w:r>
                    <w:rPr>
                      <w:rFonts w:hint="default" w:ascii="Times New Roman" w:hAnsi="Times New Roman"/>
                      <w:color w:val="auto"/>
                      <w:highlight w:val="none"/>
                    </w:rPr>
                    <w:t>《污水排入城镇下水道水质标准》（GB/T31962-2015）表1中A级标准</w:t>
                  </w:r>
                </w:p>
              </w:tc>
              <w:tc>
                <w:tcPr>
                  <w:tcW w:w="1637" w:type="pct"/>
                  <w:vAlign w:val="center"/>
                </w:tcPr>
                <w:p w14:paraId="6E04E6BA">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highlight w:val="none"/>
                    </w:rPr>
                  </w:pPr>
                  <w:r>
                    <w:rPr>
                      <w:rFonts w:hint="default" w:ascii="Times New Roman" w:hAnsi="Times New Roman"/>
                      <w:color w:val="auto"/>
                      <w:highlight w:val="none"/>
                    </w:rPr>
                    <w:t>45</w:t>
                  </w:r>
                </w:p>
              </w:tc>
            </w:tr>
            <w:tr w14:paraId="1842E9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vAlign w:val="center"/>
                </w:tcPr>
                <w:p w14:paraId="0A43CE5A">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highlight w:val="none"/>
                    </w:rPr>
                  </w:pPr>
                  <w:r>
                    <w:rPr>
                      <w:rFonts w:hint="default" w:ascii="Times New Roman" w:hAnsi="Times New Roman"/>
                      <w:color w:val="auto"/>
                      <w:highlight w:val="none"/>
                    </w:rPr>
                    <w:t>5</w:t>
                  </w:r>
                </w:p>
              </w:tc>
              <w:tc>
                <w:tcPr>
                  <w:tcW w:w="566" w:type="pct"/>
                  <w:vMerge w:val="continue"/>
                  <w:vAlign w:val="center"/>
                </w:tcPr>
                <w:p w14:paraId="40EEF02B">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highlight w:val="none"/>
                    </w:rPr>
                  </w:pPr>
                </w:p>
              </w:tc>
              <w:tc>
                <w:tcPr>
                  <w:tcW w:w="733" w:type="pct"/>
                  <w:vAlign w:val="center"/>
                </w:tcPr>
                <w:p w14:paraId="0058DD38">
                  <w:pPr>
                    <w:keepNext w:val="0"/>
                    <w:keepLines w:val="0"/>
                    <w:suppressLineNumbers w:val="0"/>
                    <w:spacing w:before="0" w:beforeAutospacing="0" w:after="0" w:afterAutospacing="0"/>
                    <w:ind w:left="0" w:right="0"/>
                    <w:jc w:val="center"/>
                    <w:rPr>
                      <w:rFonts w:hint="default" w:ascii="Times New Roman" w:hAnsi="Times New Roman"/>
                      <w:color w:val="auto"/>
                      <w:highlight w:val="none"/>
                    </w:rPr>
                  </w:pPr>
                  <w:r>
                    <w:rPr>
                      <w:rFonts w:hint="default" w:ascii="Times New Roman" w:hAnsi="Times New Roman"/>
                      <w:color w:val="auto"/>
                      <w:highlight w:val="none"/>
                    </w:rPr>
                    <w:t>TN</w:t>
                  </w:r>
                </w:p>
              </w:tc>
              <w:tc>
                <w:tcPr>
                  <w:tcW w:w="1593" w:type="pct"/>
                  <w:vMerge w:val="continue"/>
                  <w:vAlign w:val="center"/>
                </w:tcPr>
                <w:p w14:paraId="5B11BEAA">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highlight w:val="none"/>
                    </w:rPr>
                  </w:pPr>
                </w:p>
              </w:tc>
              <w:tc>
                <w:tcPr>
                  <w:tcW w:w="1637" w:type="pct"/>
                  <w:vAlign w:val="center"/>
                </w:tcPr>
                <w:p w14:paraId="06C8E4B5">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highlight w:val="none"/>
                    </w:rPr>
                  </w:pPr>
                  <w:r>
                    <w:rPr>
                      <w:rFonts w:hint="default" w:ascii="Times New Roman" w:hAnsi="Times New Roman"/>
                      <w:color w:val="auto"/>
                      <w:highlight w:val="none"/>
                    </w:rPr>
                    <w:t>70</w:t>
                  </w:r>
                </w:p>
              </w:tc>
            </w:tr>
            <w:tr w14:paraId="3E0DCC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vAlign w:val="center"/>
                </w:tcPr>
                <w:p w14:paraId="01D4F18D">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highlight w:val="none"/>
                    </w:rPr>
                  </w:pPr>
                  <w:r>
                    <w:rPr>
                      <w:rFonts w:hint="default" w:ascii="Times New Roman" w:hAnsi="Times New Roman"/>
                      <w:color w:val="auto"/>
                      <w:highlight w:val="none"/>
                    </w:rPr>
                    <w:t>6</w:t>
                  </w:r>
                </w:p>
              </w:tc>
              <w:tc>
                <w:tcPr>
                  <w:tcW w:w="566" w:type="pct"/>
                  <w:vMerge w:val="continue"/>
                  <w:vAlign w:val="center"/>
                </w:tcPr>
                <w:p w14:paraId="35F3CEC0">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highlight w:val="none"/>
                    </w:rPr>
                  </w:pPr>
                </w:p>
              </w:tc>
              <w:tc>
                <w:tcPr>
                  <w:tcW w:w="733" w:type="pct"/>
                  <w:vAlign w:val="center"/>
                </w:tcPr>
                <w:p w14:paraId="7B638827">
                  <w:pPr>
                    <w:keepNext w:val="0"/>
                    <w:keepLines w:val="0"/>
                    <w:suppressLineNumbers w:val="0"/>
                    <w:spacing w:before="0" w:beforeAutospacing="0" w:after="0" w:afterAutospacing="0"/>
                    <w:ind w:left="0" w:right="0"/>
                    <w:jc w:val="center"/>
                    <w:rPr>
                      <w:rFonts w:hint="default" w:ascii="Times New Roman" w:hAnsi="Times New Roman"/>
                      <w:color w:val="auto"/>
                      <w:highlight w:val="none"/>
                    </w:rPr>
                  </w:pPr>
                  <w:r>
                    <w:rPr>
                      <w:rFonts w:hint="default" w:ascii="Times New Roman" w:hAnsi="Times New Roman"/>
                      <w:color w:val="auto"/>
                      <w:highlight w:val="none"/>
                    </w:rPr>
                    <w:t>TP</w:t>
                  </w:r>
                </w:p>
              </w:tc>
              <w:tc>
                <w:tcPr>
                  <w:tcW w:w="1593" w:type="pct"/>
                  <w:vMerge w:val="continue"/>
                  <w:vAlign w:val="center"/>
                </w:tcPr>
                <w:p w14:paraId="54A5DDE2">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highlight w:val="none"/>
                    </w:rPr>
                  </w:pPr>
                </w:p>
              </w:tc>
              <w:tc>
                <w:tcPr>
                  <w:tcW w:w="1637" w:type="pct"/>
                  <w:vAlign w:val="center"/>
                </w:tcPr>
                <w:p w14:paraId="3BA7D54F">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highlight w:val="none"/>
                    </w:rPr>
                  </w:pPr>
                  <w:r>
                    <w:rPr>
                      <w:rFonts w:hint="default" w:ascii="Times New Roman" w:hAnsi="Times New Roman"/>
                      <w:color w:val="auto"/>
                      <w:highlight w:val="none"/>
                    </w:rPr>
                    <w:t>8</w:t>
                  </w:r>
                </w:p>
              </w:tc>
            </w:tr>
          </w:tbl>
          <w:p w14:paraId="587111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Times New Roman" w:hAnsi="Times New Roman" w:cs="宋体"/>
                <w:b/>
                <w:bCs/>
                <w:color w:val="auto"/>
                <w:sz w:val="24"/>
                <w:szCs w:val="24"/>
                <w:highlight w:val="none"/>
              </w:rPr>
            </w:pPr>
            <w:r>
              <w:rPr>
                <w:rFonts w:hint="eastAsia" w:ascii="Times New Roman" w:hAnsi="Times New Roman" w:cs="宋体"/>
                <w:b w:val="0"/>
                <w:bCs/>
                <w:color w:val="auto"/>
                <w:sz w:val="24"/>
                <w:szCs w:val="24"/>
                <w:highlight w:val="none"/>
              </w:rPr>
              <w:t>太湖新城污水处理厂排放的尾水执行《太湖地区城镇污水处理厂及重点工业行业主要水污染物排放限值》(DB32/T1072-2018)表1中标准及《城镇污水处理厂污染物排放标准》(GB18918-2002)表1中一级标准A标准。各污染物排放标准见表3-</w:t>
            </w:r>
            <w:r>
              <w:rPr>
                <w:rFonts w:hint="eastAsia" w:ascii="Times New Roman" w:hAnsi="Times New Roman" w:cs="宋体"/>
                <w:b w:val="0"/>
                <w:bCs/>
                <w:color w:val="auto"/>
                <w:sz w:val="24"/>
                <w:szCs w:val="24"/>
                <w:highlight w:val="none"/>
                <w:lang w:val="en-US" w:eastAsia="zh-CN"/>
              </w:rPr>
              <w:t>13</w:t>
            </w:r>
            <w:r>
              <w:rPr>
                <w:rFonts w:hint="eastAsia" w:ascii="Times New Roman" w:hAnsi="Times New Roman" w:cs="宋体"/>
                <w:b w:val="0"/>
                <w:bCs/>
                <w:color w:val="auto"/>
                <w:sz w:val="24"/>
                <w:szCs w:val="24"/>
                <w:highlight w:val="none"/>
              </w:rPr>
              <w:t>。</w:t>
            </w:r>
          </w:p>
          <w:p w14:paraId="179D3986">
            <w:pPr>
              <w:keepNext w:val="0"/>
              <w:keepLines w:val="0"/>
              <w:suppressLineNumbers w:val="0"/>
              <w:spacing w:before="0" w:beforeAutospacing="0" w:after="0" w:afterAutospacing="0"/>
              <w:ind w:left="0" w:right="0"/>
              <w:jc w:val="center"/>
              <w:rPr>
                <w:rFonts w:hint="eastAsia" w:ascii="Times New Roman" w:hAnsi="Times New Roman" w:cs="宋体"/>
                <w:b/>
                <w:bCs/>
                <w:color w:val="auto"/>
                <w:sz w:val="24"/>
                <w:szCs w:val="24"/>
                <w:highlight w:val="none"/>
              </w:rPr>
            </w:pPr>
          </w:p>
          <w:p w14:paraId="38C67A01">
            <w:pPr>
              <w:keepNext w:val="0"/>
              <w:keepLines w:val="0"/>
              <w:suppressLineNumbers w:val="0"/>
              <w:spacing w:before="0" w:beforeAutospacing="0" w:after="0" w:afterAutospacing="0"/>
              <w:ind w:left="0" w:right="0"/>
              <w:jc w:val="center"/>
              <w:rPr>
                <w:rFonts w:hint="eastAsia" w:ascii="Times New Roman" w:hAnsi="Times New Roman" w:cs="宋体"/>
                <w:b/>
                <w:bCs/>
                <w:color w:val="auto"/>
                <w:sz w:val="24"/>
                <w:szCs w:val="24"/>
                <w:highlight w:val="none"/>
              </w:rPr>
            </w:pPr>
          </w:p>
          <w:p w14:paraId="7FF941F5">
            <w:pPr>
              <w:keepNext w:val="0"/>
              <w:keepLines w:val="0"/>
              <w:suppressLineNumbers w:val="0"/>
              <w:spacing w:before="0" w:beforeAutospacing="0" w:after="0" w:afterAutospacing="0"/>
              <w:ind w:left="0" w:right="0"/>
              <w:jc w:val="center"/>
              <w:rPr>
                <w:rFonts w:hint="eastAsia" w:ascii="Times New Roman" w:hAnsi="Times New Roman" w:cs="宋体"/>
                <w:b/>
                <w:bCs/>
                <w:color w:val="auto"/>
                <w:sz w:val="24"/>
                <w:szCs w:val="24"/>
                <w:highlight w:val="none"/>
              </w:rPr>
            </w:pPr>
          </w:p>
          <w:p w14:paraId="76EA35AB">
            <w:pPr>
              <w:keepNext w:val="0"/>
              <w:keepLines w:val="0"/>
              <w:suppressLineNumbers w:val="0"/>
              <w:spacing w:before="0" w:beforeAutospacing="0" w:after="0" w:afterAutospacing="0"/>
              <w:ind w:left="0" w:right="0"/>
              <w:jc w:val="center"/>
              <w:rPr>
                <w:rFonts w:hint="eastAsia" w:ascii="Times New Roman" w:hAnsi="Times New Roman" w:cs="宋体"/>
                <w:b/>
                <w:bCs/>
                <w:color w:val="auto"/>
                <w:sz w:val="24"/>
                <w:szCs w:val="24"/>
                <w:highlight w:val="none"/>
              </w:rPr>
            </w:pPr>
          </w:p>
          <w:p w14:paraId="66A1E562">
            <w:pPr>
              <w:keepNext w:val="0"/>
              <w:keepLines w:val="0"/>
              <w:suppressLineNumbers w:val="0"/>
              <w:spacing w:before="0" w:beforeAutospacing="0" w:after="0" w:afterAutospacing="0"/>
              <w:ind w:left="0" w:right="0"/>
              <w:jc w:val="center"/>
              <w:rPr>
                <w:rFonts w:hint="eastAsia" w:ascii="Times New Roman" w:hAnsi="Times New Roman" w:cs="宋体"/>
                <w:b/>
                <w:bCs/>
                <w:color w:val="auto"/>
                <w:sz w:val="24"/>
                <w:szCs w:val="24"/>
                <w:highlight w:val="none"/>
              </w:rPr>
            </w:pPr>
          </w:p>
          <w:p w14:paraId="20AEDC76">
            <w:pPr>
              <w:keepNext w:val="0"/>
              <w:keepLines w:val="0"/>
              <w:suppressLineNumbers w:val="0"/>
              <w:spacing w:before="0" w:beforeAutospacing="0" w:after="0" w:afterAutospacing="0"/>
              <w:ind w:left="0" w:right="0"/>
              <w:jc w:val="center"/>
              <w:rPr>
                <w:rFonts w:hint="eastAsia" w:ascii="Times New Roman" w:hAnsi="Times New Roman" w:cs="宋体"/>
                <w:b/>
                <w:bCs/>
                <w:color w:val="auto"/>
                <w:sz w:val="24"/>
                <w:szCs w:val="24"/>
                <w:highlight w:val="none"/>
              </w:rPr>
            </w:pPr>
          </w:p>
          <w:p w14:paraId="722C4A4A">
            <w:pPr>
              <w:keepNext w:val="0"/>
              <w:keepLines w:val="0"/>
              <w:suppressLineNumbers w:val="0"/>
              <w:spacing w:before="0" w:beforeAutospacing="0" w:after="0" w:afterAutospacing="0"/>
              <w:ind w:left="0" w:right="0"/>
              <w:jc w:val="center"/>
              <w:rPr>
                <w:rFonts w:hint="eastAsia" w:ascii="Times New Roman" w:hAnsi="Times New Roman" w:cs="宋体"/>
                <w:b/>
                <w:bCs/>
                <w:color w:val="auto"/>
                <w:sz w:val="24"/>
                <w:szCs w:val="24"/>
                <w:highlight w:val="none"/>
              </w:rPr>
            </w:pPr>
            <w:r>
              <w:rPr>
                <w:rFonts w:hint="eastAsia" w:ascii="Times New Roman" w:hAnsi="Times New Roman" w:cs="宋体"/>
                <w:b/>
                <w:bCs/>
                <w:color w:val="auto"/>
                <w:sz w:val="24"/>
                <w:szCs w:val="24"/>
                <w:highlight w:val="none"/>
              </w:rPr>
              <w:t>表</w:t>
            </w:r>
            <w:r>
              <w:rPr>
                <w:rFonts w:hint="eastAsia" w:cs="宋体"/>
                <w:b/>
                <w:bCs/>
                <w:color w:val="auto"/>
                <w:sz w:val="24"/>
                <w:szCs w:val="24"/>
                <w:highlight w:val="none"/>
                <w:lang w:val="en-US" w:eastAsia="zh-CN"/>
              </w:rPr>
              <w:t xml:space="preserve">3-13 </w:t>
            </w:r>
            <w:r>
              <w:rPr>
                <w:rFonts w:hint="eastAsia" w:ascii="Times New Roman" w:hAnsi="Times New Roman" w:cs="宋体"/>
                <w:b/>
                <w:bCs/>
                <w:color w:val="auto"/>
                <w:sz w:val="24"/>
                <w:szCs w:val="24"/>
                <w:highlight w:val="none"/>
              </w:rPr>
              <w:t xml:space="preserve"> </w:t>
            </w:r>
            <w:r>
              <w:rPr>
                <w:rFonts w:hint="eastAsia" w:ascii="Times New Roman" w:hAnsi="Times New Roman" w:cs="宋体"/>
                <w:b/>
                <w:bCs/>
                <w:color w:val="auto"/>
                <w:sz w:val="24"/>
                <w:szCs w:val="24"/>
                <w:highlight w:val="none"/>
                <w:lang w:val="en-US" w:eastAsia="zh-CN"/>
              </w:rPr>
              <w:t>太湖新城</w:t>
            </w:r>
            <w:r>
              <w:rPr>
                <w:rFonts w:hint="eastAsia" w:ascii="Times New Roman" w:hAnsi="Times New Roman" w:cs="宋体"/>
                <w:b/>
                <w:bCs/>
                <w:color w:val="auto"/>
                <w:sz w:val="24"/>
                <w:szCs w:val="24"/>
                <w:highlight w:val="none"/>
              </w:rPr>
              <w:t>污水处理厂尾水排放标准表</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2"/>
              <w:gridCol w:w="1692"/>
              <w:gridCol w:w="3322"/>
              <w:gridCol w:w="3120"/>
            </w:tblGrid>
            <w:tr w14:paraId="2AB502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84" w:type="pct"/>
                  <w:vMerge w:val="restart"/>
                  <w:tcBorders>
                    <w:tl2br w:val="nil"/>
                    <w:tr2bl w:val="nil"/>
                  </w:tcBorders>
                  <w:vAlign w:val="center"/>
                </w:tcPr>
                <w:p w14:paraId="578D0AD2">
                  <w:pPr>
                    <w:keepNext w:val="0"/>
                    <w:keepLines w:val="0"/>
                    <w:suppressLineNumbers w:val="0"/>
                    <w:spacing w:before="0" w:beforeAutospacing="0" w:after="0" w:afterAutospacing="0"/>
                    <w:ind w:left="0" w:right="0"/>
                    <w:jc w:val="center"/>
                    <w:rPr>
                      <w:rFonts w:hint="default" w:ascii="Times New Roman" w:hAnsi="Times New Roman"/>
                      <w:b/>
                      <w:bCs/>
                      <w:color w:val="auto"/>
                      <w:highlight w:val="none"/>
                    </w:rPr>
                  </w:pPr>
                  <w:r>
                    <w:rPr>
                      <w:rFonts w:hint="default" w:ascii="Times New Roman" w:hAnsi="Times New Roman"/>
                      <w:b/>
                      <w:bCs/>
                      <w:color w:val="auto"/>
                      <w:highlight w:val="none"/>
                    </w:rPr>
                    <w:t>序号</w:t>
                  </w:r>
                </w:p>
              </w:tc>
              <w:tc>
                <w:tcPr>
                  <w:tcW w:w="939" w:type="pct"/>
                  <w:vMerge w:val="restart"/>
                  <w:tcBorders>
                    <w:tl2br w:val="nil"/>
                    <w:tr2bl w:val="nil"/>
                  </w:tcBorders>
                  <w:vAlign w:val="center"/>
                </w:tcPr>
                <w:p w14:paraId="673F3F04">
                  <w:pPr>
                    <w:keepNext w:val="0"/>
                    <w:keepLines w:val="0"/>
                    <w:suppressLineNumbers w:val="0"/>
                    <w:spacing w:before="0" w:beforeAutospacing="0" w:after="0" w:afterAutospacing="0"/>
                    <w:ind w:left="0" w:right="0"/>
                    <w:jc w:val="center"/>
                    <w:rPr>
                      <w:rFonts w:hint="default" w:ascii="Times New Roman" w:hAnsi="Times New Roman"/>
                      <w:b/>
                      <w:bCs/>
                      <w:color w:val="auto"/>
                      <w:highlight w:val="none"/>
                    </w:rPr>
                  </w:pPr>
                  <w:r>
                    <w:rPr>
                      <w:rFonts w:hint="default" w:ascii="Times New Roman" w:hAnsi="Times New Roman"/>
                      <w:b/>
                      <w:bCs/>
                      <w:color w:val="auto"/>
                      <w:highlight w:val="none"/>
                    </w:rPr>
                    <w:t>污染物种类</w:t>
                  </w:r>
                </w:p>
              </w:tc>
              <w:tc>
                <w:tcPr>
                  <w:tcW w:w="3576" w:type="pct"/>
                  <w:gridSpan w:val="2"/>
                  <w:tcBorders>
                    <w:tl2br w:val="nil"/>
                    <w:tr2bl w:val="nil"/>
                  </w:tcBorders>
                  <w:vAlign w:val="center"/>
                </w:tcPr>
                <w:p w14:paraId="137F39C9">
                  <w:pPr>
                    <w:keepNext w:val="0"/>
                    <w:keepLines w:val="0"/>
                    <w:suppressLineNumbers w:val="0"/>
                    <w:spacing w:before="0" w:beforeAutospacing="0" w:after="0" w:afterAutospacing="0"/>
                    <w:ind w:left="0" w:right="0"/>
                    <w:jc w:val="center"/>
                    <w:rPr>
                      <w:rFonts w:hint="default" w:ascii="Times New Roman" w:hAnsi="Times New Roman"/>
                      <w:b/>
                      <w:bCs/>
                      <w:color w:val="auto"/>
                      <w:highlight w:val="none"/>
                    </w:rPr>
                  </w:pPr>
                  <w:r>
                    <w:rPr>
                      <w:rFonts w:hint="default" w:ascii="Times New Roman" w:hAnsi="Times New Roman"/>
                      <w:b/>
                      <w:bCs/>
                      <w:color w:val="auto"/>
                      <w:highlight w:val="none"/>
                    </w:rPr>
                    <w:t>最终尾水排放标准</w:t>
                  </w:r>
                </w:p>
              </w:tc>
            </w:tr>
            <w:tr w14:paraId="373170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484" w:type="pct"/>
                  <w:vMerge w:val="continue"/>
                  <w:tcBorders>
                    <w:tl2br w:val="nil"/>
                    <w:tr2bl w:val="nil"/>
                  </w:tcBorders>
                  <w:vAlign w:val="center"/>
                </w:tcPr>
                <w:p w14:paraId="7C058B50">
                  <w:pPr>
                    <w:keepNext w:val="0"/>
                    <w:keepLines w:val="0"/>
                    <w:suppressLineNumbers w:val="0"/>
                    <w:spacing w:before="0" w:beforeAutospacing="0" w:after="0" w:afterAutospacing="0"/>
                    <w:ind w:left="0" w:right="0"/>
                    <w:jc w:val="center"/>
                    <w:rPr>
                      <w:rFonts w:hint="default" w:ascii="Times New Roman" w:hAnsi="Times New Roman"/>
                      <w:b/>
                      <w:bCs/>
                      <w:color w:val="auto"/>
                      <w:highlight w:val="none"/>
                    </w:rPr>
                  </w:pPr>
                </w:p>
              </w:tc>
              <w:tc>
                <w:tcPr>
                  <w:tcW w:w="939" w:type="pct"/>
                  <w:vMerge w:val="continue"/>
                  <w:tcBorders>
                    <w:tl2br w:val="nil"/>
                    <w:tr2bl w:val="nil"/>
                  </w:tcBorders>
                  <w:vAlign w:val="center"/>
                </w:tcPr>
                <w:p w14:paraId="515C0BB3">
                  <w:pPr>
                    <w:keepNext w:val="0"/>
                    <w:keepLines w:val="0"/>
                    <w:suppressLineNumbers w:val="0"/>
                    <w:spacing w:before="0" w:beforeAutospacing="0" w:after="0" w:afterAutospacing="0"/>
                    <w:ind w:left="0" w:right="0"/>
                    <w:jc w:val="center"/>
                    <w:rPr>
                      <w:rFonts w:hint="default" w:ascii="Times New Roman" w:hAnsi="Times New Roman"/>
                      <w:b/>
                      <w:bCs/>
                      <w:color w:val="auto"/>
                      <w:highlight w:val="none"/>
                    </w:rPr>
                  </w:pPr>
                </w:p>
              </w:tc>
              <w:tc>
                <w:tcPr>
                  <w:tcW w:w="1844" w:type="pct"/>
                  <w:tcBorders>
                    <w:tl2br w:val="nil"/>
                    <w:tr2bl w:val="nil"/>
                  </w:tcBorders>
                  <w:vAlign w:val="center"/>
                </w:tcPr>
                <w:p w14:paraId="262A64CB">
                  <w:pPr>
                    <w:keepNext w:val="0"/>
                    <w:keepLines w:val="0"/>
                    <w:suppressLineNumbers w:val="0"/>
                    <w:spacing w:before="0" w:beforeAutospacing="0" w:after="0" w:afterAutospacing="0"/>
                    <w:ind w:left="0" w:right="0"/>
                    <w:jc w:val="center"/>
                    <w:rPr>
                      <w:rFonts w:hint="default" w:ascii="Times New Roman" w:hAnsi="Times New Roman"/>
                      <w:b/>
                      <w:bCs/>
                      <w:color w:val="auto"/>
                      <w:highlight w:val="none"/>
                    </w:rPr>
                  </w:pPr>
                  <w:r>
                    <w:rPr>
                      <w:rFonts w:hint="default" w:ascii="Times New Roman" w:hAnsi="Times New Roman"/>
                      <w:b/>
                      <w:bCs/>
                      <w:color w:val="auto"/>
                      <w:highlight w:val="none"/>
                    </w:rPr>
                    <w:t>标准浓度(mg/L，pH无量纲)</w:t>
                  </w:r>
                </w:p>
              </w:tc>
              <w:tc>
                <w:tcPr>
                  <w:tcW w:w="1731" w:type="pct"/>
                  <w:tcBorders>
                    <w:tl2br w:val="nil"/>
                    <w:tr2bl w:val="nil"/>
                  </w:tcBorders>
                  <w:vAlign w:val="center"/>
                </w:tcPr>
                <w:p w14:paraId="20DAE678">
                  <w:pPr>
                    <w:keepNext w:val="0"/>
                    <w:keepLines w:val="0"/>
                    <w:suppressLineNumbers w:val="0"/>
                    <w:spacing w:before="0" w:beforeAutospacing="0" w:after="0" w:afterAutospacing="0"/>
                    <w:ind w:left="0" w:right="0"/>
                    <w:jc w:val="center"/>
                    <w:rPr>
                      <w:rFonts w:hint="default" w:ascii="Times New Roman" w:hAnsi="Times New Roman"/>
                      <w:b/>
                      <w:bCs/>
                      <w:color w:val="auto"/>
                      <w:highlight w:val="none"/>
                    </w:rPr>
                  </w:pPr>
                  <w:r>
                    <w:rPr>
                      <w:rFonts w:hint="default" w:ascii="Times New Roman" w:hAnsi="Times New Roman"/>
                      <w:b/>
                      <w:bCs/>
                      <w:color w:val="auto"/>
                      <w:highlight w:val="none"/>
                    </w:rPr>
                    <w:t>标准来源</w:t>
                  </w:r>
                </w:p>
              </w:tc>
            </w:tr>
            <w:tr w14:paraId="2265FE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84" w:type="pct"/>
                  <w:tcBorders>
                    <w:tl2br w:val="nil"/>
                    <w:tr2bl w:val="nil"/>
                  </w:tcBorders>
                  <w:vAlign w:val="center"/>
                </w:tcPr>
                <w:p w14:paraId="2A07C71C">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highlight w:val="none"/>
                    </w:rPr>
                  </w:pPr>
                  <w:r>
                    <w:rPr>
                      <w:rFonts w:hint="default" w:ascii="Times New Roman" w:hAnsi="Times New Roman"/>
                      <w:color w:val="auto"/>
                      <w:highlight w:val="none"/>
                    </w:rPr>
                    <w:t>1</w:t>
                  </w:r>
                </w:p>
              </w:tc>
              <w:tc>
                <w:tcPr>
                  <w:tcW w:w="939" w:type="pct"/>
                  <w:tcBorders>
                    <w:tl2br w:val="nil"/>
                    <w:tr2bl w:val="nil"/>
                  </w:tcBorders>
                  <w:vAlign w:val="center"/>
                </w:tcPr>
                <w:p w14:paraId="4AA54D38">
                  <w:pPr>
                    <w:keepNext w:val="0"/>
                    <w:keepLines w:val="0"/>
                    <w:suppressLineNumbers w:val="0"/>
                    <w:spacing w:before="0" w:beforeAutospacing="0" w:after="0" w:afterAutospacing="0"/>
                    <w:ind w:left="0" w:right="0"/>
                    <w:jc w:val="center"/>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COD</w:t>
                  </w:r>
                </w:p>
              </w:tc>
              <w:tc>
                <w:tcPr>
                  <w:tcW w:w="1844" w:type="pct"/>
                  <w:tcBorders>
                    <w:tl2br w:val="nil"/>
                    <w:tr2bl w:val="nil"/>
                  </w:tcBorders>
                  <w:vAlign w:val="center"/>
                </w:tcPr>
                <w:p w14:paraId="4928DB4E">
                  <w:pPr>
                    <w:keepNext w:val="0"/>
                    <w:keepLines w:val="0"/>
                    <w:suppressLineNumbers w:val="0"/>
                    <w:spacing w:before="0" w:beforeAutospacing="0" w:after="0" w:afterAutospacing="0"/>
                    <w:ind w:left="0" w:right="0"/>
                    <w:jc w:val="center"/>
                    <w:rPr>
                      <w:rFonts w:hint="default" w:ascii="Times New Roman" w:hAnsi="Times New Roman"/>
                      <w:color w:val="auto"/>
                      <w:highlight w:val="none"/>
                    </w:rPr>
                  </w:pPr>
                  <w:r>
                    <w:rPr>
                      <w:rFonts w:hint="eastAsia" w:ascii="Times New Roman" w:hAnsi="Times New Roman"/>
                      <w:color w:val="auto"/>
                      <w:highlight w:val="none"/>
                      <w:lang w:val="en-US" w:eastAsia="zh-CN"/>
                    </w:rPr>
                    <w:t>40</w:t>
                  </w:r>
                </w:p>
              </w:tc>
              <w:tc>
                <w:tcPr>
                  <w:tcW w:w="1731" w:type="pct"/>
                  <w:vMerge w:val="restart"/>
                  <w:tcBorders>
                    <w:tl2br w:val="nil"/>
                    <w:tr2bl w:val="nil"/>
                  </w:tcBorders>
                  <w:vAlign w:val="center"/>
                </w:tcPr>
                <w:p w14:paraId="222124F6">
                  <w:pPr>
                    <w:keepNext w:val="0"/>
                    <w:keepLines w:val="0"/>
                    <w:suppressLineNumbers w:val="0"/>
                    <w:spacing w:before="0" w:beforeAutospacing="0" w:after="0" w:afterAutospacing="0"/>
                    <w:ind w:left="0" w:right="0"/>
                    <w:jc w:val="center"/>
                    <w:rPr>
                      <w:rFonts w:hint="default" w:ascii="Times New Roman" w:hAnsi="Times New Roman"/>
                      <w:color w:val="auto"/>
                      <w:highlight w:val="none"/>
                    </w:rPr>
                  </w:pPr>
                  <w:r>
                    <w:rPr>
                      <w:rFonts w:hint="eastAsia" w:ascii="Times New Roman" w:hAnsi="Times New Roman"/>
                      <w:color w:val="auto"/>
                      <w:highlight w:val="none"/>
                    </w:rPr>
                    <w:t>《太湖地区城镇污水处理厂及重点工业行业主要水污染物排放限值》(DB32/T1072-2018)表1</w:t>
                  </w:r>
                </w:p>
              </w:tc>
            </w:tr>
            <w:tr w14:paraId="35E452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90" w:hRule="atLeast"/>
                <w:jc w:val="center"/>
              </w:trPr>
              <w:tc>
                <w:tcPr>
                  <w:tcW w:w="484" w:type="pct"/>
                  <w:tcBorders>
                    <w:tl2br w:val="nil"/>
                    <w:tr2bl w:val="nil"/>
                  </w:tcBorders>
                  <w:vAlign w:val="center"/>
                </w:tcPr>
                <w:p w14:paraId="1CBB3607">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highlight w:val="none"/>
                    </w:rPr>
                  </w:pPr>
                  <w:r>
                    <w:rPr>
                      <w:rFonts w:hint="default" w:ascii="Times New Roman" w:hAnsi="Times New Roman"/>
                      <w:color w:val="auto"/>
                      <w:highlight w:val="none"/>
                    </w:rPr>
                    <w:t>2</w:t>
                  </w:r>
                </w:p>
              </w:tc>
              <w:tc>
                <w:tcPr>
                  <w:tcW w:w="939" w:type="pct"/>
                  <w:tcBorders>
                    <w:tl2br w:val="nil"/>
                    <w:tr2bl w:val="nil"/>
                  </w:tcBorders>
                  <w:vAlign w:val="center"/>
                </w:tcPr>
                <w:p w14:paraId="12C43566">
                  <w:pPr>
                    <w:keepNext w:val="0"/>
                    <w:keepLines w:val="0"/>
                    <w:suppressLineNumbers w:val="0"/>
                    <w:spacing w:before="0" w:beforeAutospacing="0" w:after="0" w:afterAutospacing="0"/>
                    <w:ind w:left="0" w:right="0"/>
                    <w:jc w:val="center"/>
                    <w:rPr>
                      <w:rFonts w:hint="eastAsia" w:ascii="Times New Roman" w:hAnsi="Times New Roman" w:eastAsia="宋体"/>
                      <w:color w:val="auto"/>
                      <w:highlight w:val="none"/>
                      <w:lang w:eastAsia="zh-CN"/>
                    </w:rPr>
                  </w:pPr>
                  <w:r>
                    <w:rPr>
                      <w:rFonts w:hint="eastAsia" w:ascii="Times New Roman" w:hAnsi="Times New Roman"/>
                      <w:color w:val="auto"/>
                      <w:highlight w:val="none"/>
                      <w:lang w:val="en-US" w:eastAsia="zh-CN"/>
                    </w:rPr>
                    <w:t>氨氮</w:t>
                  </w:r>
                </w:p>
              </w:tc>
              <w:tc>
                <w:tcPr>
                  <w:tcW w:w="1844" w:type="pct"/>
                  <w:tcBorders>
                    <w:tl2br w:val="nil"/>
                    <w:tr2bl w:val="nil"/>
                  </w:tcBorders>
                  <w:vAlign w:val="center"/>
                </w:tcPr>
                <w:p w14:paraId="3DC70E66">
                  <w:pPr>
                    <w:keepNext w:val="0"/>
                    <w:keepLines w:val="0"/>
                    <w:suppressLineNumbers w:val="0"/>
                    <w:spacing w:before="0" w:beforeAutospacing="0" w:after="0" w:afterAutospacing="0"/>
                    <w:ind w:left="0" w:right="0"/>
                    <w:jc w:val="center"/>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3（5）</w:t>
                  </w:r>
                </w:p>
              </w:tc>
              <w:tc>
                <w:tcPr>
                  <w:tcW w:w="1731" w:type="pct"/>
                  <w:vMerge w:val="continue"/>
                  <w:tcBorders>
                    <w:tl2br w:val="nil"/>
                    <w:tr2bl w:val="nil"/>
                  </w:tcBorders>
                  <w:vAlign w:val="center"/>
                </w:tcPr>
                <w:p w14:paraId="5E13D246">
                  <w:pPr>
                    <w:keepNext w:val="0"/>
                    <w:keepLines w:val="0"/>
                    <w:suppressLineNumbers w:val="0"/>
                    <w:spacing w:before="0" w:beforeAutospacing="0" w:after="0" w:afterAutospacing="0"/>
                    <w:ind w:left="0" w:right="0"/>
                    <w:jc w:val="center"/>
                    <w:rPr>
                      <w:rFonts w:hint="default" w:ascii="Times New Roman" w:hAnsi="Times New Roman"/>
                      <w:color w:val="auto"/>
                      <w:highlight w:val="none"/>
                    </w:rPr>
                  </w:pPr>
                </w:p>
              </w:tc>
            </w:tr>
            <w:tr w14:paraId="61B3CC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484" w:type="pct"/>
                  <w:tcBorders>
                    <w:tl2br w:val="nil"/>
                    <w:tr2bl w:val="nil"/>
                  </w:tcBorders>
                  <w:vAlign w:val="center"/>
                </w:tcPr>
                <w:p w14:paraId="5ED012D0">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highlight w:val="none"/>
                    </w:rPr>
                  </w:pPr>
                  <w:r>
                    <w:rPr>
                      <w:rFonts w:hint="default" w:ascii="Times New Roman" w:hAnsi="Times New Roman"/>
                      <w:color w:val="auto"/>
                      <w:highlight w:val="none"/>
                    </w:rPr>
                    <w:t>3</w:t>
                  </w:r>
                </w:p>
              </w:tc>
              <w:tc>
                <w:tcPr>
                  <w:tcW w:w="939" w:type="pct"/>
                  <w:tcBorders>
                    <w:tl2br w:val="nil"/>
                    <w:tr2bl w:val="nil"/>
                  </w:tcBorders>
                  <w:vAlign w:val="center"/>
                </w:tcPr>
                <w:p w14:paraId="79E1EABC">
                  <w:pPr>
                    <w:keepNext w:val="0"/>
                    <w:keepLines w:val="0"/>
                    <w:suppressLineNumbers w:val="0"/>
                    <w:spacing w:before="0" w:beforeAutospacing="0" w:after="0" w:afterAutospacing="0"/>
                    <w:ind w:left="0" w:right="0"/>
                    <w:jc w:val="center"/>
                    <w:rPr>
                      <w:rFonts w:hint="eastAsia"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总氮</w:t>
                  </w:r>
                </w:p>
              </w:tc>
              <w:tc>
                <w:tcPr>
                  <w:tcW w:w="1844" w:type="pct"/>
                  <w:tcBorders>
                    <w:tl2br w:val="nil"/>
                    <w:tr2bl w:val="nil"/>
                  </w:tcBorders>
                  <w:vAlign w:val="center"/>
                </w:tcPr>
                <w:p w14:paraId="75A08319">
                  <w:pPr>
                    <w:keepNext w:val="0"/>
                    <w:keepLines w:val="0"/>
                    <w:suppressLineNumbers w:val="0"/>
                    <w:spacing w:before="0" w:beforeAutospacing="0" w:after="0" w:afterAutospacing="0"/>
                    <w:ind w:left="0" w:right="0"/>
                    <w:jc w:val="center"/>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10（12）</w:t>
                  </w:r>
                </w:p>
              </w:tc>
              <w:tc>
                <w:tcPr>
                  <w:tcW w:w="1731" w:type="pct"/>
                  <w:vMerge w:val="continue"/>
                  <w:tcBorders>
                    <w:tl2br w:val="nil"/>
                    <w:tr2bl w:val="nil"/>
                  </w:tcBorders>
                  <w:vAlign w:val="center"/>
                </w:tcPr>
                <w:p w14:paraId="55E2EDF4">
                  <w:pPr>
                    <w:keepNext w:val="0"/>
                    <w:keepLines w:val="0"/>
                    <w:suppressLineNumbers w:val="0"/>
                    <w:spacing w:before="0" w:beforeAutospacing="0" w:after="0" w:afterAutospacing="0"/>
                    <w:ind w:left="0" w:right="0"/>
                    <w:jc w:val="center"/>
                    <w:rPr>
                      <w:rFonts w:hint="default" w:ascii="Times New Roman" w:hAnsi="Times New Roman"/>
                      <w:color w:val="auto"/>
                      <w:highlight w:val="none"/>
                    </w:rPr>
                  </w:pPr>
                </w:p>
              </w:tc>
            </w:tr>
            <w:tr w14:paraId="14BB4A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84" w:type="pct"/>
                  <w:tcBorders>
                    <w:tl2br w:val="nil"/>
                    <w:tr2bl w:val="nil"/>
                  </w:tcBorders>
                  <w:vAlign w:val="center"/>
                </w:tcPr>
                <w:p w14:paraId="58F3AA19">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highlight w:val="none"/>
                    </w:rPr>
                  </w:pPr>
                  <w:r>
                    <w:rPr>
                      <w:rFonts w:hint="default" w:ascii="Times New Roman" w:hAnsi="Times New Roman"/>
                      <w:color w:val="auto"/>
                      <w:highlight w:val="none"/>
                    </w:rPr>
                    <w:t>4</w:t>
                  </w:r>
                </w:p>
              </w:tc>
              <w:tc>
                <w:tcPr>
                  <w:tcW w:w="939" w:type="pct"/>
                  <w:tcBorders>
                    <w:tl2br w:val="nil"/>
                    <w:tr2bl w:val="nil"/>
                  </w:tcBorders>
                  <w:vAlign w:val="center"/>
                </w:tcPr>
                <w:p w14:paraId="303BC6B4">
                  <w:pPr>
                    <w:keepNext w:val="0"/>
                    <w:keepLines w:val="0"/>
                    <w:suppressLineNumbers w:val="0"/>
                    <w:spacing w:before="0" w:beforeAutospacing="0" w:after="0" w:afterAutospacing="0"/>
                    <w:ind w:left="0" w:right="0"/>
                    <w:jc w:val="center"/>
                    <w:rPr>
                      <w:rFonts w:hint="eastAsia"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总磷</w:t>
                  </w:r>
                </w:p>
              </w:tc>
              <w:tc>
                <w:tcPr>
                  <w:tcW w:w="1844" w:type="pct"/>
                  <w:tcBorders>
                    <w:tl2br w:val="nil"/>
                    <w:tr2bl w:val="nil"/>
                  </w:tcBorders>
                  <w:vAlign w:val="center"/>
                </w:tcPr>
                <w:p w14:paraId="5EDB6A7C">
                  <w:pPr>
                    <w:keepNext w:val="0"/>
                    <w:keepLines w:val="0"/>
                    <w:suppressLineNumbers w:val="0"/>
                    <w:spacing w:before="0" w:beforeAutospacing="0" w:after="0" w:afterAutospacing="0"/>
                    <w:ind w:left="0" w:right="0"/>
                    <w:jc w:val="center"/>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0.3</w:t>
                  </w:r>
                </w:p>
              </w:tc>
              <w:tc>
                <w:tcPr>
                  <w:tcW w:w="1731" w:type="pct"/>
                  <w:vMerge w:val="continue"/>
                  <w:tcBorders>
                    <w:tl2br w:val="nil"/>
                    <w:tr2bl w:val="nil"/>
                  </w:tcBorders>
                  <w:vAlign w:val="center"/>
                </w:tcPr>
                <w:p w14:paraId="1006CB59">
                  <w:pPr>
                    <w:keepNext w:val="0"/>
                    <w:keepLines w:val="0"/>
                    <w:suppressLineNumbers w:val="0"/>
                    <w:spacing w:before="0" w:beforeAutospacing="0" w:after="0" w:afterAutospacing="0"/>
                    <w:ind w:left="0" w:right="0"/>
                    <w:jc w:val="center"/>
                    <w:rPr>
                      <w:rFonts w:hint="default" w:ascii="Times New Roman" w:hAnsi="Times New Roman"/>
                      <w:color w:val="auto"/>
                      <w:highlight w:val="none"/>
                    </w:rPr>
                  </w:pPr>
                </w:p>
              </w:tc>
            </w:tr>
            <w:tr w14:paraId="207B78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5" w:hRule="atLeast"/>
                <w:jc w:val="center"/>
              </w:trPr>
              <w:tc>
                <w:tcPr>
                  <w:tcW w:w="484" w:type="pct"/>
                  <w:tcBorders>
                    <w:tl2br w:val="nil"/>
                    <w:tr2bl w:val="nil"/>
                  </w:tcBorders>
                  <w:vAlign w:val="center"/>
                </w:tcPr>
                <w:p w14:paraId="07C2127B">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highlight w:val="none"/>
                    </w:rPr>
                  </w:pPr>
                  <w:r>
                    <w:rPr>
                      <w:rFonts w:hint="default" w:ascii="Times New Roman" w:hAnsi="Times New Roman"/>
                      <w:color w:val="auto"/>
                      <w:highlight w:val="none"/>
                    </w:rPr>
                    <w:t>5</w:t>
                  </w:r>
                </w:p>
              </w:tc>
              <w:tc>
                <w:tcPr>
                  <w:tcW w:w="939" w:type="pct"/>
                  <w:tcBorders>
                    <w:tl2br w:val="nil"/>
                    <w:tr2bl w:val="nil"/>
                  </w:tcBorders>
                  <w:vAlign w:val="center"/>
                </w:tcPr>
                <w:p w14:paraId="69F15A75">
                  <w:pPr>
                    <w:keepNext w:val="0"/>
                    <w:keepLines w:val="0"/>
                    <w:suppressLineNumbers w:val="0"/>
                    <w:spacing w:before="0" w:beforeAutospacing="0" w:after="0" w:afterAutospacing="0"/>
                    <w:ind w:left="0" w:right="0"/>
                    <w:jc w:val="center"/>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pH</w:t>
                  </w:r>
                </w:p>
              </w:tc>
              <w:tc>
                <w:tcPr>
                  <w:tcW w:w="1844" w:type="pct"/>
                  <w:tcBorders>
                    <w:bottom w:val="single" w:color="000000" w:sz="2" w:space="0"/>
                    <w:tl2br w:val="nil"/>
                    <w:tr2bl w:val="nil"/>
                  </w:tcBorders>
                  <w:vAlign w:val="center"/>
                </w:tcPr>
                <w:p w14:paraId="5AA21B3C">
                  <w:pPr>
                    <w:keepNext w:val="0"/>
                    <w:keepLines w:val="0"/>
                    <w:suppressLineNumbers w:val="0"/>
                    <w:spacing w:before="0" w:beforeAutospacing="0" w:after="0" w:afterAutospacing="0"/>
                    <w:ind w:left="0" w:right="0"/>
                    <w:jc w:val="center"/>
                    <w:rPr>
                      <w:rFonts w:hint="default" w:ascii="Times New Roman" w:hAnsi="Times New Roman"/>
                      <w:color w:val="auto"/>
                      <w:highlight w:val="none"/>
                    </w:rPr>
                  </w:pPr>
                  <w:r>
                    <w:rPr>
                      <w:rFonts w:hint="default" w:ascii="Times New Roman" w:hAnsi="Times New Roman"/>
                      <w:color w:val="auto"/>
                      <w:highlight w:val="none"/>
                    </w:rPr>
                    <w:t>6-9</w:t>
                  </w:r>
                </w:p>
              </w:tc>
              <w:tc>
                <w:tcPr>
                  <w:tcW w:w="1731" w:type="pct"/>
                  <w:vMerge w:val="continue"/>
                  <w:tcBorders>
                    <w:bottom w:val="single" w:color="000000" w:sz="2" w:space="0"/>
                    <w:tl2br w:val="nil"/>
                    <w:tr2bl w:val="nil"/>
                  </w:tcBorders>
                  <w:vAlign w:val="center"/>
                </w:tcPr>
                <w:p w14:paraId="38E5C1E7">
                  <w:pPr>
                    <w:keepNext w:val="0"/>
                    <w:keepLines w:val="0"/>
                    <w:suppressLineNumbers w:val="0"/>
                    <w:spacing w:before="0" w:beforeAutospacing="0" w:after="0" w:afterAutospacing="0"/>
                    <w:ind w:left="0" w:right="0"/>
                    <w:jc w:val="center"/>
                    <w:rPr>
                      <w:rFonts w:hint="default" w:ascii="Times New Roman" w:hAnsi="Times New Roman"/>
                      <w:color w:val="auto"/>
                      <w:highlight w:val="none"/>
                    </w:rPr>
                  </w:pPr>
                </w:p>
              </w:tc>
            </w:tr>
            <w:tr w14:paraId="43AD85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84" w:type="pct"/>
                  <w:tcBorders>
                    <w:tl2br w:val="nil"/>
                    <w:tr2bl w:val="nil"/>
                  </w:tcBorders>
                  <w:vAlign w:val="center"/>
                </w:tcPr>
                <w:p w14:paraId="36EBD4D2">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highlight w:val="none"/>
                    </w:rPr>
                  </w:pPr>
                  <w:r>
                    <w:rPr>
                      <w:rFonts w:hint="default" w:ascii="Times New Roman" w:hAnsi="Times New Roman"/>
                      <w:color w:val="auto"/>
                      <w:highlight w:val="none"/>
                    </w:rPr>
                    <w:t>6</w:t>
                  </w:r>
                </w:p>
              </w:tc>
              <w:tc>
                <w:tcPr>
                  <w:tcW w:w="939" w:type="pct"/>
                  <w:tcBorders>
                    <w:tl2br w:val="nil"/>
                    <w:tr2bl w:val="nil"/>
                  </w:tcBorders>
                  <w:vAlign w:val="center"/>
                </w:tcPr>
                <w:p w14:paraId="253214EF">
                  <w:pPr>
                    <w:keepNext w:val="0"/>
                    <w:keepLines w:val="0"/>
                    <w:suppressLineNumbers w:val="0"/>
                    <w:spacing w:before="0" w:beforeAutospacing="0" w:after="0" w:afterAutospacing="0"/>
                    <w:ind w:left="0" w:right="0"/>
                    <w:jc w:val="center"/>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SS</w:t>
                  </w:r>
                </w:p>
              </w:tc>
              <w:tc>
                <w:tcPr>
                  <w:tcW w:w="1844" w:type="pct"/>
                  <w:tcBorders>
                    <w:top w:val="single" w:color="000000" w:sz="2" w:space="0"/>
                    <w:tl2br w:val="nil"/>
                    <w:tr2bl w:val="nil"/>
                  </w:tcBorders>
                  <w:vAlign w:val="center"/>
                </w:tcPr>
                <w:p w14:paraId="2F1DD68C">
                  <w:pPr>
                    <w:keepNext w:val="0"/>
                    <w:keepLines w:val="0"/>
                    <w:suppressLineNumbers w:val="0"/>
                    <w:spacing w:before="0" w:beforeAutospacing="0" w:after="0" w:afterAutospacing="0"/>
                    <w:ind w:left="0" w:right="0"/>
                    <w:jc w:val="center"/>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10</w:t>
                  </w:r>
                </w:p>
              </w:tc>
              <w:tc>
                <w:tcPr>
                  <w:tcW w:w="1731" w:type="pct"/>
                  <w:tcBorders>
                    <w:top w:val="single" w:color="000000" w:sz="2" w:space="0"/>
                    <w:tl2br w:val="nil"/>
                    <w:tr2bl w:val="nil"/>
                  </w:tcBorders>
                  <w:vAlign w:val="center"/>
                </w:tcPr>
                <w:p w14:paraId="23DFF40A">
                  <w:pPr>
                    <w:keepNext w:val="0"/>
                    <w:keepLines w:val="0"/>
                    <w:suppressLineNumbers w:val="0"/>
                    <w:spacing w:before="0" w:beforeAutospacing="0" w:after="0" w:afterAutospacing="0"/>
                    <w:ind w:left="0" w:right="0"/>
                    <w:jc w:val="center"/>
                    <w:rPr>
                      <w:rFonts w:hint="default" w:ascii="Times New Roman" w:hAnsi="Times New Roman"/>
                      <w:color w:val="auto"/>
                      <w:highlight w:val="none"/>
                    </w:rPr>
                  </w:pPr>
                  <w:r>
                    <w:rPr>
                      <w:rFonts w:hint="eastAsia" w:ascii="Times New Roman" w:hAnsi="Times New Roman"/>
                      <w:color w:val="auto"/>
                      <w:highlight w:val="none"/>
                    </w:rPr>
                    <w:t>《城镇污水处理厂污染物排放标准》(GB18918-2002)表1中一级标准A标准</w:t>
                  </w:r>
                </w:p>
              </w:tc>
            </w:tr>
          </w:tbl>
          <w:p w14:paraId="1E1A08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361" w:firstLineChars="200"/>
              <w:textAlignment w:val="auto"/>
              <w:rPr>
                <w:rFonts w:hint="default" w:ascii="Times New Roman" w:hAnsi="Times New Roman" w:eastAsia="宋体"/>
                <w:b/>
                <w:bCs/>
                <w:color w:val="auto"/>
                <w:sz w:val="24"/>
                <w:highlight w:val="none"/>
              </w:rPr>
            </w:pPr>
            <w:r>
              <w:rPr>
                <w:rFonts w:hint="default" w:ascii="Times New Roman" w:hAnsi="Times New Roman" w:cs="Times New Roman"/>
                <w:b/>
                <w:bCs/>
                <w:color w:val="auto"/>
                <w:sz w:val="18"/>
                <w:szCs w:val="18"/>
                <w:highlight w:val="none"/>
              </w:rPr>
              <w:t>注：括号外数值为水温&gt;12℃ 时的控制指标，括号内数值为水温≤12℃ 时的控制指标。</w:t>
            </w:r>
          </w:p>
          <w:p w14:paraId="4995FDA9">
            <w:pPr>
              <w:keepNext w:val="0"/>
              <w:keepLines w:val="0"/>
              <w:widowControl/>
              <w:suppressLineNumbers w:val="0"/>
              <w:snapToGrid w:val="0"/>
              <w:spacing w:before="0" w:beforeAutospacing="0" w:after="0" w:afterAutospacing="0" w:line="360" w:lineRule="auto"/>
              <w:ind w:left="0" w:right="0"/>
              <w:jc w:val="left"/>
              <w:rPr>
                <w:rFonts w:hint="default" w:ascii="Times New Roman" w:hAnsi="Times New Roman" w:eastAsia="宋体"/>
                <w:color w:val="auto"/>
                <w:sz w:val="24"/>
                <w:highlight w:val="none"/>
              </w:rPr>
            </w:pPr>
            <w:r>
              <w:rPr>
                <w:rFonts w:hint="default" w:ascii="Times New Roman" w:hAnsi="Times New Roman" w:eastAsia="宋体"/>
                <w:b/>
                <w:color w:val="auto"/>
                <w:sz w:val="24"/>
                <w:highlight w:val="none"/>
              </w:rPr>
              <w:t>3、噪声：</w:t>
            </w:r>
          </w:p>
          <w:p w14:paraId="54EFB817">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b/>
                <w:bCs/>
                <w:color w:val="auto"/>
                <w:sz w:val="24"/>
              </w:rPr>
            </w:pPr>
            <w:r>
              <w:rPr>
                <w:rFonts w:hint="default" w:ascii="Times New Roman" w:hAnsi="Times New Roman" w:eastAsia="宋体"/>
                <w:color w:val="auto"/>
                <w:sz w:val="24"/>
              </w:rPr>
              <w:t>营运期厂界噪声执行《工业企业厂界环境噪声排放标准》（GB12348-2008）中的</w:t>
            </w:r>
            <w:r>
              <w:rPr>
                <w:rFonts w:hint="eastAsia" w:ascii="Times New Roman" w:hAnsi="Times New Roman" w:eastAsia="宋体"/>
                <w:color w:val="auto"/>
                <w:sz w:val="24"/>
                <w:lang w:val="en-US" w:eastAsia="zh-CN"/>
              </w:rPr>
              <w:t>2</w:t>
            </w:r>
            <w:r>
              <w:rPr>
                <w:rFonts w:hint="default" w:ascii="Times New Roman" w:hAnsi="Times New Roman" w:eastAsia="宋体"/>
                <w:color w:val="auto"/>
                <w:sz w:val="24"/>
              </w:rPr>
              <w:t>类标准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具体标准见</w:t>
            </w:r>
            <w:r>
              <w:rPr>
                <w:rFonts w:hint="default" w:ascii="Times New Roman" w:hAnsi="Times New Roman" w:eastAsia="宋体" w:cs="Times New Roman"/>
                <w:color w:val="auto"/>
                <w:sz w:val="24"/>
                <w:szCs w:val="24"/>
                <w:highlight w:val="none"/>
                <w:lang w:eastAsia="zh-CN"/>
              </w:rPr>
              <w:t>下</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olor w:val="auto"/>
                <w:sz w:val="24"/>
                <w:highlight w:val="none"/>
              </w:rPr>
              <w:t>。</w:t>
            </w:r>
          </w:p>
          <w:p w14:paraId="24F6D638">
            <w:pPr>
              <w:pStyle w:val="10"/>
              <w:keepNext w:val="0"/>
              <w:keepLines w:val="0"/>
              <w:numPr>
                <w:ilvl w:val="0"/>
                <w:numId w:val="0"/>
              </w:numPr>
              <w:suppressLineNumbers w:val="0"/>
              <w:spacing w:before="0" w:beforeAutospacing="0" w:after="0" w:afterAutospacing="0"/>
              <w:ind w:left="425" w:leftChars="0" w:right="0" w:hanging="425" w:firstLineChars="0"/>
              <w:jc w:val="center"/>
              <w:rPr>
                <w:rFonts w:hint="eastAsia" w:ascii="Times New Roman" w:hAnsi="Times New Roman" w:eastAsia="宋体"/>
                <w:b/>
                <w:bCs/>
                <w:color w:val="auto"/>
                <w:lang w:val="en-US" w:eastAsia="zh-CN"/>
              </w:rPr>
            </w:pPr>
            <w:r>
              <w:rPr>
                <w:rFonts w:hint="default" w:ascii="Times New Roman" w:hAnsi="Times New Roman" w:eastAsia="宋体" w:cs="Times New Roman"/>
                <w:b/>
                <w:bCs/>
                <w:color w:val="auto"/>
                <w:kern w:val="0"/>
                <w:sz w:val="24"/>
                <w:szCs w:val="20"/>
                <w:lang w:val="en-US" w:eastAsia="zh-CN" w:bidi="ar-SA"/>
              </w:rPr>
              <w:t>表3-</w:t>
            </w:r>
            <w:r>
              <w:rPr>
                <w:rFonts w:hint="eastAsia" w:ascii="Times New Roman" w:hAnsi="Times New Roman" w:eastAsia="宋体" w:cs="Times New Roman"/>
                <w:b/>
                <w:bCs/>
                <w:color w:val="auto"/>
                <w:kern w:val="0"/>
                <w:sz w:val="24"/>
                <w:szCs w:val="20"/>
                <w:lang w:val="en-US" w:eastAsia="zh-CN" w:bidi="ar-SA"/>
              </w:rPr>
              <w:t xml:space="preserve">12  </w:t>
            </w:r>
            <w:r>
              <w:rPr>
                <w:rFonts w:hint="default" w:ascii="Times New Roman" w:hAnsi="Times New Roman" w:eastAsia="宋体"/>
                <w:b/>
                <w:bCs/>
                <w:color w:val="auto"/>
                <w:sz w:val="24"/>
                <w:highlight w:val="none"/>
              </w:rPr>
              <w:t>工业企业</w:t>
            </w:r>
            <w:r>
              <w:rPr>
                <w:rFonts w:hint="eastAsia" w:ascii="Times New Roman" w:hAnsi="Times New Roman" w:eastAsia="宋体"/>
                <w:b/>
                <w:bCs/>
                <w:color w:val="auto"/>
                <w:lang w:val="en-US" w:eastAsia="zh-CN"/>
              </w:rPr>
              <w:t>厂界噪声排放限值</w:t>
            </w:r>
            <w:r>
              <w:rPr>
                <w:rFonts w:hint="default" w:ascii="Times New Roman" w:hAnsi="Times New Roman" w:eastAsia="宋体"/>
                <w:b/>
                <w:bCs/>
                <w:color w:val="auto"/>
                <w:sz w:val="24"/>
                <w:highlight w:val="none"/>
              </w:rPr>
              <w:t xml:space="preserve">   单位：dB(A)</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91"/>
              <w:gridCol w:w="1692"/>
              <w:gridCol w:w="1694"/>
              <w:gridCol w:w="3930"/>
            </w:tblGrid>
            <w:tr w14:paraId="6246E4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39" w:type="pct"/>
                  <w:tcBorders>
                    <w:top w:val="single" w:color="auto" w:sz="12" w:space="0"/>
                    <w:bottom w:val="single" w:color="auto" w:sz="4" w:space="0"/>
                    <w:right w:val="single" w:color="auto" w:sz="4" w:space="0"/>
                  </w:tcBorders>
                  <w:noWrap w:val="0"/>
                  <w:vAlign w:val="center"/>
                </w:tcPr>
                <w:p w14:paraId="792152F5">
                  <w:pPr>
                    <w:keepNext w:val="0"/>
                    <w:keepLines w:val="0"/>
                    <w:suppressLineNumbers w:val="0"/>
                    <w:spacing w:before="0" w:beforeAutospacing="0" w:after="0" w:afterAutospacing="0" w:line="240" w:lineRule="atLeast"/>
                    <w:ind w:left="0" w:right="0"/>
                    <w:jc w:val="center"/>
                    <w:rPr>
                      <w:rFonts w:hint="default" w:ascii="Times New Roman" w:hAnsi="Times New Roman" w:eastAsia="宋体"/>
                      <w:b/>
                      <w:bCs/>
                      <w:color w:val="auto"/>
                      <w:szCs w:val="21"/>
                    </w:rPr>
                  </w:pPr>
                  <w:r>
                    <w:rPr>
                      <w:rFonts w:hint="default" w:ascii="Times New Roman" w:hAnsi="Times New Roman" w:eastAsia="宋体"/>
                      <w:b/>
                      <w:bCs/>
                      <w:color w:val="auto"/>
                      <w:szCs w:val="21"/>
                    </w:rPr>
                    <w:t>类别</w:t>
                  </w:r>
                </w:p>
              </w:tc>
              <w:tc>
                <w:tcPr>
                  <w:tcW w:w="939" w:type="pct"/>
                  <w:tcBorders>
                    <w:top w:val="single" w:color="auto" w:sz="12" w:space="0"/>
                    <w:left w:val="single" w:color="auto" w:sz="4" w:space="0"/>
                    <w:bottom w:val="single" w:color="auto" w:sz="4" w:space="0"/>
                    <w:right w:val="single" w:color="auto" w:sz="4" w:space="0"/>
                  </w:tcBorders>
                  <w:noWrap w:val="0"/>
                  <w:vAlign w:val="center"/>
                </w:tcPr>
                <w:p w14:paraId="2E443768">
                  <w:pPr>
                    <w:keepNext w:val="0"/>
                    <w:keepLines w:val="0"/>
                    <w:suppressLineNumbers w:val="0"/>
                    <w:spacing w:before="0" w:beforeAutospacing="0" w:after="0" w:afterAutospacing="0" w:line="240" w:lineRule="atLeast"/>
                    <w:ind w:left="0" w:right="0"/>
                    <w:jc w:val="center"/>
                    <w:rPr>
                      <w:rFonts w:hint="default" w:ascii="Times New Roman" w:hAnsi="Times New Roman" w:eastAsia="宋体"/>
                      <w:b/>
                      <w:bCs/>
                      <w:color w:val="auto"/>
                      <w:szCs w:val="21"/>
                    </w:rPr>
                  </w:pPr>
                  <w:r>
                    <w:rPr>
                      <w:rFonts w:hint="default" w:ascii="Times New Roman" w:hAnsi="Times New Roman" w:eastAsia="宋体"/>
                      <w:b/>
                      <w:bCs/>
                      <w:color w:val="auto"/>
                      <w:szCs w:val="21"/>
                    </w:rPr>
                    <w:t>昼间</w:t>
                  </w:r>
                </w:p>
              </w:tc>
              <w:tc>
                <w:tcPr>
                  <w:tcW w:w="940" w:type="pct"/>
                  <w:tcBorders>
                    <w:top w:val="single" w:color="auto" w:sz="12" w:space="0"/>
                    <w:left w:val="single" w:color="auto" w:sz="4" w:space="0"/>
                    <w:bottom w:val="single" w:color="auto" w:sz="4" w:space="0"/>
                  </w:tcBorders>
                  <w:noWrap w:val="0"/>
                  <w:vAlign w:val="center"/>
                </w:tcPr>
                <w:p w14:paraId="3BA6DF20">
                  <w:pPr>
                    <w:keepNext w:val="0"/>
                    <w:keepLines w:val="0"/>
                    <w:suppressLineNumbers w:val="0"/>
                    <w:spacing w:before="0" w:beforeAutospacing="0" w:after="0" w:afterAutospacing="0" w:line="240" w:lineRule="atLeast"/>
                    <w:ind w:left="0" w:right="0"/>
                    <w:jc w:val="center"/>
                    <w:rPr>
                      <w:rFonts w:hint="default" w:ascii="Times New Roman" w:hAnsi="Times New Roman" w:eastAsia="宋体"/>
                      <w:b/>
                      <w:bCs/>
                      <w:color w:val="auto"/>
                      <w:szCs w:val="21"/>
                    </w:rPr>
                  </w:pPr>
                  <w:r>
                    <w:rPr>
                      <w:rFonts w:hint="default" w:ascii="Times New Roman" w:hAnsi="Times New Roman" w:eastAsia="宋体"/>
                      <w:b/>
                      <w:bCs/>
                      <w:color w:val="auto"/>
                      <w:szCs w:val="21"/>
                    </w:rPr>
                    <w:t>夜间</w:t>
                  </w:r>
                </w:p>
              </w:tc>
              <w:tc>
                <w:tcPr>
                  <w:tcW w:w="2181" w:type="pct"/>
                  <w:tcBorders>
                    <w:top w:val="single" w:color="auto" w:sz="12" w:space="0"/>
                    <w:left w:val="single" w:color="auto" w:sz="4" w:space="0"/>
                    <w:bottom w:val="single" w:color="auto" w:sz="4" w:space="0"/>
                  </w:tcBorders>
                  <w:noWrap w:val="0"/>
                  <w:vAlign w:val="center"/>
                </w:tcPr>
                <w:p w14:paraId="22758F57">
                  <w:pPr>
                    <w:keepNext w:val="0"/>
                    <w:keepLines w:val="0"/>
                    <w:suppressLineNumbers w:val="0"/>
                    <w:spacing w:before="0" w:beforeAutospacing="0" w:after="0" w:afterAutospacing="0" w:line="240" w:lineRule="atLeast"/>
                    <w:ind w:left="0" w:right="0"/>
                    <w:jc w:val="center"/>
                    <w:rPr>
                      <w:rFonts w:hint="eastAsia" w:ascii="Times New Roman" w:hAnsi="Times New Roman" w:eastAsia="宋体"/>
                      <w:b/>
                      <w:bCs/>
                      <w:color w:val="auto"/>
                      <w:szCs w:val="21"/>
                      <w:lang w:eastAsia="zh-CN"/>
                    </w:rPr>
                  </w:pPr>
                  <w:r>
                    <w:rPr>
                      <w:rFonts w:hint="eastAsia" w:ascii="Times New Roman" w:hAnsi="Times New Roman" w:eastAsia="宋体"/>
                      <w:b/>
                      <w:bCs/>
                      <w:color w:val="auto"/>
                      <w:szCs w:val="21"/>
                      <w:lang w:eastAsia="zh-CN"/>
                    </w:rPr>
                    <w:t>标准来源</w:t>
                  </w:r>
                </w:p>
              </w:tc>
            </w:tr>
            <w:tr w14:paraId="2FDF79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39" w:type="pct"/>
                  <w:tcBorders>
                    <w:top w:val="single" w:color="auto" w:sz="4" w:space="0"/>
                    <w:bottom w:val="single" w:color="auto" w:sz="12" w:space="0"/>
                    <w:right w:val="single" w:color="auto" w:sz="4" w:space="0"/>
                  </w:tcBorders>
                  <w:noWrap w:val="0"/>
                  <w:vAlign w:val="center"/>
                </w:tcPr>
                <w:p w14:paraId="3CE8C363">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olor w:val="auto"/>
                      <w:szCs w:val="21"/>
                    </w:rPr>
                  </w:pPr>
                  <w:r>
                    <w:rPr>
                      <w:rFonts w:hint="eastAsia" w:ascii="Times New Roman" w:hAnsi="Times New Roman" w:eastAsia="宋体"/>
                      <w:color w:val="auto"/>
                      <w:szCs w:val="21"/>
                      <w:lang w:val="en-US" w:eastAsia="zh-CN"/>
                    </w:rPr>
                    <w:t>2</w:t>
                  </w:r>
                  <w:r>
                    <w:rPr>
                      <w:rFonts w:hint="default" w:ascii="Times New Roman" w:hAnsi="Times New Roman" w:eastAsia="宋体"/>
                      <w:color w:val="auto"/>
                      <w:szCs w:val="21"/>
                    </w:rPr>
                    <w:t>类</w:t>
                  </w:r>
                </w:p>
              </w:tc>
              <w:tc>
                <w:tcPr>
                  <w:tcW w:w="939" w:type="pct"/>
                  <w:tcBorders>
                    <w:top w:val="single" w:color="auto" w:sz="4" w:space="0"/>
                    <w:left w:val="single" w:color="auto" w:sz="4" w:space="0"/>
                    <w:bottom w:val="single" w:color="auto" w:sz="12" w:space="0"/>
                    <w:right w:val="single" w:color="auto" w:sz="4" w:space="0"/>
                  </w:tcBorders>
                  <w:noWrap w:val="0"/>
                  <w:vAlign w:val="center"/>
                </w:tcPr>
                <w:p w14:paraId="55226FF6">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60</w:t>
                  </w:r>
                </w:p>
              </w:tc>
              <w:tc>
                <w:tcPr>
                  <w:tcW w:w="940" w:type="pct"/>
                  <w:tcBorders>
                    <w:top w:val="single" w:color="auto" w:sz="4" w:space="0"/>
                    <w:left w:val="single" w:color="auto" w:sz="4" w:space="0"/>
                    <w:bottom w:val="single" w:color="auto" w:sz="12" w:space="0"/>
                  </w:tcBorders>
                  <w:noWrap w:val="0"/>
                  <w:vAlign w:val="center"/>
                </w:tcPr>
                <w:p w14:paraId="021DBF94">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50</w:t>
                  </w:r>
                </w:p>
              </w:tc>
              <w:tc>
                <w:tcPr>
                  <w:tcW w:w="2181" w:type="pct"/>
                  <w:tcBorders>
                    <w:top w:val="single" w:color="auto" w:sz="4" w:space="0"/>
                    <w:left w:val="single" w:color="auto" w:sz="4" w:space="0"/>
                    <w:bottom w:val="single" w:color="auto" w:sz="12" w:space="0"/>
                  </w:tcBorders>
                  <w:noWrap w:val="0"/>
                  <w:vAlign w:val="center"/>
                </w:tcPr>
                <w:p w14:paraId="7DB1BA12">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lang w:val="en-US" w:eastAsia="zh-CN"/>
                    </w:rPr>
                  </w:pPr>
                  <w:r>
                    <w:rPr>
                      <w:rFonts w:hint="eastAsia" w:ascii="Times New Roman" w:hAnsi="Times New Roman" w:eastAsia="宋体"/>
                      <w:color w:val="auto"/>
                      <w:highlight w:val="none"/>
                    </w:rPr>
                    <w:t>《工业企业厂界环境噪声排放标准》（GB12348-2008）</w:t>
                  </w:r>
                  <w:r>
                    <w:rPr>
                      <w:rFonts w:hint="eastAsia" w:ascii="Times New Roman" w:hAnsi="Times New Roman" w:eastAsia="宋体" w:cs="Times New Roman"/>
                      <w:color w:val="auto"/>
                      <w:sz w:val="21"/>
                      <w:szCs w:val="21"/>
                      <w:highlight w:val="none"/>
                      <w:lang w:val="en-US" w:eastAsia="zh-CN"/>
                    </w:rPr>
                    <w:t>2类</w:t>
                  </w:r>
                  <w:r>
                    <w:rPr>
                      <w:rFonts w:hint="default" w:ascii="Times New Roman" w:hAnsi="Times New Roman" w:eastAsia="宋体" w:cs="Times New Roman"/>
                      <w:color w:val="auto"/>
                      <w:sz w:val="21"/>
                      <w:szCs w:val="21"/>
                      <w:highlight w:val="none"/>
                      <w:lang w:val="en-US" w:eastAsia="zh-CN"/>
                    </w:rPr>
                    <w:t>标准</w:t>
                  </w:r>
                </w:p>
              </w:tc>
            </w:tr>
          </w:tbl>
          <w:p w14:paraId="355705DD">
            <w:pPr>
              <w:keepNext w:val="0"/>
              <w:keepLines w:val="0"/>
              <w:widowControl/>
              <w:suppressLineNumbers w:val="0"/>
              <w:snapToGrid w:val="0"/>
              <w:spacing w:before="0" w:beforeAutospacing="0" w:after="0" w:afterAutospacing="0" w:line="360" w:lineRule="auto"/>
              <w:ind w:left="0" w:right="0"/>
              <w:jc w:val="left"/>
              <w:rPr>
                <w:rFonts w:hint="default" w:ascii="Times New Roman" w:hAnsi="Times New Roman" w:eastAsia="宋体"/>
                <w:b/>
                <w:color w:val="auto"/>
                <w:sz w:val="24"/>
                <w:highlight w:val="none"/>
              </w:rPr>
            </w:pPr>
            <w:r>
              <w:rPr>
                <w:rFonts w:hint="eastAsia" w:ascii="Times New Roman" w:hAnsi="Times New Roman" w:eastAsia="宋体"/>
                <w:b/>
                <w:color w:val="auto"/>
                <w:sz w:val="24"/>
                <w:highlight w:val="none"/>
                <w:lang w:val="en-US" w:eastAsia="zh-CN"/>
              </w:rPr>
              <w:t>4、</w:t>
            </w:r>
            <w:r>
              <w:rPr>
                <w:rFonts w:hint="default" w:ascii="Times New Roman" w:hAnsi="Times New Roman" w:eastAsia="宋体"/>
                <w:b/>
                <w:color w:val="auto"/>
                <w:sz w:val="24"/>
                <w:highlight w:val="none"/>
              </w:rPr>
              <w:t>固废：</w:t>
            </w:r>
          </w:p>
          <w:p w14:paraId="721619C7">
            <w:pPr>
              <w:keepNext w:val="0"/>
              <w:keepLines w:val="0"/>
              <w:suppressLineNumbers w:val="0"/>
              <w:adjustRightInd w:val="0"/>
              <w:snapToGrid w:val="0"/>
              <w:spacing w:before="0" w:beforeAutospacing="0" w:after="0" w:afterAutospacing="0" w:line="360" w:lineRule="auto"/>
              <w:ind w:left="0" w:leftChars="0" w:right="0" w:rightChars="0" w:firstLine="480" w:firstLineChars="200"/>
              <w:jc w:val="both"/>
              <w:rPr>
                <w:rFonts w:hint="default" w:ascii="Times New Roman" w:hAnsi="Times New Roman" w:eastAsia="宋体"/>
                <w:color w:val="auto"/>
                <w:kern w:val="0"/>
                <w:szCs w:val="21"/>
                <w:highlight w:val="none"/>
              </w:rPr>
            </w:pPr>
            <w:r>
              <w:rPr>
                <w:rFonts w:hint="eastAsia" w:ascii="Times New Roman" w:hAnsi="Times New Roman" w:eastAsia="宋体"/>
                <w:color w:val="auto"/>
                <w:sz w:val="24"/>
                <w:szCs w:val="24"/>
                <w:highlight w:val="none"/>
                <w:lang w:val="en-US" w:eastAsia="zh-CN"/>
              </w:rPr>
              <w:t>本项目固体废物</w:t>
            </w:r>
            <w:r>
              <w:rPr>
                <w:rFonts w:hint="eastAsia" w:ascii="Times New Roman" w:hAnsi="Times New Roman" w:eastAsia="宋体"/>
                <w:color w:val="auto"/>
                <w:sz w:val="24"/>
                <w:szCs w:val="24"/>
                <w:highlight w:val="none"/>
              </w:rPr>
              <w:t>贮存过程执行《危险废物贮存污染控制标准》（GB18597-2023）</w:t>
            </w:r>
            <w:r>
              <w:rPr>
                <w:rFonts w:hint="eastAsia" w:ascii="Times New Roman" w:hAnsi="Times New Roman" w:eastAsia="宋体"/>
                <w:color w:val="auto"/>
                <w:sz w:val="24"/>
                <w:szCs w:val="24"/>
                <w:highlight w:val="none"/>
                <w:lang w:eastAsia="zh-CN"/>
              </w:rPr>
              <w:t>、</w:t>
            </w:r>
            <w:r>
              <w:rPr>
                <w:rFonts w:hint="default" w:ascii="Times New Roman" w:hAnsi="Times New Roman" w:eastAsia="宋体"/>
                <w:color w:val="auto"/>
                <w:sz w:val="24"/>
                <w:szCs w:val="24"/>
                <w:highlight w:val="none"/>
              </w:rPr>
              <w:t>《一般工业固体废物贮存和填埋污染控制标准》（GB18599-2020）</w:t>
            </w:r>
            <w:r>
              <w:rPr>
                <w:rFonts w:hint="eastAsia" w:ascii="Times New Roman" w:hAnsi="Times New Roman" w:eastAsia="宋体"/>
                <w:color w:val="auto"/>
                <w:sz w:val="24"/>
                <w:szCs w:val="24"/>
                <w:highlight w:val="none"/>
                <w:lang w:eastAsia="zh-CN"/>
              </w:rPr>
              <w:t>、《省生态环境厅关于进一步完善</w:t>
            </w:r>
            <w:r>
              <w:rPr>
                <w:rFonts w:hint="eastAsia" w:ascii="Times New Roman" w:hAnsi="Times New Roman" w:eastAsia="宋体"/>
                <w:color w:val="auto"/>
                <w:sz w:val="24"/>
                <w:szCs w:val="24"/>
                <w:highlight w:val="none"/>
                <w:lang w:val="en-US" w:eastAsia="zh-CN"/>
              </w:rPr>
              <w:t>一</w:t>
            </w:r>
            <w:r>
              <w:rPr>
                <w:rFonts w:hint="eastAsia" w:ascii="Times New Roman" w:hAnsi="Times New Roman" w:eastAsia="宋体"/>
                <w:color w:val="auto"/>
                <w:sz w:val="24"/>
                <w:szCs w:val="24"/>
                <w:highlight w:val="none"/>
                <w:lang w:eastAsia="zh-CN"/>
              </w:rPr>
              <w:t>般工业固体废物环境管理的通知》（苏环办〔2023〕327号）、</w:t>
            </w:r>
            <w:r>
              <w:rPr>
                <w:rFonts w:hint="default"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lang w:eastAsia="zh-CN"/>
              </w:rPr>
              <w:t>江苏省固体废物全过程环境监管工作意见</w:t>
            </w:r>
            <w:r>
              <w:rPr>
                <w:rFonts w:hint="default" w:ascii="Times New Roman" w:hAnsi="Times New Roman" w:eastAsia="宋体"/>
                <w:color w:val="auto"/>
                <w:sz w:val="24"/>
                <w:szCs w:val="24"/>
                <w:highlight w:val="none"/>
              </w:rPr>
              <w:t>》（苏环办</w:t>
            </w:r>
            <w:r>
              <w:rPr>
                <w:rFonts w:hint="eastAsia" w:ascii="Times New Roman" w:hAnsi="Times New Roman" w:eastAsia="宋体"/>
                <w:color w:val="auto"/>
                <w:sz w:val="24"/>
                <w:szCs w:val="24"/>
                <w:highlight w:val="none"/>
                <w:lang w:eastAsia="zh-CN"/>
              </w:rPr>
              <w:t>〔2024〕16号</w:t>
            </w:r>
            <w:r>
              <w:rPr>
                <w:rFonts w:hint="default"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lang w:val="en-US" w:eastAsia="zh-CN"/>
              </w:rPr>
              <w:t>以及《省环境</w:t>
            </w:r>
            <w:r>
              <w:rPr>
                <w:rFonts w:hint="default" w:ascii="Times New Roman" w:hAnsi="Times New Roman" w:eastAsia="宋体" w:cs="Times New Roman"/>
                <w:color w:val="auto"/>
                <w:sz w:val="24"/>
                <w:highlight w:val="none"/>
              </w:rPr>
              <w:t>厅关于做好江苏省危险废物全生命周期监控系统上线运行工作的通知》（苏环办〔2020〕401号）相关要求</w:t>
            </w:r>
            <w:r>
              <w:rPr>
                <w:rFonts w:hint="eastAsia" w:ascii="Times New Roman" w:hAnsi="Times New Roman" w:eastAsia="宋体" w:cs="Times New Roman"/>
                <w:color w:val="auto"/>
                <w:sz w:val="24"/>
                <w:highlight w:val="none"/>
                <w:lang w:eastAsia="zh-CN"/>
              </w:rPr>
              <w:t>。</w:t>
            </w:r>
          </w:p>
        </w:tc>
      </w:tr>
    </w:tbl>
    <w:p w14:paraId="2B4F4619">
      <w:pPr>
        <w:rPr>
          <w:rFonts w:ascii="Times New Roman" w:hAnsi="Times New Roman" w:eastAsia="宋体"/>
          <w:snapToGrid w:val="0"/>
          <w:color w:val="auto"/>
          <w:sz w:val="30"/>
          <w:szCs w:val="30"/>
          <w:highlight w:val="none"/>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0" w:num="1"/>
          <w:docGrid w:type="lines" w:linePitch="319" w:charSpace="0"/>
        </w:sectPr>
      </w:pPr>
    </w:p>
    <w:tbl>
      <w:tblPr>
        <w:tblStyle w:val="26"/>
        <w:tblW w:w="9476" w:type="dxa"/>
        <w:tblInd w:w="-2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9011"/>
      </w:tblGrid>
      <w:tr w14:paraId="6D311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3" w:hRule="atLeast"/>
        </w:trPr>
        <w:tc>
          <w:tcPr>
            <w:tcW w:w="465" w:type="dxa"/>
            <w:vAlign w:val="center"/>
          </w:tcPr>
          <w:p w14:paraId="37C181E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Calibri"/>
                <w:color w:val="auto"/>
                <w:kern w:val="0"/>
                <w:sz w:val="24"/>
                <w:highlight w:val="none"/>
              </w:rPr>
            </w:pPr>
            <w:r>
              <w:rPr>
                <w:rFonts w:hint="default" w:ascii="Times New Roman" w:hAnsi="Times New Roman" w:eastAsia="宋体" w:cs="Calibri"/>
                <w:color w:val="auto"/>
                <w:kern w:val="0"/>
                <w:sz w:val="24"/>
                <w:highlight w:val="none"/>
              </w:rPr>
              <w:t>总量</w:t>
            </w:r>
          </w:p>
          <w:p w14:paraId="39A2FE5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Calibri"/>
                <w:color w:val="auto"/>
                <w:kern w:val="0"/>
                <w:sz w:val="24"/>
                <w:highlight w:val="none"/>
              </w:rPr>
            </w:pPr>
            <w:r>
              <w:rPr>
                <w:rFonts w:hint="default" w:ascii="Times New Roman" w:hAnsi="Times New Roman" w:eastAsia="宋体" w:cs="Calibri"/>
                <w:color w:val="auto"/>
                <w:kern w:val="0"/>
                <w:sz w:val="24"/>
                <w:highlight w:val="none"/>
              </w:rPr>
              <w:t>控制</w:t>
            </w:r>
          </w:p>
          <w:p w14:paraId="79A6F41E">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Calibri"/>
                <w:snapToGrid w:val="0"/>
                <w:color w:val="auto"/>
                <w:sz w:val="30"/>
                <w:szCs w:val="30"/>
                <w:highlight w:val="none"/>
              </w:rPr>
            </w:pPr>
            <w:r>
              <w:rPr>
                <w:rFonts w:hint="default" w:ascii="Times New Roman" w:hAnsi="Times New Roman" w:eastAsia="宋体" w:cs="Calibri"/>
                <w:color w:val="auto"/>
                <w:kern w:val="0"/>
                <w:sz w:val="24"/>
                <w:highlight w:val="none"/>
              </w:rPr>
              <w:t>指标</w:t>
            </w:r>
          </w:p>
        </w:tc>
        <w:tc>
          <w:tcPr>
            <w:tcW w:w="9011" w:type="dxa"/>
            <w:vAlign w:val="top"/>
          </w:tcPr>
          <w:p w14:paraId="625447DB">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s="Calibri"/>
                <w:color w:val="auto"/>
                <w:sz w:val="24"/>
                <w:szCs w:val="32"/>
                <w:highlight w:val="none"/>
              </w:rPr>
            </w:pPr>
            <w:r>
              <w:rPr>
                <w:rFonts w:hint="default" w:ascii="Times New Roman" w:hAnsi="Times New Roman" w:eastAsia="宋体" w:cs="Calibri"/>
                <w:color w:val="auto"/>
                <w:sz w:val="24"/>
                <w:szCs w:val="32"/>
                <w:highlight w:val="none"/>
              </w:rPr>
              <w:t>本项目建议接管考核量及废气排入大气环境总量控制指标见下表。</w:t>
            </w:r>
          </w:p>
          <w:p w14:paraId="6F9760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409" w:firstLineChars="1000"/>
              <w:textAlignment w:val="auto"/>
              <w:rPr>
                <w:rFonts w:hint="default"/>
                <w:b/>
                <w:bCs/>
                <w:color w:val="auto"/>
                <w:sz w:val="24"/>
                <w:highlight w:val="yellow"/>
              </w:rPr>
            </w:pPr>
            <w:r>
              <w:rPr>
                <w:rFonts w:hint="default"/>
                <w:b/>
                <w:bCs/>
                <w:color w:val="auto"/>
                <w:sz w:val="24"/>
                <w:highlight w:val="yellow"/>
              </w:rPr>
              <w:t>表</w:t>
            </w:r>
            <w:r>
              <w:rPr>
                <w:rFonts w:hint="eastAsia"/>
                <w:b/>
                <w:bCs/>
                <w:color w:val="auto"/>
                <w:sz w:val="24"/>
                <w:highlight w:val="yellow"/>
              </w:rPr>
              <w:t>3</w:t>
            </w:r>
            <w:r>
              <w:rPr>
                <w:rFonts w:hint="default"/>
                <w:b/>
                <w:bCs/>
                <w:color w:val="auto"/>
                <w:sz w:val="24"/>
                <w:highlight w:val="yellow"/>
              </w:rPr>
              <w:t>-</w:t>
            </w:r>
            <w:r>
              <w:rPr>
                <w:rFonts w:hint="eastAsia"/>
                <w:b/>
                <w:bCs/>
                <w:color w:val="auto"/>
                <w:sz w:val="24"/>
                <w:highlight w:val="yellow"/>
                <w:lang w:val="en-US" w:eastAsia="zh-CN"/>
              </w:rPr>
              <w:t>12</w:t>
            </w:r>
            <w:r>
              <w:rPr>
                <w:rFonts w:hint="eastAsia"/>
                <w:b/>
                <w:bCs/>
                <w:color w:val="auto"/>
                <w:sz w:val="24"/>
                <w:highlight w:val="yellow"/>
              </w:rPr>
              <w:t xml:space="preserve"> </w:t>
            </w:r>
            <w:r>
              <w:rPr>
                <w:rFonts w:hint="default"/>
                <w:b/>
                <w:bCs/>
                <w:color w:val="auto"/>
                <w:sz w:val="24"/>
                <w:highlight w:val="yellow"/>
              </w:rPr>
              <w:t>全厂污染物排放量汇总表  单位：t/a</w:t>
            </w:r>
          </w:p>
          <w:tbl>
            <w:tblPr>
              <w:tblStyle w:val="25"/>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28"/>
              <w:gridCol w:w="601"/>
              <w:gridCol w:w="613"/>
              <w:gridCol w:w="1563"/>
              <w:gridCol w:w="921"/>
              <w:gridCol w:w="921"/>
              <w:gridCol w:w="1169"/>
              <w:gridCol w:w="1127"/>
              <w:gridCol w:w="1040"/>
            </w:tblGrid>
            <w:tr w14:paraId="0CC58F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1" w:type="pct"/>
                  <w:tcBorders>
                    <w:top w:val="single" w:color="auto" w:sz="12" w:space="0"/>
                    <w:right w:val="single" w:color="auto" w:sz="4" w:space="0"/>
                  </w:tcBorders>
                  <w:noWrap w:val="0"/>
                  <w:vAlign w:val="center"/>
                </w:tcPr>
                <w:p w14:paraId="279A28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b/>
                      <w:bCs/>
                      <w:color w:val="auto"/>
                      <w:kern w:val="0"/>
                      <w:sz w:val="21"/>
                      <w:szCs w:val="24"/>
                      <w:highlight w:val="yellow"/>
                    </w:rPr>
                  </w:pPr>
                  <w:r>
                    <w:rPr>
                      <w:rFonts w:hint="default" w:ascii="Times New Roman" w:hAnsi="Times New Roman" w:eastAsia="宋体"/>
                      <w:b/>
                      <w:bCs/>
                      <w:color w:val="auto"/>
                      <w:kern w:val="0"/>
                      <w:sz w:val="21"/>
                      <w:szCs w:val="24"/>
                      <w:highlight w:val="yellow"/>
                    </w:rPr>
                    <w:t>类别</w:t>
                  </w:r>
                </w:p>
              </w:tc>
              <w:tc>
                <w:tcPr>
                  <w:tcW w:w="1580" w:type="pct"/>
                  <w:gridSpan w:val="3"/>
                  <w:tcBorders>
                    <w:top w:val="single" w:color="auto" w:sz="12" w:space="0"/>
                    <w:left w:val="single" w:color="auto" w:sz="4" w:space="0"/>
                    <w:right w:val="single" w:color="auto" w:sz="4" w:space="0"/>
                  </w:tcBorders>
                  <w:noWrap w:val="0"/>
                  <w:vAlign w:val="center"/>
                </w:tcPr>
                <w:p w14:paraId="4E31CA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b/>
                      <w:bCs/>
                      <w:color w:val="auto"/>
                      <w:kern w:val="0"/>
                      <w:sz w:val="21"/>
                      <w:szCs w:val="24"/>
                      <w:highlight w:val="yellow"/>
                    </w:rPr>
                  </w:pPr>
                  <w:r>
                    <w:rPr>
                      <w:rFonts w:hint="default" w:ascii="Times New Roman" w:hAnsi="Times New Roman" w:eastAsia="宋体"/>
                      <w:b/>
                      <w:bCs/>
                      <w:color w:val="auto"/>
                      <w:kern w:val="0"/>
                      <w:sz w:val="21"/>
                      <w:szCs w:val="24"/>
                      <w:highlight w:val="yellow"/>
                    </w:rPr>
                    <w:t>污染物名称</w:t>
                  </w:r>
                </w:p>
              </w:tc>
              <w:tc>
                <w:tcPr>
                  <w:tcW w:w="524" w:type="pct"/>
                  <w:tcBorders>
                    <w:top w:val="single" w:color="auto" w:sz="12" w:space="0"/>
                    <w:left w:val="single" w:color="auto" w:sz="4" w:space="0"/>
                    <w:right w:val="single" w:color="auto" w:sz="4" w:space="0"/>
                  </w:tcBorders>
                  <w:noWrap w:val="0"/>
                  <w:vAlign w:val="center"/>
                </w:tcPr>
                <w:p w14:paraId="505F1F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b/>
                      <w:bCs/>
                      <w:color w:val="auto"/>
                      <w:kern w:val="0"/>
                      <w:sz w:val="21"/>
                      <w:szCs w:val="24"/>
                      <w:highlight w:val="yellow"/>
                    </w:rPr>
                  </w:pPr>
                  <w:r>
                    <w:rPr>
                      <w:rFonts w:hint="default" w:ascii="Times New Roman" w:hAnsi="Times New Roman" w:eastAsia="宋体"/>
                      <w:b/>
                      <w:bCs/>
                      <w:color w:val="auto"/>
                      <w:kern w:val="0"/>
                      <w:sz w:val="21"/>
                      <w:szCs w:val="24"/>
                      <w:highlight w:val="yellow"/>
                    </w:rPr>
                    <w:t>产生量</w:t>
                  </w:r>
                </w:p>
              </w:tc>
              <w:tc>
                <w:tcPr>
                  <w:tcW w:w="524" w:type="pct"/>
                  <w:tcBorders>
                    <w:top w:val="single" w:color="auto" w:sz="12" w:space="0"/>
                    <w:left w:val="single" w:color="auto" w:sz="4" w:space="0"/>
                    <w:right w:val="single" w:color="auto" w:sz="4" w:space="0"/>
                  </w:tcBorders>
                  <w:noWrap w:val="0"/>
                  <w:vAlign w:val="center"/>
                </w:tcPr>
                <w:p w14:paraId="408AF65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b/>
                      <w:bCs/>
                      <w:color w:val="auto"/>
                      <w:kern w:val="0"/>
                      <w:sz w:val="21"/>
                      <w:szCs w:val="24"/>
                      <w:highlight w:val="yellow"/>
                    </w:rPr>
                  </w:pPr>
                  <w:r>
                    <w:rPr>
                      <w:rFonts w:hint="default" w:ascii="Times New Roman" w:hAnsi="Times New Roman" w:eastAsia="宋体"/>
                      <w:b/>
                      <w:bCs/>
                      <w:color w:val="auto"/>
                      <w:kern w:val="0"/>
                      <w:sz w:val="21"/>
                      <w:szCs w:val="24"/>
                      <w:highlight w:val="yellow"/>
                    </w:rPr>
                    <w:t>削减量</w:t>
                  </w:r>
                </w:p>
              </w:tc>
              <w:tc>
                <w:tcPr>
                  <w:tcW w:w="665" w:type="pct"/>
                  <w:tcBorders>
                    <w:top w:val="single" w:color="auto" w:sz="12" w:space="0"/>
                    <w:left w:val="single" w:color="auto" w:sz="4" w:space="0"/>
                    <w:right w:val="single" w:color="auto" w:sz="4" w:space="0"/>
                  </w:tcBorders>
                  <w:noWrap w:val="0"/>
                  <w:vAlign w:val="center"/>
                </w:tcPr>
                <w:p w14:paraId="2F4889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b/>
                      <w:bCs/>
                      <w:color w:val="auto"/>
                      <w:kern w:val="0"/>
                      <w:sz w:val="21"/>
                      <w:szCs w:val="24"/>
                      <w:highlight w:val="yellow"/>
                    </w:rPr>
                  </w:pPr>
                  <w:r>
                    <w:rPr>
                      <w:rFonts w:hint="default" w:ascii="Times New Roman" w:hAnsi="Times New Roman" w:eastAsia="宋体"/>
                      <w:b/>
                      <w:bCs/>
                      <w:color w:val="auto"/>
                      <w:kern w:val="0"/>
                      <w:sz w:val="21"/>
                      <w:szCs w:val="24"/>
                      <w:highlight w:val="yellow"/>
                    </w:rPr>
                    <w:t>预测排放量</w:t>
                  </w:r>
                </w:p>
              </w:tc>
              <w:tc>
                <w:tcPr>
                  <w:tcW w:w="641" w:type="pct"/>
                  <w:tcBorders>
                    <w:top w:val="single" w:color="auto" w:sz="12" w:space="0"/>
                    <w:left w:val="single" w:color="auto" w:sz="4" w:space="0"/>
                    <w:right w:val="single" w:color="auto" w:sz="4" w:space="0"/>
                  </w:tcBorders>
                  <w:noWrap w:val="0"/>
                  <w:vAlign w:val="center"/>
                </w:tcPr>
                <w:p w14:paraId="046DB6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b/>
                      <w:bCs/>
                      <w:color w:val="auto"/>
                      <w:kern w:val="0"/>
                      <w:sz w:val="21"/>
                      <w:szCs w:val="24"/>
                      <w:highlight w:val="yellow"/>
                    </w:rPr>
                  </w:pPr>
                  <w:r>
                    <w:rPr>
                      <w:rFonts w:hint="eastAsia" w:ascii="Times New Roman" w:hAnsi="Times New Roman" w:eastAsia="宋体"/>
                      <w:b/>
                      <w:bCs/>
                      <w:color w:val="auto"/>
                      <w:kern w:val="0"/>
                      <w:sz w:val="21"/>
                      <w:szCs w:val="24"/>
                      <w:highlight w:val="yellow"/>
                    </w:rPr>
                    <w:t>全厂排放量</w:t>
                  </w:r>
                </w:p>
              </w:tc>
              <w:tc>
                <w:tcPr>
                  <w:tcW w:w="592" w:type="pct"/>
                  <w:tcBorders>
                    <w:top w:val="single" w:color="auto" w:sz="12" w:space="0"/>
                    <w:left w:val="single" w:color="auto" w:sz="4" w:space="0"/>
                    <w:bottom w:val="single" w:color="auto" w:sz="4" w:space="0"/>
                  </w:tcBorders>
                  <w:noWrap w:val="0"/>
                  <w:vAlign w:val="center"/>
                </w:tcPr>
                <w:p w14:paraId="2FC8716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b/>
                      <w:bCs/>
                      <w:color w:val="auto"/>
                      <w:kern w:val="0"/>
                      <w:sz w:val="21"/>
                      <w:szCs w:val="24"/>
                      <w:highlight w:val="yellow"/>
                    </w:rPr>
                  </w:pPr>
                  <w:r>
                    <w:rPr>
                      <w:rFonts w:hint="default" w:ascii="Times New Roman" w:hAnsi="Times New Roman" w:eastAsia="宋体"/>
                      <w:b/>
                      <w:bCs/>
                      <w:color w:val="auto"/>
                      <w:sz w:val="21"/>
                      <w:szCs w:val="24"/>
                      <w:highlight w:val="yellow"/>
                    </w:rPr>
                    <w:t>最终外排量（污水厂尾水）</w:t>
                  </w:r>
                </w:p>
              </w:tc>
            </w:tr>
            <w:tr w14:paraId="7123EA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1" w:type="pct"/>
                  <w:vMerge w:val="restart"/>
                  <w:tcBorders>
                    <w:right w:val="single" w:color="auto" w:sz="4" w:space="0"/>
                  </w:tcBorders>
                  <w:noWrap w:val="0"/>
                  <w:vAlign w:val="center"/>
                </w:tcPr>
                <w:p w14:paraId="35875C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Times New Roman" w:hAnsi="Times New Roman" w:eastAsia="宋体"/>
                      <w:color w:val="auto"/>
                      <w:kern w:val="0"/>
                      <w:sz w:val="21"/>
                      <w:szCs w:val="24"/>
                      <w:highlight w:val="yellow"/>
                      <w:lang w:eastAsia="zh-CN"/>
                    </w:rPr>
                  </w:pPr>
                  <w:r>
                    <w:rPr>
                      <w:rFonts w:hint="eastAsia" w:ascii="Times New Roman" w:hAnsi="Times New Roman" w:eastAsia="宋体"/>
                      <w:color w:val="auto"/>
                      <w:kern w:val="0"/>
                      <w:sz w:val="21"/>
                      <w:szCs w:val="24"/>
                      <w:highlight w:val="yellow"/>
                      <w:lang w:eastAsia="zh-CN"/>
                    </w:rPr>
                    <w:t>废气</w:t>
                  </w:r>
                </w:p>
              </w:tc>
              <w:tc>
                <w:tcPr>
                  <w:tcW w:w="342" w:type="pct"/>
                  <w:vMerge w:val="restart"/>
                  <w:tcBorders>
                    <w:left w:val="single" w:color="auto" w:sz="4" w:space="0"/>
                    <w:right w:val="single" w:color="auto" w:sz="4" w:space="0"/>
                  </w:tcBorders>
                  <w:noWrap w:val="0"/>
                  <w:vAlign w:val="center"/>
                </w:tcPr>
                <w:p w14:paraId="77D27E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olor w:val="auto"/>
                      <w:kern w:val="0"/>
                      <w:sz w:val="21"/>
                      <w:szCs w:val="24"/>
                      <w:highlight w:val="yellow"/>
                      <w:lang w:val="en-US" w:eastAsia="zh-CN"/>
                    </w:rPr>
                  </w:pPr>
                  <w:r>
                    <w:rPr>
                      <w:rFonts w:hint="eastAsia" w:ascii="Times New Roman" w:hAnsi="Times New Roman" w:eastAsia="宋体"/>
                      <w:color w:val="auto"/>
                      <w:kern w:val="0"/>
                      <w:sz w:val="21"/>
                      <w:szCs w:val="24"/>
                      <w:highlight w:val="yellow"/>
                      <w:lang w:val="en-US" w:eastAsia="zh-CN"/>
                    </w:rPr>
                    <w:t>有组织</w:t>
                  </w:r>
                </w:p>
              </w:tc>
              <w:tc>
                <w:tcPr>
                  <w:tcW w:w="1238" w:type="pct"/>
                  <w:gridSpan w:val="2"/>
                  <w:tcBorders>
                    <w:left w:val="single" w:color="auto" w:sz="4" w:space="0"/>
                    <w:bottom w:val="single" w:color="auto" w:sz="4" w:space="0"/>
                    <w:right w:val="single" w:color="auto" w:sz="4" w:space="0"/>
                  </w:tcBorders>
                  <w:noWrap w:val="0"/>
                  <w:vAlign w:val="center"/>
                </w:tcPr>
                <w:p w14:paraId="6DA4A38F">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olor w:val="auto"/>
                      <w:kern w:val="0"/>
                      <w:sz w:val="21"/>
                      <w:szCs w:val="24"/>
                      <w:highlight w:val="yellow"/>
                      <w:lang w:eastAsia="zh-CN"/>
                    </w:rPr>
                  </w:pPr>
                  <w:r>
                    <w:rPr>
                      <w:rFonts w:hint="default" w:ascii="Times New Roman" w:hAnsi="Times New Roman" w:eastAsia="宋体" w:cs="Times New Roman"/>
                      <w:i w:val="0"/>
                      <w:iCs w:val="0"/>
                      <w:color w:val="auto"/>
                      <w:kern w:val="0"/>
                      <w:sz w:val="21"/>
                      <w:szCs w:val="21"/>
                      <w:highlight w:val="yellow"/>
                      <w:u w:val="none"/>
                      <w:lang w:val="en-US" w:eastAsia="zh-CN" w:bidi="ar"/>
                    </w:rPr>
                    <w:t>非甲烷总烃</w:t>
                  </w:r>
                </w:p>
              </w:tc>
              <w:tc>
                <w:tcPr>
                  <w:tcW w:w="921" w:type="dxa"/>
                  <w:tcBorders>
                    <w:left w:val="single" w:color="auto" w:sz="4" w:space="0"/>
                    <w:bottom w:val="single" w:color="auto" w:sz="4" w:space="0"/>
                    <w:right w:val="single" w:color="auto" w:sz="4" w:space="0"/>
                  </w:tcBorders>
                  <w:noWrap w:val="0"/>
                  <w:vAlign w:val="center"/>
                </w:tcPr>
                <w:p w14:paraId="70093A2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4"/>
                      <w:highlight w:val="yellow"/>
                      <w:lang w:val="en-US" w:eastAsia="zh-CN"/>
                    </w:rPr>
                  </w:pPr>
                  <w:r>
                    <w:rPr>
                      <w:rFonts w:hint="default" w:ascii="Times New Roman" w:hAnsi="Times New Roman" w:eastAsia="宋体" w:cs="Times New Roman"/>
                      <w:color w:val="auto"/>
                      <w:sz w:val="21"/>
                      <w:szCs w:val="24"/>
                      <w:highlight w:val="yellow"/>
                      <w:lang w:val="en-US" w:eastAsia="zh-CN"/>
                    </w:rPr>
                    <w:t>0.0455</w:t>
                  </w:r>
                </w:p>
              </w:tc>
              <w:tc>
                <w:tcPr>
                  <w:tcW w:w="524" w:type="pct"/>
                  <w:tcBorders>
                    <w:left w:val="single" w:color="auto" w:sz="4" w:space="0"/>
                    <w:bottom w:val="single" w:color="auto" w:sz="4" w:space="0"/>
                    <w:right w:val="single" w:color="auto" w:sz="4" w:space="0"/>
                  </w:tcBorders>
                  <w:noWrap w:val="0"/>
                  <w:vAlign w:val="center"/>
                </w:tcPr>
                <w:p w14:paraId="06E3996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olor w:val="auto"/>
                      <w:sz w:val="21"/>
                      <w:szCs w:val="24"/>
                      <w:highlight w:val="yellow"/>
                      <w:lang w:val="en-US" w:eastAsia="zh-CN"/>
                    </w:rPr>
                  </w:pPr>
                  <w:r>
                    <w:rPr>
                      <w:rFonts w:hint="eastAsia" w:ascii="Times New Roman" w:hAnsi="Times New Roman" w:eastAsia="宋体"/>
                      <w:color w:val="auto"/>
                      <w:sz w:val="21"/>
                      <w:szCs w:val="24"/>
                      <w:highlight w:val="yellow"/>
                      <w:lang w:val="en-US" w:eastAsia="zh-CN"/>
                    </w:rPr>
                    <w:t>0.041</w:t>
                  </w:r>
                </w:p>
              </w:tc>
              <w:tc>
                <w:tcPr>
                  <w:tcW w:w="665" w:type="pct"/>
                  <w:tcBorders>
                    <w:left w:val="single" w:color="auto" w:sz="4" w:space="0"/>
                    <w:bottom w:val="single" w:color="auto" w:sz="4" w:space="0"/>
                    <w:right w:val="single" w:color="auto" w:sz="4" w:space="0"/>
                  </w:tcBorders>
                  <w:noWrap w:val="0"/>
                  <w:vAlign w:val="center"/>
                </w:tcPr>
                <w:p w14:paraId="43DE10C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Times New Roman" w:hAnsi="Times New Roman" w:eastAsia="宋体"/>
                      <w:color w:val="auto"/>
                      <w:sz w:val="21"/>
                      <w:szCs w:val="24"/>
                      <w:highlight w:val="yellow"/>
                      <w:lang w:val="en-US" w:eastAsia="zh-CN"/>
                    </w:rPr>
                  </w:pPr>
                  <w:r>
                    <w:rPr>
                      <w:rFonts w:hint="eastAsia" w:ascii="Times New Roman" w:hAnsi="Times New Roman" w:eastAsia="宋体"/>
                      <w:color w:val="auto"/>
                      <w:sz w:val="21"/>
                      <w:szCs w:val="24"/>
                      <w:highlight w:val="yellow"/>
                      <w:lang w:val="en-US" w:eastAsia="zh-CN"/>
                    </w:rPr>
                    <w:t>0.0045</w:t>
                  </w:r>
                </w:p>
              </w:tc>
              <w:tc>
                <w:tcPr>
                  <w:tcW w:w="1127" w:type="dxa"/>
                  <w:tcBorders>
                    <w:left w:val="single" w:color="auto" w:sz="4" w:space="0"/>
                    <w:bottom w:val="single" w:color="auto" w:sz="4" w:space="0"/>
                    <w:right w:val="single" w:color="auto" w:sz="4" w:space="0"/>
                  </w:tcBorders>
                  <w:noWrap w:val="0"/>
                  <w:vAlign w:val="center"/>
                </w:tcPr>
                <w:p w14:paraId="7B55E6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Times New Roman" w:hAnsi="Times New Roman" w:eastAsia="宋体"/>
                      <w:color w:val="auto"/>
                      <w:sz w:val="21"/>
                      <w:szCs w:val="24"/>
                      <w:highlight w:val="yellow"/>
                      <w:lang w:val="en-US" w:eastAsia="zh-CN"/>
                    </w:rPr>
                  </w:pPr>
                  <w:r>
                    <w:rPr>
                      <w:rFonts w:hint="eastAsia" w:ascii="Times New Roman" w:hAnsi="Times New Roman" w:eastAsia="宋体"/>
                      <w:color w:val="auto"/>
                      <w:sz w:val="21"/>
                      <w:szCs w:val="24"/>
                      <w:highlight w:val="yellow"/>
                      <w:lang w:val="en-US" w:eastAsia="zh-CN"/>
                    </w:rPr>
                    <w:t>0.0045</w:t>
                  </w:r>
                </w:p>
              </w:tc>
              <w:tc>
                <w:tcPr>
                  <w:tcW w:w="592" w:type="pct"/>
                  <w:tcBorders>
                    <w:top w:val="single" w:color="auto" w:sz="4" w:space="0"/>
                    <w:left w:val="single" w:color="auto" w:sz="4" w:space="0"/>
                    <w:bottom w:val="single" w:color="auto" w:sz="4" w:space="0"/>
                  </w:tcBorders>
                  <w:noWrap w:val="0"/>
                  <w:vAlign w:val="center"/>
                </w:tcPr>
                <w:p w14:paraId="513E957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olor w:val="auto"/>
                      <w:sz w:val="21"/>
                      <w:szCs w:val="24"/>
                      <w:highlight w:val="yellow"/>
                      <w:lang w:val="en-US" w:eastAsia="zh-CN"/>
                    </w:rPr>
                  </w:pPr>
                  <w:r>
                    <w:rPr>
                      <w:rFonts w:hint="eastAsia" w:ascii="Times New Roman" w:hAnsi="Times New Roman" w:eastAsia="宋体"/>
                      <w:color w:val="auto"/>
                      <w:sz w:val="21"/>
                      <w:szCs w:val="24"/>
                      <w:highlight w:val="yellow"/>
                      <w:lang w:val="en-US" w:eastAsia="zh-CN"/>
                    </w:rPr>
                    <w:t>/</w:t>
                  </w:r>
                </w:p>
              </w:tc>
            </w:tr>
            <w:tr w14:paraId="778C08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1" w:type="pct"/>
                  <w:vMerge w:val="continue"/>
                  <w:tcBorders>
                    <w:bottom w:val="single" w:color="auto" w:sz="4" w:space="0"/>
                    <w:right w:val="single" w:color="auto" w:sz="4" w:space="0"/>
                  </w:tcBorders>
                  <w:noWrap w:val="0"/>
                  <w:vAlign w:val="center"/>
                </w:tcPr>
                <w:p w14:paraId="5D353B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Times New Roman" w:hAnsi="Times New Roman" w:eastAsia="宋体"/>
                      <w:color w:val="auto"/>
                      <w:kern w:val="0"/>
                      <w:sz w:val="21"/>
                      <w:szCs w:val="24"/>
                      <w:highlight w:val="yellow"/>
                      <w:lang w:eastAsia="zh-CN"/>
                    </w:rPr>
                  </w:pPr>
                </w:p>
              </w:tc>
              <w:tc>
                <w:tcPr>
                  <w:tcW w:w="342" w:type="pct"/>
                  <w:vMerge w:val="continue"/>
                  <w:tcBorders>
                    <w:left w:val="single" w:color="auto" w:sz="4" w:space="0"/>
                    <w:bottom w:val="single" w:color="auto" w:sz="4" w:space="0"/>
                    <w:right w:val="single" w:color="auto" w:sz="4" w:space="0"/>
                  </w:tcBorders>
                  <w:noWrap w:val="0"/>
                  <w:vAlign w:val="center"/>
                </w:tcPr>
                <w:p w14:paraId="56508B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Times New Roman" w:hAnsi="Times New Roman" w:eastAsia="宋体"/>
                      <w:color w:val="auto"/>
                      <w:kern w:val="0"/>
                      <w:sz w:val="21"/>
                      <w:szCs w:val="24"/>
                      <w:highlight w:val="yellow"/>
                      <w:lang w:eastAsia="zh-CN"/>
                    </w:rPr>
                  </w:pPr>
                </w:p>
              </w:tc>
              <w:tc>
                <w:tcPr>
                  <w:tcW w:w="348" w:type="pct"/>
                  <w:tcBorders>
                    <w:left w:val="single" w:color="auto" w:sz="4" w:space="0"/>
                    <w:bottom w:val="single" w:color="auto" w:sz="4" w:space="0"/>
                    <w:right w:val="single" w:color="auto" w:sz="4" w:space="0"/>
                  </w:tcBorders>
                  <w:noWrap w:val="0"/>
                  <w:vAlign w:val="center"/>
                </w:tcPr>
                <w:p w14:paraId="51DADF46">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olor w:val="auto"/>
                      <w:kern w:val="0"/>
                      <w:sz w:val="21"/>
                      <w:szCs w:val="24"/>
                      <w:highlight w:val="yellow"/>
                      <w:lang w:eastAsia="zh-CN"/>
                    </w:rPr>
                  </w:pPr>
                  <w:r>
                    <w:rPr>
                      <w:rFonts w:hint="eastAsia" w:ascii="Times New Roman" w:hAnsi="Times New Roman" w:eastAsia="宋体" w:cs="Times New Roman"/>
                      <w:color w:val="auto"/>
                      <w:sz w:val="21"/>
                      <w:szCs w:val="21"/>
                      <w:highlight w:val="yellow"/>
                      <w:lang w:val="en-US" w:eastAsia="zh-CN"/>
                    </w:rPr>
                    <w:t>包含</w:t>
                  </w:r>
                </w:p>
              </w:tc>
              <w:tc>
                <w:tcPr>
                  <w:tcW w:w="889" w:type="pct"/>
                  <w:tcBorders>
                    <w:left w:val="single" w:color="auto" w:sz="4" w:space="0"/>
                    <w:bottom w:val="single" w:color="auto" w:sz="4" w:space="0"/>
                    <w:right w:val="single" w:color="auto" w:sz="4" w:space="0"/>
                  </w:tcBorders>
                  <w:noWrap w:val="0"/>
                  <w:vAlign w:val="center"/>
                </w:tcPr>
                <w:p w14:paraId="04103FD2">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olor w:val="auto"/>
                      <w:kern w:val="0"/>
                      <w:sz w:val="21"/>
                      <w:szCs w:val="24"/>
                      <w:highlight w:val="yellow"/>
                      <w:lang w:eastAsia="zh-CN"/>
                    </w:rPr>
                  </w:pPr>
                  <w:r>
                    <w:rPr>
                      <w:rFonts w:hint="eastAsia" w:cs="Times New Roman"/>
                      <w:i w:val="0"/>
                      <w:iCs w:val="0"/>
                      <w:color w:val="auto"/>
                      <w:kern w:val="0"/>
                      <w:sz w:val="21"/>
                      <w:szCs w:val="21"/>
                      <w:highlight w:val="yellow"/>
                      <w:u w:val="none"/>
                      <w:lang w:val="en-US" w:eastAsia="zh-CN" w:bidi="ar"/>
                    </w:rPr>
                    <w:t>甲醇</w:t>
                  </w:r>
                </w:p>
              </w:tc>
              <w:tc>
                <w:tcPr>
                  <w:tcW w:w="921" w:type="dxa"/>
                  <w:tcBorders>
                    <w:left w:val="single" w:color="auto" w:sz="4" w:space="0"/>
                    <w:bottom w:val="single" w:color="auto" w:sz="4" w:space="0"/>
                    <w:right w:val="single" w:color="auto" w:sz="4" w:space="0"/>
                  </w:tcBorders>
                  <w:noWrap w:val="0"/>
                  <w:vAlign w:val="center"/>
                </w:tcPr>
                <w:p w14:paraId="1D2F9C1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auto"/>
                      <w:sz w:val="21"/>
                      <w:szCs w:val="24"/>
                      <w:highlight w:val="yellow"/>
                      <w:lang w:val="en-US" w:eastAsia="zh-CN"/>
                    </w:rPr>
                  </w:pPr>
                  <w:r>
                    <w:rPr>
                      <w:rFonts w:hint="default" w:ascii="Times New Roman" w:hAnsi="Times New Roman" w:eastAsia="宋体" w:cs="Times New Roman"/>
                      <w:color w:val="auto"/>
                      <w:sz w:val="21"/>
                      <w:szCs w:val="24"/>
                      <w:highlight w:val="yellow"/>
                      <w:lang w:val="en-US" w:eastAsia="zh-CN"/>
                    </w:rPr>
                    <w:t>0.003</w:t>
                  </w:r>
                </w:p>
              </w:tc>
              <w:tc>
                <w:tcPr>
                  <w:tcW w:w="524" w:type="pct"/>
                  <w:tcBorders>
                    <w:left w:val="single" w:color="auto" w:sz="4" w:space="0"/>
                    <w:bottom w:val="single" w:color="auto" w:sz="4" w:space="0"/>
                    <w:right w:val="single" w:color="auto" w:sz="4" w:space="0"/>
                  </w:tcBorders>
                  <w:noWrap w:val="0"/>
                  <w:vAlign w:val="center"/>
                </w:tcPr>
                <w:p w14:paraId="2C7BD65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olor w:val="auto"/>
                      <w:sz w:val="21"/>
                      <w:szCs w:val="24"/>
                      <w:highlight w:val="yellow"/>
                      <w:lang w:val="en-US" w:eastAsia="zh-CN"/>
                    </w:rPr>
                  </w:pPr>
                  <w:r>
                    <w:rPr>
                      <w:rFonts w:hint="eastAsia" w:ascii="Times New Roman" w:hAnsi="Times New Roman" w:eastAsia="宋体"/>
                      <w:color w:val="auto"/>
                      <w:sz w:val="21"/>
                      <w:szCs w:val="24"/>
                      <w:highlight w:val="yellow"/>
                      <w:lang w:val="en-US" w:eastAsia="zh-CN"/>
                    </w:rPr>
                    <w:t>0.0027</w:t>
                  </w:r>
                </w:p>
              </w:tc>
              <w:tc>
                <w:tcPr>
                  <w:tcW w:w="665" w:type="pct"/>
                  <w:tcBorders>
                    <w:left w:val="single" w:color="auto" w:sz="4" w:space="0"/>
                    <w:bottom w:val="single" w:color="auto" w:sz="4" w:space="0"/>
                    <w:right w:val="single" w:color="auto" w:sz="4" w:space="0"/>
                  </w:tcBorders>
                  <w:noWrap w:val="0"/>
                  <w:vAlign w:val="center"/>
                </w:tcPr>
                <w:p w14:paraId="72F8085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olor w:val="auto"/>
                      <w:sz w:val="21"/>
                      <w:szCs w:val="24"/>
                      <w:highlight w:val="yellow"/>
                      <w:lang w:val="en-US" w:eastAsia="zh-CN"/>
                    </w:rPr>
                  </w:pPr>
                  <w:r>
                    <w:rPr>
                      <w:rFonts w:hint="eastAsia" w:ascii="Times New Roman" w:hAnsi="Times New Roman" w:eastAsia="宋体"/>
                      <w:color w:val="auto"/>
                      <w:sz w:val="21"/>
                      <w:szCs w:val="24"/>
                      <w:highlight w:val="yellow"/>
                      <w:lang w:val="en-US" w:eastAsia="zh-CN"/>
                    </w:rPr>
                    <w:t>0.0003</w:t>
                  </w:r>
                </w:p>
              </w:tc>
              <w:tc>
                <w:tcPr>
                  <w:tcW w:w="1127" w:type="dxa"/>
                  <w:tcBorders>
                    <w:left w:val="single" w:color="auto" w:sz="4" w:space="0"/>
                    <w:bottom w:val="single" w:color="auto" w:sz="4" w:space="0"/>
                    <w:right w:val="single" w:color="auto" w:sz="4" w:space="0"/>
                  </w:tcBorders>
                  <w:noWrap w:val="0"/>
                  <w:vAlign w:val="center"/>
                </w:tcPr>
                <w:p w14:paraId="1BD2C74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Times New Roman" w:hAnsi="Times New Roman" w:eastAsia="宋体"/>
                      <w:color w:val="auto"/>
                      <w:sz w:val="21"/>
                      <w:szCs w:val="24"/>
                      <w:highlight w:val="yellow"/>
                      <w:lang w:val="en-US" w:eastAsia="zh-CN"/>
                    </w:rPr>
                  </w:pPr>
                  <w:r>
                    <w:rPr>
                      <w:rFonts w:hint="eastAsia" w:ascii="Times New Roman" w:hAnsi="Times New Roman" w:eastAsia="宋体"/>
                      <w:color w:val="auto"/>
                      <w:sz w:val="21"/>
                      <w:szCs w:val="24"/>
                      <w:highlight w:val="yellow"/>
                      <w:lang w:val="en-US" w:eastAsia="zh-CN"/>
                    </w:rPr>
                    <w:t>0.0003</w:t>
                  </w:r>
                </w:p>
              </w:tc>
              <w:tc>
                <w:tcPr>
                  <w:tcW w:w="592" w:type="pct"/>
                  <w:tcBorders>
                    <w:top w:val="single" w:color="auto" w:sz="4" w:space="0"/>
                    <w:left w:val="single" w:color="auto" w:sz="4" w:space="0"/>
                    <w:bottom w:val="single" w:color="auto" w:sz="4" w:space="0"/>
                  </w:tcBorders>
                  <w:noWrap w:val="0"/>
                  <w:vAlign w:val="center"/>
                </w:tcPr>
                <w:p w14:paraId="5046901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olor w:val="auto"/>
                      <w:sz w:val="21"/>
                      <w:szCs w:val="24"/>
                      <w:highlight w:val="yellow"/>
                      <w:lang w:val="en-US" w:eastAsia="zh-CN"/>
                    </w:rPr>
                  </w:pPr>
                  <w:r>
                    <w:rPr>
                      <w:rFonts w:hint="eastAsia" w:ascii="Times New Roman" w:hAnsi="Times New Roman" w:eastAsia="宋体"/>
                      <w:color w:val="auto"/>
                      <w:sz w:val="21"/>
                      <w:szCs w:val="24"/>
                      <w:highlight w:val="yellow"/>
                      <w:lang w:val="en-US" w:eastAsia="zh-CN"/>
                    </w:rPr>
                    <w:t>/</w:t>
                  </w:r>
                </w:p>
              </w:tc>
            </w:tr>
            <w:tr w14:paraId="4E3C8A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1" w:type="pct"/>
                  <w:vMerge w:val="restart"/>
                  <w:tcBorders>
                    <w:right w:val="single" w:color="auto" w:sz="4" w:space="0"/>
                  </w:tcBorders>
                  <w:noWrap w:val="0"/>
                  <w:vAlign w:val="center"/>
                </w:tcPr>
                <w:p w14:paraId="4224A7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olor w:val="auto"/>
                      <w:sz w:val="21"/>
                      <w:szCs w:val="24"/>
                      <w:highlight w:val="yellow"/>
                    </w:rPr>
                  </w:pPr>
                  <w:r>
                    <w:rPr>
                      <w:rFonts w:hint="default" w:ascii="Times New Roman" w:hAnsi="Times New Roman" w:eastAsia="宋体"/>
                      <w:color w:val="auto"/>
                      <w:kern w:val="0"/>
                      <w:sz w:val="21"/>
                      <w:szCs w:val="24"/>
                      <w:highlight w:val="yellow"/>
                    </w:rPr>
                    <w:t>废水</w:t>
                  </w:r>
                </w:p>
              </w:tc>
              <w:tc>
                <w:tcPr>
                  <w:tcW w:w="1580" w:type="pct"/>
                  <w:gridSpan w:val="3"/>
                  <w:tcBorders>
                    <w:left w:val="single" w:color="auto" w:sz="4" w:space="0"/>
                    <w:bottom w:val="single" w:color="auto" w:sz="4" w:space="0"/>
                    <w:right w:val="single" w:color="auto" w:sz="4" w:space="0"/>
                  </w:tcBorders>
                  <w:noWrap w:val="0"/>
                  <w:vAlign w:val="center"/>
                </w:tcPr>
                <w:p w14:paraId="04A138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olor w:val="auto"/>
                      <w:sz w:val="21"/>
                      <w:szCs w:val="24"/>
                      <w:highlight w:val="yellow"/>
                    </w:rPr>
                  </w:pPr>
                  <w:r>
                    <w:rPr>
                      <w:rFonts w:hint="default" w:ascii="Times New Roman" w:hAnsi="Times New Roman" w:eastAsia="宋体"/>
                      <w:color w:val="auto"/>
                      <w:kern w:val="0"/>
                      <w:sz w:val="21"/>
                      <w:szCs w:val="24"/>
                      <w:highlight w:val="yellow"/>
                    </w:rPr>
                    <w:t>废水量</w:t>
                  </w:r>
                </w:p>
              </w:tc>
              <w:tc>
                <w:tcPr>
                  <w:tcW w:w="524" w:type="pct"/>
                  <w:tcBorders>
                    <w:left w:val="single" w:color="auto" w:sz="4" w:space="0"/>
                    <w:bottom w:val="single" w:color="auto" w:sz="4" w:space="0"/>
                    <w:right w:val="single" w:color="auto" w:sz="4" w:space="0"/>
                  </w:tcBorders>
                  <w:noWrap w:val="0"/>
                  <w:vAlign w:val="center"/>
                </w:tcPr>
                <w:p w14:paraId="1CE203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4"/>
                      <w:highlight w:val="yellow"/>
                      <w:u w:val="none"/>
                      <w:lang w:val="en-US" w:eastAsia="zh-CN" w:bidi="ar"/>
                    </w:rPr>
                  </w:pPr>
                  <w:r>
                    <w:rPr>
                      <w:rFonts w:hint="eastAsia" w:ascii="Times New Roman" w:hAnsi="Times New Roman" w:eastAsia="宋体" w:cs="Times New Roman"/>
                      <w:i w:val="0"/>
                      <w:iCs w:val="0"/>
                      <w:color w:val="auto"/>
                      <w:kern w:val="0"/>
                      <w:sz w:val="21"/>
                      <w:szCs w:val="24"/>
                      <w:highlight w:val="yellow"/>
                      <w:u w:val="none"/>
                      <w:lang w:val="en-US" w:eastAsia="zh-CN" w:bidi="ar"/>
                    </w:rPr>
                    <w:t>318.89</w:t>
                  </w:r>
                </w:p>
              </w:tc>
              <w:tc>
                <w:tcPr>
                  <w:tcW w:w="524" w:type="pct"/>
                  <w:tcBorders>
                    <w:left w:val="single" w:color="auto" w:sz="4" w:space="0"/>
                    <w:bottom w:val="single" w:color="auto" w:sz="4" w:space="0"/>
                    <w:right w:val="single" w:color="auto" w:sz="4" w:space="0"/>
                  </w:tcBorders>
                  <w:noWrap w:val="0"/>
                  <w:vAlign w:val="center"/>
                </w:tcPr>
                <w:p w14:paraId="131262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olor w:val="auto"/>
                      <w:sz w:val="21"/>
                      <w:szCs w:val="24"/>
                      <w:highlight w:val="yellow"/>
                      <w:lang w:val="en-US" w:eastAsia="zh-CN"/>
                    </w:rPr>
                  </w:pPr>
                  <w:r>
                    <w:rPr>
                      <w:rFonts w:hint="eastAsia" w:ascii="Times New Roman" w:hAnsi="Times New Roman" w:eastAsia="宋体"/>
                      <w:color w:val="auto"/>
                      <w:sz w:val="21"/>
                      <w:szCs w:val="24"/>
                      <w:highlight w:val="yellow"/>
                      <w:lang w:val="en-US" w:eastAsia="zh-CN"/>
                    </w:rPr>
                    <w:t>0.000</w:t>
                  </w:r>
                </w:p>
              </w:tc>
              <w:tc>
                <w:tcPr>
                  <w:tcW w:w="665" w:type="pct"/>
                  <w:tcBorders>
                    <w:left w:val="single" w:color="auto" w:sz="4" w:space="0"/>
                    <w:bottom w:val="single" w:color="auto" w:sz="4" w:space="0"/>
                    <w:right w:val="single" w:color="auto" w:sz="4" w:space="0"/>
                  </w:tcBorders>
                  <w:noWrap w:val="0"/>
                  <w:vAlign w:val="center"/>
                </w:tcPr>
                <w:p w14:paraId="76C4F9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olor w:val="auto"/>
                      <w:sz w:val="21"/>
                      <w:szCs w:val="24"/>
                      <w:highlight w:val="yellow"/>
                      <w:lang w:val="en-US" w:eastAsia="zh-CN"/>
                    </w:rPr>
                  </w:pPr>
                  <w:r>
                    <w:rPr>
                      <w:rFonts w:hint="eastAsia" w:ascii="Times New Roman" w:hAnsi="Times New Roman" w:eastAsia="宋体"/>
                      <w:color w:val="auto"/>
                      <w:sz w:val="21"/>
                      <w:szCs w:val="24"/>
                      <w:highlight w:val="yellow"/>
                      <w:lang w:val="en-US" w:eastAsia="zh-CN"/>
                    </w:rPr>
                    <w:t>318.89</w:t>
                  </w:r>
                </w:p>
              </w:tc>
              <w:tc>
                <w:tcPr>
                  <w:tcW w:w="1127" w:type="dxa"/>
                  <w:tcBorders>
                    <w:left w:val="single" w:color="auto" w:sz="4" w:space="0"/>
                    <w:bottom w:val="single" w:color="auto" w:sz="4" w:space="0"/>
                    <w:right w:val="single" w:color="auto" w:sz="4" w:space="0"/>
                  </w:tcBorders>
                  <w:noWrap w:val="0"/>
                  <w:vAlign w:val="center"/>
                </w:tcPr>
                <w:p w14:paraId="73D588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olor w:val="auto"/>
                      <w:sz w:val="21"/>
                      <w:szCs w:val="24"/>
                      <w:highlight w:val="yellow"/>
                      <w:lang w:val="en-US" w:eastAsia="zh-CN"/>
                    </w:rPr>
                  </w:pPr>
                  <w:r>
                    <w:rPr>
                      <w:rFonts w:hint="eastAsia" w:ascii="Times New Roman" w:hAnsi="Times New Roman" w:eastAsia="宋体"/>
                      <w:color w:val="auto"/>
                      <w:sz w:val="21"/>
                      <w:szCs w:val="24"/>
                      <w:highlight w:val="yellow"/>
                      <w:lang w:val="en-US" w:eastAsia="zh-CN"/>
                    </w:rPr>
                    <w:t>318.89</w:t>
                  </w:r>
                </w:p>
              </w:tc>
              <w:tc>
                <w:tcPr>
                  <w:tcW w:w="592" w:type="pct"/>
                  <w:tcBorders>
                    <w:top w:val="single" w:color="auto" w:sz="4" w:space="0"/>
                    <w:left w:val="single" w:color="auto" w:sz="4" w:space="0"/>
                    <w:bottom w:val="single" w:color="auto" w:sz="4" w:space="0"/>
                  </w:tcBorders>
                  <w:noWrap w:val="0"/>
                  <w:vAlign w:val="center"/>
                </w:tcPr>
                <w:p w14:paraId="35F0F3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4"/>
                      <w:highlight w:val="yellow"/>
                      <w:u w:val="none"/>
                      <w:lang w:val="en-US" w:eastAsia="zh-CN" w:bidi="ar"/>
                    </w:rPr>
                  </w:pPr>
                  <w:r>
                    <w:rPr>
                      <w:rFonts w:hint="eastAsia" w:ascii="Times New Roman" w:hAnsi="Times New Roman" w:eastAsia="宋体" w:cs="Times New Roman"/>
                      <w:i w:val="0"/>
                      <w:iCs w:val="0"/>
                      <w:color w:val="auto"/>
                      <w:kern w:val="0"/>
                      <w:sz w:val="21"/>
                      <w:szCs w:val="24"/>
                      <w:highlight w:val="yellow"/>
                      <w:u w:val="none"/>
                      <w:lang w:val="en-US" w:eastAsia="zh-CN" w:bidi="ar"/>
                    </w:rPr>
                    <w:t>318.89</w:t>
                  </w:r>
                </w:p>
              </w:tc>
            </w:tr>
            <w:tr w14:paraId="2C946D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1" w:type="pct"/>
                  <w:vMerge w:val="continue"/>
                  <w:tcBorders>
                    <w:right w:val="single" w:color="auto" w:sz="4" w:space="0"/>
                  </w:tcBorders>
                  <w:noWrap w:val="0"/>
                  <w:vAlign w:val="center"/>
                </w:tcPr>
                <w:p w14:paraId="6119E5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bCs/>
                      <w:color w:val="auto"/>
                      <w:sz w:val="21"/>
                      <w:szCs w:val="24"/>
                      <w:highlight w:val="yellow"/>
                    </w:rPr>
                  </w:pPr>
                </w:p>
              </w:tc>
              <w:tc>
                <w:tcPr>
                  <w:tcW w:w="1580" w:type="pct"/>
                  <w:gridSpan w:val="3"/>
                  <w:tcBorders>
                    <w:top w:val="single" w:color="auto" w:sz="4" w:space="0"/>
                    <w:left w:val="single" w:color="auto" w:sz="4" w:space="0"/>
                    <w:bottom w:val="single" w:color="auto" w:sz="4" w:space="0"/>
                    <w:right w:val="single" w:color="auto" w:sz="4" w:space="0"/>
                  </w:tcBorders>
                  <w:noWrap w:val="0"/>
                  <w:vAlign w:val="center"/>
                </w:tcPr>
                <w:p w14:paraId="7428E8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bCs/>
                      <w:color w:val="auto"/>
                      <w:sz w:val="21"/>
                      <w:szCs w:val="24"/>
                      <w:highlight w:val="yellow"/>
                    </w:rPr>
                  </w:pPr>
                  <w:r>
                    <w:rPr>
                      <w:rFonts w:hint="default" w:ascii="Times New Roman" w:hAnsi="Times New Roman" w:eastAsia="宋体"/>
                      <w:bCs/>
                      <w:color w:val="auto"/>
                      <w:sz w:val="21"/>
                      <w:szCs w:val="24"/>
                      <w:highlight w:val="yellow"/>
                    </w:rPr>
                    <w:t>COD</w:t>
                  </w:r>
                </w:p>
              </w:tc>
              <w:tc>
                <w:tcPr>
                  <w:tcW w:w="524" w:type="pct"/>
                  <w:tcBorders>
                    <w:top w:val="single" w:color="auto" w:sz="4" w:space="0"/>
                    <w:left w:val="single" w:color="auto" w:sz="4" w:space="0"/>
                    <w:bottom w:val="single" w:color="auto" w:sz="4" w:space="0"/>
                    <w:right w:val="single" w:color="auto" w:sz="4" w:space="0"/>
                  </w:tcBorders>
                  <w:noWrap w:val="0"/>
                  <w:vAlign w:val="center"/>
                </w:tcPr>
                <w:p w14:paraId="3D68D5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4"/>
                      <w:highlight w:val="yellow"/>
                      <w:u w:val="none"/>
                      <w:lang w:val="en-US" w:eastAsia="zh-CN" w:bidi="ar"/>
                    </w:rPr>
                  </w:pPr>
                  <w:r>
                    <w:rPr>
                      <w:rFonts w:hint="eastAsia" w:ascii="Times New Roman" w:hAnsi="Times New Roman" w:eastAsia="宋体" w:cs="Times New Roman"/>
                      <w:i w:val="0"/>
                      <w:iCs w:val="0"/>
                      <w:color w:val="auto"/>
                      <w:kern w:val="0"/>
                      <w:sz w:val="21"/>
                      <w:szCs w:val="24"/>
                      <w:highlight w:val="yellow"/>
                      <w:u w:val="none"/>
                      <w:lang w:val="en-US" w:eastAsia="zh-CN" w:bidi="ar"/>
                    </w:rPr>
                    <w:t>0.1505</w:t>
                  </w:r>
                </w:p>
              </w:tc>
              <w:tc>
                <w:tcPr>
                  <w:tcW w:w="524" w:type="pct"/>
                  <w:tcBorders>
                    <w:top w:val="single" w:color="auto" w:sz="4" w:space="0"/>
                    <w:left w:val="single" w:color="auto" w:sz="4" w:space="0"/>
                    <w:bottom w:val="single" w:color="auto" w:sz="4" w:space="0"/>
                    <w:right w:val="single" w:color="auto" w:sz="4" w:space="0"/>
                  </w:tcBorders>
                  <w:noWrap w:val="0"/>
                  <w:vAlign w:val="center"/>
                </w:tcPr>
                <w:p w14:paraId="2A5411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bCs/>
                      <w:color w:val="auto"/>
                      <w:sz w:val="21"/>
                      <w:szCs w:val="24"/>
                      <w:highlight w:val="yellow"/>
                      <w:lang w:val="en-US" w:eastAsia="zh-CN"/>
                    </w:rPr>
                  </w:pPr>
                  <w:r>
                    <w:rPr>
                      <w:rFonts w:hint="eastAsia" w:ascii="Times New Roman" w:hAnsi="Times New Roman" w:eastAsia="宋体"/>
                      <w:bCs/>
                      <w:color w:val="auto"/>
                      <w:sz w:val="21"/>
                      <w:szCs w:val="24"/>
                      <w:highlight w:val="yellow"/>
                      <w:lang w:val="en-US" w:eastAsia="zh-CN"/>
                    </w:rPr>
                    <w:t>0.015</w:t>
                  </w:r>
                </w:p>
              </w:tc>
              <w:tc>
                <w:tcPr>
                  <w:tcW w:w="665" w:type="pct"/>
                  <w:tcBorders>
                    <w:top w:val="single" w:color="auto" w:sz="4" w:space="0"/>
                    <w:left w:val="single" w:color="auto" w:sz="4" w:space="0"/>
                    <w:bottom w:val="single" w:color="auto" w:sz="4" w:space="0"/>
                    <w:right w:val="single" w:color="auto" w:sz="4" w:space="0"/>
                  </w:tcBorders>
                  <w:noWrap w:val="0"/>
                  <w:vAlign w:val="center"/>
                </w:tcPr>
                <w:p w14:paraId="28EC6E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bCs/>
                      <w:color w:val="auto"/>
                      <w:sz w:val="21"/>
                      <w:szCs w:val="24"/>
                      <w:highlight w:val="yellow"/>
                      <w:lang w:val="en-US" w:eastAsia="zh-CN"/>
                    </w:rPr>
                  </w:pPr>
                  <w:r>
                    <w:rPr>
                      <w:rFonts w:hint="eastAsia" w:ascii="Times New Roman" w:hAnsi="Times New Roman" w:eastAsia="宋体"/>
                      <w:bCs/>
                      <w:color w:val="auto"/>
                      <w:sz w:val="21"/>
                      <w:szCs w:val="24"/>
                      <w:highlight w:val="yellow"/>
                      <w:lang w:val="en-US" w:eastAsia="zh-CN"/>
                    </w:rPr>
                    <w:t>0.1355</w:t>
                  </w:r>
                </w:p>
              </w:tc>
              <w:tc>
                <w:tcPr>
                  <w:tcW w:w="1127" w:type="dxa"/>
                  <w:tcBorders>
                    <w:top w:val="single" w:color="auto" w:sz="4" w:space="0"/>
                    <w:left w:val="single" w:color="auto" w:sz="4" w:space="0"/>
                    <w:bottom w:val="single" w:color="auto" w:sz="4" w:space="0"/>
                    <w:right w:val="single" w:color="auto" w:sz="4" w:space="0"/>
                  </w:tcBorders>
                  <w:noWrap w:val="0"/>
                  <w:vAlign w:val="center"/>
                </w:tcPr>
                <w:p w14:paraId="3A296F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bCs/>
                      <w:color w:val="auto"/>
                      <w:sz w:val="21"/>
                      <w:szCs w:val="24"/>
                      <w:highlight w:val="yellow"/>
                      <w:lang w:val="en-US"/>
                    </w:rPr>
                  </w:pPr>
                  <w:r>
                    <w:rPr>
                      <w:rFonts w:hint="eastAsia" w:ascii="Times New Roman" w:hAnsi="Times New Roman" w:eastAsia="宋体"/>
                      <w:bCs/>
                      <w:color w:val="auto"/>
                      <w:sz w:val="21"/>
                      <w:szCs w:val="24"/>
                      <w:highlight w:val="yellow"/>
                      <w:lang w:val="en-US" w:eastAsia="zh-CN"/>
                    </w:rPr>
                    <w:t>0.1355</w:t>
                  </w:r>
                </w:p>
              </w:tc>
              <w:tc>
                <w:tcPr>
                  <w:tcW w:w="1040" w:type="dxa"/>
                  <w:tcBorders>
                    <w:top w:val="single" w:color="auto" w:sz="4" w:space="0"/>
                    <w:left w:val="single" w:color="auto" w:sz="4" w:space="0"/>
                    <w:bottom w:val="single" w:color="auto" w:sz="4" w:space="0"/>
                  </w:tcBorders>
                  <w:noWrap w:val="0"/>
                  <w:vAlign w:val="center"/>
                </w:tcPr>
                <w:p w14:paraId="6E57D4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4"/>
                      <w:highlight w:val="yellow"/>
                      <w:u w:val="none"/>
                      <w:lang w:val="en-US" w:eastAsia="zh-CN" w:bidi="ar"/>
                    </w:rPr>
                  </w:pPr>
                  <w:r>
                    <w:rPr>
                      <w:rFonts w:hint="default" w:ascii="Times New Roman" w:hAnsi="Times New Roman" w:eastAsia="宋体" w:cs="Times New Roman"/>
                      <w:i w:val="0"/>
                      <w:iCs w:val="0"/>
                      <w:color w:val="auto"/>
                      <w:kern w:val="0"/>
                      <w:sz w:val="21"/>
                      <w:szCs w:val="24"/>
                      <w:highlight w:val="yellow"/>
                      <w:u w:val="none"/>
                      <w:lang w:val="en-US" w:eastAsia="zh-CN" w:bidi="ar"/>
                    </w:rPr>
                    <w:t xml:space="preserve">0.0128 </w:t>
                  </w:r>
                </w:p>
              </w:tc>
            </w:tr>
            <w:tr w14:paraId="12A6D0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1" w:type="pct"/>
                  <w:vMerge w:val="continue"/>
                  <w:tcBorders>
                    <w:right w:val="single" w:color="auto" w:sz="4" w:space="0"/>
                  </w:tcBorders>
                  <w:noWrap w:val="0"/>
                  <w:vAlign w:val="center"/>
                </w:tcPr>
                <w:p w14:paraId="3AB08B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bCs/>
                      <w:color w:val="auto"/>
                      <w:sz w:val="21"/>
                      <w:szCs w:val="24"/>
                      <w:highlight w:val="yellow"/>
                    </w:rPr>
                  </w:pPr>
                </w:p>
              </w:tc>
              <w:tc>
                <w:tcPr>
                  <w:tcW w:w="1580" w:type="pct"/>
                  <w:gridSpan w:val="3"/>
                  <w:tcBorders>
                    <w:top w:val="single" w:color="auto" w:sz="4" w:space="0"/>
                    <w:left w:val="single" w:color="auto" w:sz="4" w:space="0"/>
                    <w:bottom w:val="single" w:color="auto" w:sz="4" w:space="0"/>
                    <w:right w:val="single" w:color="auto" w:sz="4" w:space="0"/>
                  </w:tcBorders>
                  <w:noWrap w:val="0"/>
                  <w:vAlign w:val="center"/>
                </w:tcPr>
                <w:p w14:paraId="51AB18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bCs/>
                      <w:color w:val="auto"/>
                      <w:sz w:val="21"/>
                      <w:szCs w:val="24"/>
                      <w:highlight w:val="yellow"/>
                    </w:rPr>
                  </w:pPr>
                  <w:r>
                    <w:rPr>
                      <w:rFonts w:hint="default" w:ascii="Times New Roman" w:hAnsi="Times New Roman" w:eastAsia="宋体"/>
                      <w:bCs/>
                      <w:color w:val="auto"/>
                      <w:sz w:val="21"/>
                      <w:szCs w:val="24"/>
                      <w:highlight w:val="yellow"/>
                    </w:rPr>
                    <w:t>SS</w:t>
                  </w:r>
                </w:p>
              </w:tc>
              <w:tc>
                <w:tcPr>
                  <w:tcW w:w="921" w:type="dxa"/>
                  <w:tcBorders>
                    <w:top w:val="single" w:color="auto" w:sz="4" w:space="0"/>
                    <w:left w:val="single" w:color="auto" w:sz="4" w:space="0"/>
                    <w:bottom w:val="single" w:color="auto" w:sz="4" w:space="0"/>
                    <w:right w:val="single" w:color="auto" w:sz="4" w:space="0"/>
                  </w:tcBorders>
                  <w:noWrap w:val="0"/>
                  <w:vAlign w:val="center"/>
                </w:tcPr>
                <w:p w14:paraId="0E96DB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4"/>
                      <w:highlight w:val="yellow"/>
                      <w:u w:val="none"/>
                      <w:lang w:val="en-US" w:eastAsia="zh-CN" w:bidi="ar"/>
                    </w:rPr>
                  </w:pPr>
                  <w:r>
                    <w:rPr>
                      <w:rFonts w:hint="default" w:ascii="Times New Roman" w:hAnsi="Times New Roman" w:eastAsia="宋体" w:cs="Times New Roman"/>
                      <w:i w:val="0"/>
                      <w:iCs w:val="0"/>
                      <w:color w:val="auto"/>
                      <w:kern w:val="0"/>
                      <w:sz w:val="21"/>
                      <w:szCs w:val="24"/>
                      <w:highlight w:val="yellow"/>
                      <w:u w:val="none"/>
                      <w:lang w:val="en-US" w:eastAsia="zh-CN" w:bidi="ar"/>
                    </w:rPr>
                    <w:t xml:space="preserve">0.1202 </w:t>
                  </w:r>
                </w:p>
              </w:tc>
              <w:tc>
                <w:tcPr>
                  <w:tcW w:w="524" w:type="pct"/>
                  <w:tcBorders>
                    <w:top w:val="single" w:color="auto" w:sz="4" w:space="0"/>
                    <w:left w:val="single" w:color="auto" w:sz="4" w:space="0"/>
                    <w:bottom w:val="single" w:color="auto" w:sz="4" w:space="0"/>
                    <w:right w:val="single" w:color="auto" w:sz="4" w:space="0"/>
                  </w:tcBorders>
                  <w:noWrap w:val="0"/>
                  <w:vAlign w:val="center"/>
                </w:tcPr>
                <w:p w14:paraId="092866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olor w:val="auto"/>
                      <w:sz w:val="21"/>
                      <w:szCs w:val="24"/>
                      <w:highlight w:val="yellow"/>
                      <w:lang w:val="en-US" w:eastAsia="zh-CN"/>
                    </w:rPr>
                  </w:pPr>
                  <w:r>
                    <w:rPr>
                      <w:rFonts w:hint="eastAsia" w:ascii="Times New Roman" w:hAnsi="Times New Roman" w:eastAsia="宋体"/>
                      <w:color w:val="auto"/>
                      <w:sz w:val="21"/>
                      <w:szCs w:val="24"/>
                      <w:highlight w:val="yellow"/>
                      <w:lang w:val="en-US" w:eastAsia="zh-CN"/>
                    </w:rPr>
                    <w:t>0.0118</w:t>
                  </w:r>
                </w:p>
              </w:tc>
              <w:tc>
                <w:tcPr>
                  <w:tcW w:w="665" w:type="pct"/>
                  <w:tcBorders>
                    <w:top w:val="single" w:color="auto" w:sz="4" w:space="0"/>
                    <w:left w:val="single" w:color="auto" w:sz="4" w:space="0"/>
                    <w:bottom w:val="single" w:color="auto" w:sz="4" w:space="0"/>
                    <w:right w:val="single" w:color="auto" w:sz="4" w:space="0"/>
                  </w:tcBorders>
                  <w:noWrap w:val="0"/>
                  <w:vAlign w:val="center"/>
                </w:tcPr>
                <w:p w14:paraId="547DA2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olor w:val="auto"/>
                      <w:sz w:val="21"/>
                      <w:szCs w:val="24"/>
                      <w:highlight w:val="yellow"/>
                      <w:lang w:val="en-US" w:eastAsia="zh-CN"/>
                    </w:rPr>
                  </w:pPr>
                  <w:r>
                    <w:rPr>
                      <w:rFonts w:hint="eastAsia" w:ascii="Times New Roman" w:hAnsi="Times New Roman" w:eastAsia="宋体"/>
                      <w:color w:val="auto"/>
                      <w:sz w:val="21"/>
                      <w:szCs w:val="24"/>
                      <w:highlight w:val="yellow"/>
                      <w:lang w:val="en-US" w:eastAsia="zh-CN"/>
                    </w:rPr>
                    <w:t>0.1084</w:t>
                  </w:r>
                </w:p>
              </w:tc>
              <w:tc>
                <w:tcPr>
                  <w:tcW w:w="1127" w:type="dxa"/>
                  <w:tcBorders>
                    <w:top w:val="single" w:color="auto" w:sz="4" w:space="0"/>
                    <w:left w:val="single" w:color="auto" w:sz="4" w:space="0"/>
                    <w:bottom w:val="single" w:color="auto" w:sz="4" w:space="0"/>
                    <w:right w:val="single" w:color="auto" w:sz="4" w:space="0"/>
                  </w:tcBorders>
                  <w:noWrap w:val="0"/>
                  <w:vAlign w:val="center"/>
                </w:tcPr>
                <w:p w14:paraId="1832A6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bCs/>
                      <w:color w:val="auto"/>
                      <w:sz w:val="21"/>
                      <w:szCs w:val="24"/>
                      <w:highlight w:val="yellow"/>
                      <w:lang w:val="en-US"/>
                    </w:rPr>
                  </w:pPr>
                  <w:r>
                    <w:rPr>
                      <w:rFonts w:hint="eastAsia" w:ascii="Times New Roman" w:hAnsi="Times New Roman" w:eastAsia="宋体"/>
                      <w:color w:val="auto"/>
                      <w:sz w:val="21"/>
                      <w:szCs w:val="24"/>
                      <w:highlight w:val="yellow"/>
                      <w:lang w:val="en-US" w:eastAsia="zh-CN"/>
                    </w:rPr>
                    <w:t>0.1084</w:t>
                  </w:r>
                </w:p>
              </w:tc>
              <w:tc>
                <w:tcPr>
                  <w:tcW w:w="1040" w:type="dxa"/>
                  <w:tcBorders>
                    <w:top w:val="single" w:color="auto" w:sz="4" w:space="0"/>
                    <w:left w:val="single" w:color="auto" w:sz="4" w:space="0"/>
                    <w:bottom w:val="single" w:color="auto" w:sz="4" w:space="0"/>
                  </w:tcBorders>
                  <w:noWrap w:val="0"/>
                  <w:vAlign w:val="center"/>
                </w:tcPr>
                <w:p w14:paraId="457B7C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4"/>
                      <w:highlight w:val="yellow"/>
                      <w:u w:val="none"/>
                      <w:lang w:val="en-US" w:eastAsia="zh-CN" w:bidi="ar"/>
                    </w:rPr>
                  </w:pPr>
                  <w:r>
                    <w:rPr>
                      <w:rFonts w:hint="default" w:ascii="Times New Roman" w:hAnsi="Times New Roman" w:eastAsia="宋体" w:cs="Times New Roman"/>
                      <w:i w:val="0"/>
                      <w:iCs w:val="0"/>
                      <w:color w:val="auto"/>
                      <w:kern w:val="0"/>
                      <w:sz w:val="21"/>
                      <w:szCs w:val="24"/>
                      <w:highlight w:val="yellow"/>
                      <w:u w:val="none"/>
                      <w:lang w:val="en-US" w:eastAsia="zh-CN" w:bidi="ar"/>
                    </w:rPr>
                    <w:t xml:space="preserve">0.0032 </w:t>
                  </w:r>
                </w:p>
              </w:tc>
            </w:tr>
            <w:tr w14:paraId="27AA7D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1" w:type="pct"/>
                  <w:vMerge w:val="continue"/>
                  <w:tcBorders>
                    <w:right w:val="single" w:color="auto" w:sz="4" w:space="0"/>
                  </w:tcBorders>
                  <w:noWrap w:val="0"/>
                  <w:vAlign w:val="center"/>
                </w:tcPr>
                <w:p w14:paraId="459931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bCs/>
                      <w:color w:val="auto"/>
                      <w:sz w:val="21"/>
                      <w:szCs w:val="24"/>
                      <w:highlight w:val="yellow"/>
                    </w:rPr>
                  </w:pPr>
                </w:p>
              </w:tc>
              <w:tc>
                <w:tcPr>
                  <w:tcW w:w="1580" w:type="pct"/>
                  <w:gridSpan w:val="3"/>
                  <w:tcBorders>
                    <w:top w:val="single" w:color="auto" w:sz="4" w:space="0"/>
                    <w:left w:val="single" w:color="auto" w:sz="4" w:space="0"/>
                    <w:bottom w:val="single" w:color="auto" w:sz="4" w:space="0"/>
                    <w:right w:val="single" w:color="auto" w:sz="4" w:space="0"/>
                  </w:tcBorders>
                  <w:noWrap w:val="0"/>
                  <w:vAlign w:val="center"/>
                </w:tcPr>
                <w:p w14:paraId="54E2359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bCs/>
                      <w:color w:val="auto"/>
                      <w:sz w:val="21"/>
                      <w:szCs w:val="24"/>
                      <w:highlight w:val="yellow"/>
                    </w:rPr>
                  </w:pPr>
                  <w:r>
                    <w:rPr>
                      <w:rFonts w:hint="eastAsia" w:ascii="Times New Roman" w:hAnsi="Times New Roman" w:eastAsia="宋体"/>
                      <w:bCs/>
                      <w:color w:val="auto"/>
                      <w:sz w:val="21"/>
                      <w:szCs w:val="24"/>
                      <w:highlight w:val="yellow"/>
                    </w:rPr>
                    <w:t>NH</w:t>
                  </w:r>
                  <w:r>
                    <w:rPr>
                      <w:rFonts w:hint="eastAsia" w:ascii="Times New Roman" w:hAnsi="Times New Roman" w:eastAsia="宋体"/>
                      <w:bCs/>
                      <w:color w:val="auto"/>
                      <w:sz w:val="21"/>
                      <w:szCs w:val="24"/>
                      <w:highlight w:val="yellow"/>
                      <w:vertAlign w:val="subscript"/>
                    </w:rPr>
                    <w:t>3</w:t>
                  </w:r>
                  <w:r>
                    <w:rPr>
                      <w:rFonts w:hint="eastAsia" w:ascii="Times New Roman" w:hAnsi="Times New Roman" w:eastAsia="宋体"/>
                      <w:bCs/>
                      <w:color w:val="auto"/>
                      <w:sz w:val="21"/>
                      <w:szCs w:val="24"/>
                      <w:highlight w:val="yellow"/>
                    </w:rPr>
                    <w:t>-N</w:t>
                  </w:r>
                </w:p>
              </w:tc>
              <w:tc>
                <w:tcPr>
                  <w:tcW w:w="921" w:type="dxa"/>
                  <w:tcBorders>
                    <w:top w:val="single" w:color="auto" w:sz="4" w:space="0"/>
                    <w:left w:val="single" w:color="auto" w:sz="4" w:space="0"/>
                    <w:bottom w:val="single" w:color="auto" w:sz="4" w:space="0"/>
                    <w:right w:val="single" w:color="auto" w:sz="4" w:space="0"/>
                  </w:tcBorders>
                  <w:noWrap w:val="0"/>
                  <w:vAlign w:val="center"/>
                </w:tcPr>
                <w:p w14:paraId="163490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4"/>
                      <w:highlight w:val="yellow"/>
                      <w:u w:val="none"/>
                      <w:lang w:val="en-US" w:eastAsia="zh-CN" w:bidi="ar"/>
                    </w:rPr>
                  </w:pPr>
                  <w:r>
                    <w:rPr>
                      <w:rFonts w:hint="default" w:ascii="Times New Roman" w:hAnsi="Times New Roman" w:eastAsia="宋体" w:cs="Times New Roman"/>
                      <w:i w:val="0"/>
                      <w:iCs w:val="0"/>
                      <w:color w:val="auto"/>
                      <w:kern w:val="0"/>
                      <w:sz w:val="21"/>
                      <w:szCs w:val="24"/>
                      <w:highlight w:val="yellow"/>
                      <w:u w:val="none"/>
                      <w:lang w:val="en-US" w:eastAsia="zh-CN" w:bidi="ar"/>
                    </w:rPr>
                    <w:t xml:space="preserve">0.0105 </w:t>
                  </w:r>
                </w:p>
              </w:tc>
              <w:tc>
                <w:tcPr>
                  <w:tcW w:w="524" w:type="pct"/>
                  <w:tcBorders>
                    <w:top w:val="single" w:color="auto" w:sz="4" w:space="0"/>
                    <w:left w:val="single" w:color="auto" w:sz="4" w:space="0"/>
                    <w:bottom w:val="single" w:color="auto" w:sz="4" w:space="0"/>
                    <w:right w:val="single" w:color="auto" w:sz="4" w:space="0"/>
                  </w:tcBorders>
                  <w:noWrap w:val="0"/>
                  <w:vAlign w:val="center"/>
                </w:tcPr>
                <w:p w14:paraId="179E85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olor w:val="auto"/>
                      <w:sz w:val="21"/>
                      <w:szCs w:val="24"/>
                      <w:highlight w:val="yellow"/>
                      <w:lang w:val="en-US" w:eastAsia="zh-CN"/>
                    </w:rPr>
                  </w:pPr>
                  <w:r>
                    <w:rPr>
                      <w:rFonts w:hint="eastAsia" w:ascii="Times New Roman" w:hAnsi="Times New Roman" w:eastAsia="宋体"/>
                      <w:color w:val="auto"/>
                      <w:sz w:val="21"/>
                      <w:szCs w:val="24"/>
                      <w:highlight w:val="yellow"/>
                      <w:lang w:val="en-US" w:eastAsia="zh-CN"/>
                    </w:rPr>
                    <w:t>0</w:t>
                  </w:r>
                </w:p>
              </w:tc>
              <w:tc>
                <w:tcPr>
                  <w:tcW w:w="665" w:type="pct"/>
                  <w:tcBorders>
                    <w:top w:val="single" w:color="auto" w:sz="4" w:space="0"/>
                    <w:left w:val="single" w:color="auto" w:sz="4" w:space="0"/>
                    <w:bottom w:val="single" w:color="auto" w:sz="4" w:space="0"/>
                    <w:right w:val="single" w:color="auto" w:sz="4" w:space="0"/>
                  </w:tcBorders>
                  <w:noWrap w:val="0"/>
                  <w:vAlign w:val="center"/>
                </w:tcPr>
                <w:p w14:paraId="0C99B5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olor w:val="auto"/>
                      <w:sz w:val="21"/>
                      <w:szCs w:val="24"/>
                      <w:highlight w:val="yellow"/>
                      <w:lang w:val="en-US" w:eastAsia="zh-CN"/>
                    </w:rPr>
                  </w:pPr>
                  <w:r>
                    <w:rPr>
                      <w:rFonts w:hint="eastAsia" w:ascii="Times New Roman" w:hAnsi="Times New Roman" w:eastAsia="宋体"/>
                      <w:color w:val="auto"/>
                      <w:sz w:val="21"/>
                      <w:szCs w:val="24"/>
                      <w:highlight w:val="yellow"/>
                      <w:lang w:val="en-US" w:eastAsia="zh-CN"/>
                    </w:rPr>
                    <w:t>0.0105</w:t>
                  </w:r>
                </w:p>
              </w:tc>
              <w:tc>
                <w:tcPr>
                  <w:tcW w:w="1127" w:type="dxa"/>
                  <w:tcBorders>
                    <w:top w:val="single" w:color="auto" w:sz="4" w:space="0"/>
                    <w:left w:val="single" w:color="auto" w:sz="4" w:space="0"/>
                    <w:bottom w:val="single" w:color="auto" w:sz="4" w:space="0"/>
                    <w:right w:val="single" w:color="auto" w:sz="4" w:space="0"/>
                  </w:tcBorders>
                  <w:noWrap w:val="0"/>
                  <w:vAlign w:val="center"/>
                </w:tcPr>
                <w:p w14:paraId="143884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bCs/>
                      <w:color w:val="auto"/>
                      <w:sz w:val="21"/>
                      <w:szCs w:val="24"/>
                      <w:highlight w:val="yellow"/>
                      <w:lang w:val="en-US"/>
                    </w:rPr>
                  </w:pPr>
                  <w:r>
                    <w:rPr>
                      <w:rFonts w:hint="eastAsia" w:ascii="Times New Roman" w:hAnsi="Times New Roman" w:eastAsia="宋体"/>
                      <w:color w:val="auto"/>
                      <w:sz w:val="21"/>
                      <w:szCs w:val="24"/>
                      <w:highlight w:val="yellow"/>
                      <w:lang w:val="en-US" w:eastAsia="zh-CN"/>
                    </w:rPr>
                    <w:t>0.0105</w:t>
                  </w:r>
                </w:p>
              </w:tc>
              <w:tc>
                <w:tcPr>
                  <w:tcW w:w="1040" w:type="dxa"/>
                  <w:tcBorders>
                    <w:top w:val="single" w:color="auto" w:sz="4" w:space="0"/>
                    <w:left w:val="single" w:color="auto" w:sz="4" w:space="0"/>
                    <w:bottom w:val="single" w:color="auto" w:sz="4" w:space="0"/>
                  </w:tcBorders>
                  <w:noWrap w:val="0"/>
                  <w:vAlign w:val="center"/>
                </w:tcPr>
                <w:p w14:paraId="2E09D8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4"/>
                      <w:highlight w:val="yellow"/>
                      <w:u w:val="none"/>
                      <w:lang w:val="en-US" w:eastAsia="zh-CN" w:bidi="ar"/>
                    </w:rPr>
                  </w:pPr>
                  <w:r>
                    <w:rPr>
                      <w:rFonts w:hint="default" w:ascii="Times New Roman" w:hAnsi="Times New Roman" w:eastAsia="宋体" w:cs="Times New Roman"/>
                      <w:i w:val="0"/>
                      <w:iCs w:val="0"/>
                      <w:color w:val="auto"/>
                      <w:kern w:val="0"/>
                      <w:sz w:val="21"/>
                      <w:szCs w:val="24"/>
                      <w:highlight w:val="yellow"/>
                      <w:u w:val="none"/>
                      <w:lang w:val="en-US" w:eastAsia="zh-CN" w:bidi="ar"/>
                    </w:rPr>
                    <w:t xml:space="preserve">0.0010 </w:t>
                  </w:r>
                </w:p>
              </w:tc>
            </w:tr>
            <w:tr w14:paraId="4ADEDB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1" w:type="pct"/>
                  <w:vMerge w:val="continue"/>
                  <w:tcBorders>
                    <w:right w:val="single" w:color="auto" w:sz="4" w:space="0"/>
                  </w:tcBorders>
                  <w:noWrap w:val="0"/>
                  <w:vAlign w:val="center"/>
                </w:tcPr>
                <w:p w14:paraId="2F685F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bCs/>
                      <w:color w:val="auto"/>
                      <w:sz w:val="21"/>
                      <w:szCs w:val="24"/>
                      <w:highlight w:val="yellow"/>
                    </w:rPr>
                  </w:pPr>
                </w:p>
              </w:tc>
              <w:tc>
                <w:tcPr>
                  <w:tcW w:w="1580" w:type="pct"/>
                  <w:gridSpan w:val="3"/>
                  <w:tcBorders>
                    <w:top w:val="single" w:color="auto" w:sz="4" w:space="0"/>
                    <w:left w:val="single" w:color="auto" w:sz="4" w:space="0"/>
                    <w:bottom w:val="single" w:color="auto" w:sz="4" w:space="0"/>
                    <w:right w:val="single" w:color="auto" w:sz="4" w:space="0"/>
                  </w:tcBorders>
                  <w:noWrap w:val="0"/>
                  <w:vAlign w:val="center"/>
                </w:tcPr>
                <w:p w14:paraId="738CB8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bCs/>
                      <w:color w:val="auto"/>
                      <w:sz w:val="21"/>
                      <w:szCs w:val="24"/>
                      <w:highlight w:val="yellow"/>
                    </w:rPr>
                  </w:pPr>
                  <w:r>
                    <w:rPr>
                      <w:rFonts w:hint="eastAsia" w:ascii="Times New Roman" w:hAnsi="Times New Roman" w:eastAsia="宋体"/>
                      <w:bCs/>
                      <w:color w:val="auto"/>
                      <w:sz w:val="21"/>
                      <w:szCs w:val="24"/>
                      <w:highlight w:val="yellow"/>
                    </w:rPr>
                    <w:t>TN</w:t>
                  </w:r>
                </w:p>
              </w:tc>
              <w:tc>
                <w:tcPr>
                  <w:tcW w:w="921" w:type="dxa"/>
                  <w:tcBorders>
                    <w:top w:val="single" w:color="auto" w:sz="4" w:space="0"/>
                    <w:left w:val="single" w:color="auto" w:sz="4" w:space="0"/>
                    <w:bottom w:val="single" w:color="auto" w:sz="4" w:space="0"/>
                    <w:right w:val="single" w:color="auto" w:sz="4" w:space="0"/>
                  </w:tcBorders>
                  <w:noWrap w:val="0"/>
                  <w:vAlign w:val="center"/>
                </w:tcPr>
                <w:p w14:paraId="5F94E6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4"/>
                      <w:highlight w:val="yellow"/>
                      <w:u w:val="none"/>
                      <w:lang w:val="en-US" w:eastAsia="zh-CN" w:bidi="ar"/>
                    </w:rPr>
                  </w:pPr>
                  <w:r>
                    <w:rPr>
                      <w:rFonts w:hint="default" w:ascii="Times New Roman" w:hAnsi="Times New Roman" w:eastAsia="宋体" w:cs="Times New Roman"/>
                      <w:i w:val="0"/>
                      <w:iCs w:val="0"/>
                      <w:color w:val="auto"/>
                      <w:kern w:val="0"/>
                      <w:sz w:val="21"/>
                      <w:szCs w:val="24"/>
                      <w:highlight w:val="yellow"/>
                      <w:u w:val="none"/>
                      <w:lang w:val="en-US" w:eastAsia="zh-CN" w:bidi="ar"/>
                    </w:rPr>
                    <w:t xml:space="preserve">0.0134 </w:t>
                  </w:r>
                </w:p>
              </w:tc>
              <w:tc>
                <w:tcPr>
                  <w:tcW w:w="524" w:type="pct"/>
                  <w:tcBorders>
                    <w:top w:val="single" w:color="auto" w:sz="4" w:space="0"/>
                    <w:left w:val="single" w:color="auto" w:sz="4" w:space="0"/>
                    <w:bottom w:val="single" w:color="auto" w:sz="4" w:space="0"/>
                    <w:right w:val="single" w:color="auto" w:sz="4" w:space="0"/>
                  </w:tcBorders>
                  <w:noWrap w:val="0"/>
                  <w:vAlign w:val="center"/>
                </w:tcPr>
                <w:p w14:paraId="55AD7D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olor w:val="auto"/>
                      <w:sz w:val="21"/>
                      <w:szCs w:val="24"/>
                      <w:highlight w:val="yellow"/>
                      <w:lang w:val="en-US" w:eastAsia="zh-CN"/>
                    </w:rPr>
                  </w:pPr>
                  <w:r>
                    <w:rPr>
                      <w:rFonts w:hint="eastAsia" w:ascii="Times New Roman" w:hAnsi="Times New Roman" w:eastAsia="宋体"/>
                      <w:color w:val="auto"/>
                      <w:sz w:val="21"/>
                      <w:szCs w:val="24"/>
                      <w:highlight w:val="yellow"/>
                      <w:lang w:val="en-US" w:eastAsia="zh-CN"/>
                    </w:rPr>
                    <w:t>0</w:t>
                  </w:r>
                </w:p>
              </w:tc>
              <w:tc>
                <w:tcPr>
                  <w:tcW w:w="665" w:type="pct"/>
                  <w:tcBorders>
                    <w:top w:val="single" w:color="auto" w:sz="4" w:space="0"/>
                    <w:left w:val="single" w:color="auto" w:sz="4" w:space="0"/>
                    <w:bottom w:val="single" w:color="auto" w:sz="4" w:space="0"/>
                    <w:right w:val="single" w:color="auto" w:sz="4" w:space="0"/>
                  </w:tcBorders>
                  <w:noWrap w:val="0"/>
                  <w:vAlign w:val="center"/>
                </w:tcPr>
                <w:p w14:paraId="1ADBC4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olor w:val="auto"/>
                      <w:sz w:val="21"/>
                      <w:szCs w:val="24"/>
                      <w:highlight w:val="yellow"/>
                      <w:lang w:val="en-US" w:eastAsia="zh-CN"/>
                    </w:rPr>
                  </w:pPr>
                  <w:r>
                    <w:rPr>
                      <w:rFonts w:hint="eastAsia" w:ascii="Times New Roman" w:hAnsi="Times New Roman" w:eastAsia="宋体"/>
                      <w:color w:val="auto"/>
                      <w:sz w:val="21"/>
                      <w:szCs w:val="24"/>
                      <w:highlight w:val="yellow"/>
                      <w:lang w:val="en-US" w:eastAsia="zh-CN"/>
                    </w:rPr>
                    <w:t>0.0134</w:t>
                  </w:r>
                </w:p>
              </w:tc>
              <w:tc>
                <w:tcPr>
                  <w:tcW w:w="1127" w:type="dxa"/>
                  <w:tcBorders>
                    <w:top w:val="single" w:color="auto" w:sz="4" w:space="0"/>
                    <w:left w:val="single" w:color="auto" w:sz="4" w:space="0"/>
                    <w:bottom w:val="single" w:color="auto" w:sz="4" w:space="0"/>
                    <w:right w:val="single" w:color="auto" w:sz="4" w:space="0"/>
                  </w:tcBorders>
                  <w:noWrap w:val="0"/>
                  <w:vAlign w:val="center"/>
                </w:tcPr>
                <w:p w14:paraId="244190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bCs/>
                      <w:color w:val="auto"/>
                      <w:sz w:val="21"/>
                      <w:szCs w:val="24"/>
                      <w:highlight w:val="yellow"/>
                      <w:lang w:val="en-US"/>
                    </w:rPr>
                  </w:pPr>
                  <w:r>
                    <w:rPr>
                      <w:rFonts w:hint="eastAsia" w:ascii="Times New Roman" w:hAnsi="Times New Roman" w:eastAsia="宋体"/>
                      <w:color w:val="auto"/>
                      <w:sz w:val="21"/>
                      <w:szCs w:val="24"/>
                      <w:highlight w:val="yellow"/>
                      <w:lang w:val="en-US" w:eastAsia="zh-CN"/>
                    </w:rPr>
                    <w:t>0.0134</w:t>
                  </w:r>
                </w:p>
              </w:tc>
              <w:tc>
                <w:tcPr>
                  <w:tcW w:w="1040" w:type="dxa"/>
                  <w:tcBorders>
                    <w:top w:val="single" w:color="auto" w:sz="4" w:space="0"/>
                    <w:left w:val="single" w:color="auto" w:sz="4" w:space="0"/>
                    <w:bottom w:val="single" w:color="auto" w:sz="4" w:space="0"/>
                  </w:tcBorders>
                  <w:noWrap w:val="0"/>
                  <w:vAlign w:val="center"/>
                </w:tcPr>
                <w:p w14:paraId="53CA86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4"/>
                      <w:highlight w:val="yellow"/>
                      <w:u w:val="none"/>
                      <w:lang w:val="en-US" w:eastAsia="zh-CN" w:bidi="ar"/>
                    </w:rPr>
                  </w:pPr>
                  <w:r>
                    <w:rPr>
                      <w:rFonts w:hint="default" w:ascii="Times New Roman" w:hAnsi="Times New Roman" w:eastAsia="宋体" w:cs="Times New Roman"/>
                      <w:i w:val="0"/>
                      <w:iCs w:val="0"/>
                      <w:color w:val="auto"/>
                      <w:kern w:val="0"/>
                      <w:sz w:val="21"/>
                      <w:szCs w:val="24"/>
                      <w:highlight w:val="yellow"/>
                      <w:u w:val="none"/>
                      <w:lang w:val="en-US" w:eastAsia="zh-CN" w:bidi="ar"/>
                    </w:rPr>
                    <w:t xml:space="preserve">0.0032 </w:t>
                  </w:r>
                </w:p>
              </w:tc>
            </w:tr>
            <w:tr w14:paraId="48C47C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1" w:type="pct"/>
                  <w:vMerge w:val="continue"/>
                  <w:tcBorders>
                    <w:right w:val="single" w:color="auto" w:sz="4" w:space="0"/>
                  </w:tcBorders>
                  <w:noWrap w:val="0"/>
                  <w:vAlign w:val="center"/>
                </w:tcPr>
                <w:p w14:paraId="09384C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bCs/>
                      <w:color w:val="auto"/>
                      <w:sz w:val="21"/>
                      <w:szCs w:val="24"/>
                      <w:highlight w:val="yellow"/>
                    </w:rPr>
                  </w:pPr>
                </w:p>
              </w:tc>
              <w:tc>
                <w:tcPr>
                  <w:tcW w:w="1580" w:type="pct"/>
                  <w:gridSpan w:val="3"/>
                  <w:tcBorders>
                    <w:top w:val="single" w:color="auto" w:sz="4" w:space="0"/>
                    <w:left w:val="single" w:color="auto" w:sz="4" w:space="0"/>
                    <w:bottom w:val="single" w:color="auto" w:sz="4" w:space="0"/>
                    <w:right w:val="single" w:color="auto" w:sz="4" w:space="0"/>
                  </w:tcBorders>
                  <w:noWrap w:val="0"/>
                  <w:vAlign w:val="center"/>
                </w:tcPr>
                <w:p w14:paraId="5A7E1EF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bCs/>
                      <w:color w:val="auto"/>
                      <w:sz w:val="21"/>
                      <w:szCs w:val="24"/>
                      <w:highlight w:val="yellow"/>
                    </w:rPr>
                  </w:pPr>
                  <w:r>
                    <w:rPr>
                      <w:rFonts w:hint="eastAsia" w:ascii="Times New Roman" w:hAnsi="Times New Roman" w:eastAsia="宋体"/>
                      <w:color w:val="auto"/>
                      <w:sz w:val="21"/>
                      <w:szCs w:val="24"/>
                      <w:highlight w:val="yellow"/>
                    </w:rPr>
                    <w:t>TP</w:t>
                  </w:r>
                </w:p>
              </w:tc>
              <w:tc>
                <w:tcPr>
                  <w:tcW w:w="921" w:type="dxa"/>
                  <w:tcBorders>
                    <w:top w:val="single" w:color="auto" w:sz="4" w:space="0"/>
                    <w:left w:val="single" w:color="auto" w:sz="4" w:space="0"/>
                    <w:bottom w:val="single" w:color="auto" w:sz="4" w:space="0"/>
                    <w:right w:val="single" w:color="auto" w:sz="4" w:space="0"/>
                  </w:tcBorders>
                  <w:noWrap w:val="0"/>
                  <w:vAlign w:val="center"/>
                </w:tcPr>
                <w:p w14:paraId="362BF2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4"/>
                      <w:highlight w:val="yellow"/>
                      <w:u w:val="none"/>
                      <w:lang w:val="en-US" w:eastAsia="zh-CN" w:bidi="ar"/>
                    </w:rPr>
                  </w:pPr>
                  <w:r>
                    <w:rPr>
                      <w:rFonts w:hint="default" w:ascii="Times New Roman" w:hAnsi="Times New Roman" w:eastAsia="宋体" w:cs="Times New Roman"/>
                      <w:i w:val="0"/>
                      <w:iCs w:val="0"/>
                      <w:color w:val="auto"/>
                      <w:kern w:val="0"/>
                      <w:sz w:val="21"/>
                      <w:szCs w:val="24"/>
                      <w:highlight w:val="yellow"/>
                      <w:u w:val="none"/>
                      <w:lang w:val="en-US" w:eastAsia="zh-CN" w:bidi="ar"/>
                    </w:rPr>
                    <w:t xml:space="preserve">0.0016 </w:t>
                  </w:r>
                </w:p>
              </w:tc>
              <w:tc>
                <w:tcPr>
                  <w:tcW w:w="524" w:type="pct"/>
                  <w:tcBorders>
                    <w:top w:val="single" w:color="auto" w:sz="4" w:space="0"/>
                    <w:left w:val="single" w:color="auto" w:sz="4" w:space="0"/>
                    <w:bottom w:val="single" w:color="auto" w:sz="4" w:space="0"/>
                    <w:right w:val="single" w:color="auto" w:sz="4" w:space="0"/>
                  </w:tcBorders>
                  <w:noWrap w:val="0"/>
                  <w:vAlign w:val="center"/>
                </w:tcPr>
                <w:p w14:paraId="2B97F3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olor w:val="auto"/>
                      <w:sz w:val="21"/>
                      <w:szCs w:val="24"/>
                      <w:highlight w:val="yellow"/>
                      <w:lang w:val="en-US" w:eastAsia="zh-CN"/>
                    </w:rPr>
                  </w:pPr>
                  <w:r>
                    <w:rPr>
                      <w:rFonts w:hint="eastAsia" w:ascii="Times New Roman" w:hAnsi="Times New Roman" w:eastAsia="宋体"/>
                      <w:color w:val="auto"/>
                      <w:sz w:val="21"/>
                      <w:szCs w:val="24"/>
                      <w:highlight w:val="yellow"/>
                      <w:lang w:val="en-US" w:eastAsia="zh-CN"/>
                    </w:rPr>
                    <w:t>0</w:t>
                  </w:r>
                </w:p>
              </w:tc>
              <w:tc>
                <w:tcPr>
                  <w:tcW w:w="665" w:type="pct"/>
                  <w:tcBorders>
                    <w:top w:val="single" w:color="auto" w:sz="4" w:space="0"/>
                    <w:left w:val="single" w:color="auto" w:sz="4" w:space="0"/>
                    <w:bottom w:val="single" w:color="auto" w:sz="4" w:space="0"/>
                    <w:right w:val="single" w:color="auto" w:sz="4" w:space="0"/>
                  </w:tcBorders>
                  <w:noWrap w:val="0"/>
                  <w:vAlign w:val="center"/>
                </w:tcPr>
                <w:p w14:paraId="3A7D4A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olor w:val="auto"/>
                      <w:sz w:val="21"/>
                      <w:szCs w:val="24"/>
                      <w:highlight w:val="yellow"/>
                      <w:lang w:val="en-US" w:eastAsia="zh-CN"/>
                    </w:rPr>
                  </w:pPr>
                  <w:r>
                    <w:rPr>
                      <w:rFonts w:hint="eastAsia" w:ascii="Times New Roman" w:hAnsi="Times New Roman" w:eastAsia="宋体"/>
                      <w:color w:val="auto"/>
                      <w:sz w:val="21"/>
                      <w:szCs w:val="24"/>
                      <w:highlight w:val="yellow"/>
                      <w:lang w:val="en-US" w:eastAsia="zh-CN"/>
                    </w:rPr>
                    <w:t>0.0016</w:t>
                  </w:r>
                </w:p>
              </w:tc>
              <w:tc>
                <w:tcPr>
                  <w:tcW w:w="1127" w:type="dxa"/>
                  <w:tcBorders>
                    <w:top w:val="single" w:color="auto" w:sz="4" w:space="0"/>
                    <w:left w:val="single" w:color="auto" w:sz="4" w:space="0"/>
                    <w:bottom w:val="single" w:color="auto" w:sz="4" w:space="0"/>
                    <w:right w:val="single" w:color="auto" w:sz="4" w:space="0"/>
                  </w:tcBorders>
                  <w:noWrap w:val="0"/>
                  <w:vAlign w:val="center"/>
                </w:tcPr>
                <w:p w14:paraId="07629E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bCs/>
                      <w:color w:val="auto"/>
                      <w:sz w:val="21"/>
                      <w:szCs w:val="24"/>
                      <w:highlight w:val="yellow"/>
                      <w:lang w:val="en-US"/>
                    </w:rPr>
                  </w:pPr>
                  <w:r>
                    <w:rPr>
                      <w:rFonts w:hint="eastAsia" w:ascii="Times New Roman" w:hAnsi="Times New Roman" w:eastAsia="宋体"/>
                      <w:color w:val="auto"/>
                      <w:sz w:val="21"/>
                      <w:szCs w:val="24"/>
                      <w:highlight w:val="yellow"/>
                      <w:lang w:val="en-US" w:eastAsia="zh-CN"/>
                    </w:rPr>
                    <w:t>0.0016</w:t>
                  </w:r>
                </w:p>
              </w:tc>
              <w:tc>
                <w:tcPr>
                  <w:tcW w:w="1040" w:type="dxa"/>
                  <w:tcBorders>
                    <w:top w:val="single" w:color="auto" w:sz="4" w:space="0"/>
                    <w:left w:val="single" w:color="auto" w:sz="4" w:space="0"/>
                    <w:bottom w:val="single" w:color="auto" w:sz="4" w:space="0"/>
                  </w:tcBorders>
                  <w:noWrap w:val="0"/>
                  <w:vAlign w:val="center"/>
                </w:tcPr>
                <w:p w14:paraId="5C3B94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4"/>
                      <w:highlight w:val="yellow"/>
                      <w:u w:val="none"/>
                      <w:lang w:val="en-US" w:eastAsia="zh-CN" w:bidi="ar"/>
                    </w:rPr>
                  </w:pPr>
                  <w:r>
                    <w:rPr>
                      <w:rFonts w:hint="default" w:ascii="Times New Roman" w:hAnsi="Times New Roman" w:eastAsia="宋体" w:cs="Times New Roman"/>
                      <w:i w:val="0"/>
                      <w:iCs w:val="0"/>
                      <w:color w:val="auto"/>
                      <w:kern w:val="0"/>
                      <w:sz w:val="21"/>
                      <w:szCs w:val="24"/>
                      <w:highlight w:val="yellow"/>
                      <w:u w:val="none"/>
                      <w:lang w:val="en-US" w:eastAsia="zh-CN" w:bidi="ar"/>
                    </w:rPr>
                    <w:t xml:space="preserve">0.0001 </w:t>
                  </w:r>
                </w:p>
              </w:tc>
            </w:tr>
            <w:tr w14:paraId="49DE98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1" w:hRule="atLeast"/>
                <w:jc w:val="center"/>
              </w:trPr>
              <w:tc>
                <w:tcPr>
                  <w:tcW w:w="471" w:type="pct"/>
                  <w:vMerge w:val="continue"/>
                  <w:tcBorders>
                    <w:right w:val="single" w:color="auto" w:sz="4" w:space="0"/>
                  </w:tcBorders>
                  <w:noWrap w:val="0"/>
                  <w:vAlign w:val="center"/>
                </w:tcPr>
                <w:p w14:paraId="5323CB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bCs/>
                      <w:color w:val="auto"/>
                      <w:sz w:val="21"/>
                      <w:szCs w:val="24"/>
                      <w:highlight w:val="yellow"/>
                    </w:rPr>
                  </w:pPr>
                </w:p>
              </w:tc>
              <w:tc>
                <w:tcPr>
                  <w:tcW w:w="1580" w:type="pct"/>
                  <w:gridSpan w:val="3"/>
                  <w:tcBorders>
                    <w:top w:val="single" w:color="auto" w:sz="4" w:space="0"/>
                    <w:left w:val="single" w:color="auto" w:sz="4" w:space="0"/>
                    <w:bottom w:val="single" w:color="auto" w:sz="4" w:space="0"/>
                    <w:right w:val="single" w:color="auto" w:sz="4" w:space="0"/>
                  </w:tcBorders>
                  <w:noWrap w:val="0"/>
                  <w:vAlign w:val="center"/>
                </w:tcPr>
                <w:p w14:paraId="03CEFBD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olor w:val="auto"/>
                      <w:sz w:val="21"/>
                      <w:szCs w:val="24"/>
                      <w:highlight w:val="yellow"/>
                      <w:lang w:val="en-US" w:eastAsia="zh-CN"/>
                    </w:rPr>
                  </w:pPr>
                  <w:r>
                    <w:rPr>
                      <w:rFonts w:hint="eastAsia" w:ascii="Times New Roman" w:hAnsi="Times New Roman" w:eastAsia="宋体"/>
                      <w:color w:val="auto"/>
                      <w:sz w:val="21"/>
                      <w:szCs w:val="24"/>
                      <w:highlight w:val="yellow"/>
                      <w:lang w:val="en-US" w:eastAsia="zh-CN"/>
                    </w:rPr>
                    <w:t>LAS</w:t>
                  </w:r>
                </w:p>
              </w:tc>
              <w:tc>
                <w:tcPr>
                  <w:tcW w:w="921" w:type="dxa"/>
                  <w:tcBorders>
                    <w:top w:val="single" w:color="auto" w:sz="4" w:space="0"/>
                    <w:left w:val="single" w:color="auto" w:sz="4" w:space="0"/>
                    <w:bottom w:val="single" w:color="auto" w:sz="4" w:space="0"/>
                    <w:right w:val="single" w:color="auto" w:sz="4" w:space="0"/>
                  </w:tcBorders>
                  <w:noWrap w:val="0"/>
                  <w:vAlign w:val="center"/>
                </w:tcPr>
                <w:p w14:paraId="16054D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0"/>
                      <w:sz w:val="21"/>
                      <w:szCs w:val="24"/>
                      <w:highlight w:val="yellow"/>
                      <w:u w:val="none"/>
                      <w:lang w:val="en-US" w:eastAsia="zh-CN" w:bidi="ar"/>
                    </w:rPr>
                  </w:pPr>
                  <w:r>
                    <w:rPr>
                      <w:rFonts w:hint="default" w:ascii="Times New Roman" w:hAnsi="Times New Roman" w:eastAsia="宋体" w:cs="Times New Roman"/>
                      <w:i w:val="0"/>
                      <w:iCs w:val="0"/>
                      <w:color w:val="auto"/>
                      <w:kern w:val="0"/>
                      <w:sz w:val="21"/>
                      <w:szCs w:val="24"/>
                      <w:highlight w:val="yellow"/>
                      <w:u w:val="none"/>
                      <w:lang w:val="en-US" w:eastAsia="zh-CN" w:bidi="ar"/>
                    </w:rPr>
                    <w:t xml:space="preserve">0.0019 </w:t>
                  </w:r>
                </w:p>
              </w:tc>
              <w:tc>
                <w:tcPr>
                  <w:tcW w:w="524" w:type="pct"/>
                  <w:tcBorders>
                    <w:top w:val="single" w:color="auto" w:sz="4" w:space="0"/>
                    <w:left w:val="single" w:color="auto" w:sz="4" w:space="0"/>
                    <w:bottom w:val="single" w:color="auto" w:sz="4" w:space="0"/>
                    <w:right w:val="single" w:color="auto" w:sz="4" w:space="0"/>
                  </w:tcBorders>
                  <w:noWrap w:val="0"/>
                  <w:vAlign w:val="center"/>
                </w:tcPr>
                <w:p w14:paraId="528377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olor w:val="auto"/>
                      <w:sz w:val="21"/>
                      <w:szCs w:val="24"/>
                      <w:highlight w:val="yellow"/>
                      <w:lang w:val="en-US" w:eastAsia="zh-CN"/>
                    </w:rPr>
                  </w:pPr>
                  <w:r>
                    <w:rPr>
                      <w:rFonts w:hint="eastAsia" w:ascii="Times New Roman" w:hAnsi="Times New Roman" w:eastAsia="宋体"/>
                      <w:color w:val="auto"/>
                      <w:sz w:val="21"/>
                      <w:szCs w:val="24"/>
                      <w:highlight w:val="yellow"/>
                      <w:lang w:val="en-US" w:eastAsia="zh-CN"/>
                    </w:rPr>
                    <w:t>0.0016</w:t>
                  </w:r>
                </w:p>
              </w:tc>
              <w:tc>
                <w:tcPr>
                  <w:tcW w:w="665" w:type="pct"/>
                  <w:tcBorders>
                    <w:top w:val="single" w:color="auto" w:sz="4" w:space="0"/>
                    <w:left w:val="single" w:color="auto" w:sz="4" w:space="0"/>
                    <w:bottom w:val="single" w:color="auto" w:sz="4" w:space="0"/>
                    <w:right w:val="single" w:color="auto" w:sz="4" w:space="0"/>
                  </w:tcBorders>
                  <w:noWrap w:val="0"/>
                  <w:vAlign w:val="center"/>
                </w:tcPr>
                <w:p w14:paraId="70E7DF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4"/>
                      <w:highlight w:val="yellow"/>
                      <w:u w:val="none"/>
                      <w:lang w:val="en-US" w:eastAsia="zh-CN" w:bidi="ar"/>
                    </w:rPr>
                  </w:pPr>
                  <w:r>
                    <w:rPr>
                      <w:rFonts w:hint="eastAsia" w:ascii="Times New Roman" w:hAnsi="Times New Roman" w:eastAsia="宋体" w:cs="Times New Roman"/>
                      <w:i w:val="0"/>
                      <w:iCs w:val="0"/>
                      <w:color w:val="auto"/>
                      <w:kern w:val="0"/>
                      <w:sz w:val="21"/>
                      <w:szCs w:val="24"/>
                      <w:highlight w:val="yellow"/>
                      <w:u w:val="none"/>
                      <w:lang w:val="en-US" w:eastAsia="zh-CN" w:bidi="ar"/>
                    </w:rPr>
                    <w:t>0.0003</w:t>
                  </w:r>
                </w:p>
              </w:tc>
              <w:tc>
                <w:tcPr>
                  <w:tcW w:w="1127" w:type="dxa"/>
                  <w:tcBorders>
                    <w:top w:val="single" w:color="auto" w:sz="4" w:space="0"/>
                    <w:left w:val="single" w:color="auto" w:sz="4" w:space="0"/>
                    <w:bottom w:val="single" w:color="auto" w:sz="4" w:space="0"/>
                    <w:right w:val="single" w:color="auto" w:sz="4" w:space="0"/>
                  </w:tcBorders>
                  <w:noWrap w:val="0"/>
                  <w:vAlign w:val="center"/>
                </w:tcPr>
                <w:p w14:paraId="03EF62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color w:val="auto"/>
                      <w:sz w:val="21"/>
                      <w:szCs w:val="24"/>
                      <w:highlight w:val="yellow"/>
                      <w:lang w:val="en-US" w:eastAsia="zh-CN"/>
                    </w:rPr>
                  </w:pPr>
                  <w:r>
                    <w:rPr>
                      <w:rFonts w:hint="eastAsia" w:ascii="Times New Roman" w:hAnsi="Times New Roman" w:eastAsia="宋体" w:cs="Times New Roman"/>
                      <w:i w:val="0"/>
                      <w:iCs w:val="0"/>
                      <w:color w:val="auto"/>
                      <w:kern w:val="0"/>
                      <w:sz w:val="21"/>
                      <w:szCs w:val="24"/>
                      <w:highlight w:val="yellow"/>
                      <w:u w:val="none"/>
                      <w:lang w:val="en-US" w:eastAsia="zh-CN" w:bidi="ar"/>
                    </w:rPr>
                    <w:t>0.0003</w:t>
                  </w:r>
                </w:p>
              </w:tc>
              <w:tc>
                <w:tcPr>
                  <w:tcW w:w="1040" w:type="dxa"/>
                  <w:tcBorders>
                    <w:top w:val="single" w:color="auto" w:sz="4" w:space="0"/>
                    <w:left w:val="single" w:color="auto" w:sz="4" w:space="0"/>
                    <w:bottom w:val="single" w:color="auto" w:sz="4" w:space="0"/>
                  </w:tcBorders>
                  <w:noWrap w:val="0"/>
                  <w:vAlign w:val="center"/>
                </w:tcPr>
                <w:p w14:paraId="44B830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0"/>
                      <w:sz w:val="21"/>
                      <w:szCs w:val="24"/>
                      <w:highlight w:val="yellow"/>
                      <w:u w:val="none"/>
                      <w:lang w:val="en-US" w:eastAsia="zh-CN" w:bidi="ar"/>
                    </w:rPr>
                  </w:pPr>
                  <w:r>
                    <w:rPr>
                      <w:rFonts w:hint="default" w:ascii="Times New Roman" w:hAnsi="Times New Roman" w:eastAsia="宋体" w:cs="Times New Roman"/>
                      <w:i w:val="0"/>
                      <w:iCs w:val="0"/>
                      <w:color w:val="auto"/>
                      <w:kern w:val="0"/>
                      <w:sz w:val="21"/>
                      <w:szCs w:val="24"/>
                      <w:highlight w:val="yellow"/>
                      <w:u w:val="none"/>
                      <w:lang w:val="en-US" w:eastAsia="zh-CN" w:bidi="ar"/>
                    </w:rPr>
                    <w:t xml:space="preserve">0.0002 </w:t>
                  </w:r>
                </w:p>
              </w:tc>
            </w:tr>
            <w:tr w14:paraId="3EC45E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5" w:hRule="atLeast"/>
                <w:jc w:val="center"/>
              </w:trPr>
              <w:tc>
                <w:tcPr>
                  <w:tcW w:w="471" w:type="pct"/>
                  <w:vMerge w:val="continue"/>
                  <w:tcBorders>
                    <w:top w:val="single" w:color="auto" w:sz="4" w:space="0"/>
                    <w:right w:val="single" w:color="auto" w:sz="4" w:space="0"/>
                  </w:tcBorders>
                  <w:noWrap w:val="0"/>
                  <w:vAlign w:val="center"/>
                </w:tcPr>
                <w:p w14:paraId="33DF10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bCs/>
                      <w:color w:val="auto"/>
                      <w:sz w:val="21"/>
                      <w:szCs w:val="24"/>
                      <w:highlight w:val="yellow"/>
                    </w:rPr>
                  </w:pPr>
                </w:p>
              </w:tc>
              <w:tc>
                <w:tcPr>
                  <w:tcW w:w="691" w:type="pct"/>
                  <w:gridSpan w:val="2"/>
                  <w:vMerge w:val="restart"/>
                  <w:tcBorders>
                    <w:top w:val="single" w:color="auto" w:sz="4" w:space="0"/>
                    <w:left w:val="single" w:color="auto" w:sz="4" w:space="0"/>
                    <w:right w:val="single" w:color="auto" w:sz="4" w:space="0"/>
                  </w:tcBorders>
                  <w:noWrap w:val="0"/>
                  <w:vAlign w:val="center"/>
                </w:tcPr>
                <w:p w14:paraId="0628B6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bCs/>
                      <w:color w:val="auto"/>
                      <w:sz w:val="21"/>
                      <w:szCs w:val="24"/>
                      <w:highlight w:val="yellow"/>
                    </w:rPr>
                  </w:pPr>
                  <w:r>
                    <w:rPr>
                      <w:rFonts w:hint="default" w:ascii="Times New Roman" w:hAnsi="Times New Roman" w:eastAsia="宋体"/>
                      <w:color w:val="auto"/>
                      <w:kern w:val="0"/>
                      <w:sz w:val="21"/>
                      <w:szCs w:val="24"/>
                      <w:highlight w:val="yellow"/>
                    </w:rPr>
                    <w:t>危险固废</w:t>
                  </w:r>
                </w:p>
              </w:tc>
              <w:tc>
                <w:tcPr>
                  <w:tcW w:w="889" w:type="pct"/>
                  <w:tcBorders>
                    <w:top w:val="single" w:color="auto" w:sz="4" w:space="0"/>
                    <w:left w:val="single" w:color="auto" w:sz="4" w:space="0"/>
                    <w:bottom w:val="single" w:color="auto" w:sz="4" w:space="0"/>
                    <w:right w:val="single" w:color="auto" w:sz="4" w:space="0"/>
                  </w:tcBorders>
                  <w:noWrap w:val="0"/>
                  <w:vAlign w:val="center"/>
                </w:tcPr>
                <w:p w14:paraId="45D2B9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宋体"/>
                      <w:color w:val="auto"/>
                      <w:kern w:val="0"/>
                      <w:sz w:val="21"/>
                      <w:szCs w:val="24"/>
                      <w:highlight w:val="yellow"/>
                      <w:lang w:val="en-US" w:eastAsia="zh-CN" w:bidi="ar"/>
                    </w:rPr>
                  </w:pPr>
                  <w:r>
                    <w:rPr>
                      <w:rFonts w:hint="eastAsia" w:ascii="Times New Roman" w:hAnsi="Times New Roman" w:eastAsia="宋体" w:cs="宋体"/>
                      <w:color w:val="auto"/>
                      <w:kern w:val="0"/>
                      <w:sz w:val="21"/>
                      <w:szCs w:val="24"/>
                      <w:highlight w:val="yellow"/>
                      <w:lang w:val="en-US" w:eastAsia="zh-CN" w:bidi="ar"/>
                    </w:rPr>
                    <w:t>实验废液</w:t>
                  </w:r>
                </w:p>
              </w:tc>
              <w:tc>
                <w:tcPr>
                  <w:tcW w:w="524" w:type="pct"/>
                  <w:tcBorders>
                    <w:top w:val="single" w:color="auto" w:sz="4" w:space="0"/>
                    <w:left w:val="single" w:color="auto" w:sz="4" w:space="0"/>
                    <w:bottom w:val="single" w:color="auto" w:sz="4" w:space="0"/>
                    <w:right w:val="single" w:color="auto" w:sz="4" w:space="0"/>
                  </w:tcBorders>
                  <w:noWrap w:val="0"/>
                  <w:vAlign w:val="center"/>
                </w:tcPr>
                <w:p w14:paraId="48E813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olor w:val="FF0000"/>
                      <w:sz w:val="21"/>
                      <w:szCs w:val="24"/>
                      <w:highlight w:val="yellow"/>
                      <w:lang w:val="en-US" w:eastAsia="zh-CN"/>
                    </w:rPr>
                  </w:pPr>
                </w:p>
              </w:tc>
              <w:tc>
                <w:tcPr>
                  <w:tcW w:w="524" w:type="pct"/>
                  <w:tcBorders>
                    <w:top w:val="single" w:color="auto" w:sz="4" w:space="0"/>
                    <w:left w:val="single" w:color="auto" w:sz="4" w:space="0"/>
                    <w:bottom w:val="single" w:color="auto" w:sz="4" w:space="0"/>
                    <w:right w:val="single" w:color="auto" w:sz="4" w:space="0"/>
                  </w:tcBorders>
                  <w:noWrap w:val="0"/>
                  <w:vAlign w:val="center"/>
                </w:tcPr>
                <w:p w14:paraId="143D86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olor w:val="FF0000"/>
                      <w:sz w:val="21"/>
                      <w:szCs w:val="24"/>
                      <w:highlight w:val="yellow"/>
                      <w:lang w:val="en-US" w:eastAsia="zh-CN"/>
                    </w:rPr>
                  </w:pPr>
                </w:p>
              </w:tc>
              <w:tc>
                <w:tcPr>
                  <w:tcW w:w="665" w:type="pct"/>
                  <w:tcBorders>
                    <w:top w:val="single" w:color="auto" w:sz="4" w:space="0"/>
                    <w:left w:val="single" w:color="auto" w:sz="4" w:space="0"/>
                    <w:bottom w:val="single" w:color="auto" w:sz="4" w:space="0"/>
                    <w:right w:val="single" w:color="auto" w:sz="4" w:space="0"/>
                  </w:tcBorders>
                  <w:noWrap w:val="0"/>
                  <w:vAlign w:val="center"/>
                </w:tcPr>
                <w:p w14:paraId="0271A3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olor w:val="FF0000"/>
                      <w:sz w:val="21"/>
                      <w:szCs w:val="24"/>
                      <w:highlight w:val="yellow"/>
                    </w:rPr>
                  </w:pPr>
                  <w:r>
                    <w:rPr>
                      <w:rFonts w:hint="eastAsia" w:ascii="Times New Roman" w:hAnsi="Times New Roman" w:eastAsia="宋体"/>
                      <w:bCs/>
                      <w:color w:val="auto"/>
                      <w:sz w:val="21"/>
                      <w:szCs w:val="24"/>
                      <w:highlight w:val="yellow"/>
                      <w:lang w:val="en-US" w:eastAsia="zh-CN"/>
                    </w:rPr>
                    <w:t>0</w:t>
                  </w:r>
                </w:p>
              </w:tc>
              <w:tc>
                <w:tcPr>
                  <w:tcW w:w="641" w:type="pct"/>
                  <w:tcBorders>
                    <w:top w:val="single" w:color="auto" w:sz="4" w:space="0"/>
                    <w:left w:val="single" w:color="auto" w:sz="4" w:space="0"/>
                    <w:bottom w:val="single" w:color="auto" w:sz="4" w:space="0"/>
                    <w:right w:val="single" w:color="auto" w:sz="4" w:space="0"/>
                  </w:tcBorders>
                  <w:noWrap w:val="0"/>
                  <w:vAlign w:val="center"/>
                </w:tcPr>
                <w:p w14:paraId="5DBE6F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olor w:val="FF0000"/>
                      <w:sz w:val="21"/>
                      <w:szCs w:val="24"/>
                      <w:highlight w:val="yellow"/>
                    </w:rPr>
                  </w:pPr>
                  <w:r>
                    <w:rPr>
                      <w:rFonts w:hint="eastAsia" w:ascii="Times New Roman" w:hAnsi="Times New Roman" w:eastAsia="宋体"/>
                      <w:bCs/>
                      <w:color w:val="auto"/>
                      <w:sz w:val="21"/>
                      <w:szCs w:val="24"/>
                      <w:highlight w:val="yellow"/>
                      <w:lang w:val="en-US" w:eastAsia="zh-CN"/>
                    </w:rPr>
                    <w:t>0</w:t>
                  </w:r>
                </w:p>
              </w:tc>
              <w:tc>
                <w:tcPr>
                  <w:tcW w:w="592" w:type="pct"/>
                  <w:tcBorders>
                    <w:top w:val="single" w:color="auto" w:sz="4" w:space="0"/>
                    <w:left w:val="single" w:color="auto" w:sz="4" w:space="0"/>
                    <w:bottom w:val="single" w:color="auto" w:sz="4" w:space="0"/>
                  </w:tcBorders>
                  <w:noWrap w:val="0"/>
                  <w:vAlign w:val="center"/>
                </w:tcPr>
                <w:p w14:paraId="4A8C8F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olor w:val="FF0000"/>
                      <w:sz w:val="21"/>
                      <w:szCs w:val="24"/>
                      <w:highlight w:val="yellow"/>
                    </w:rPr>
                  </w:pPr>
                  <w:r>
                    <w:rPr>
                      <w:rFonts w:hint="eastAsia" w:ascii="Times New Roman" w:hAnsi="Times New Roman" w:eastAsia="宋体"/>
                      <w:bCs/>
                      <w:color w:val="auto"/>
                      <w:sz w:val="21"/>
                      <w:szCs w:val="24"/>
                      <w:highlight w:val="yellow"/>
                      <w:lang w:val="en-US" w:eastAsia="zh-CN"/>
                    </w:rPr>
                    <w:t>/</w:t>
                  </w:r>
                </w:p>
              </w:tc>
            </w:tr>
            <w:tr w14:paraId="1F49B4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1" w:type="pct"/>
                  <w:vMerge w:val="continue"/>
                  <w:tcBorders>
                    <w:top w:val="single" w:color="auto" w:sz="4" w:space="0"/>
                    <w:right w:val="single" w:color="auto" w:sz="4" w:space="0"/>
                  </w:tcBorders>
                  <w:noWrap w:val="0"/>
                  <w:vAlign w:val="center"/>
                </w:tcPr>
                <w:p w14:paraId="7437DF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bCs/>
                      <w:color w:val="auto"/>
                      <w:sz w:val="21"/>
                      <w:szCs w:val="24"/>
                      <w:highlight w:val="yellow"/>
                    </w:rPr>
                  </w:pPr>
                </w:p>
              </w:tc>
              <w:tc>
                <w:tcPr>
                  <w:tcW w:w="691" w:type="pct"/>
                  <w:gridSpan w:val="2"/>
                  <w:vMerge w:val="continue"/>
                  <w:tcBorders>
                    <w:left w:val="single" w:color="auto" w:sz="4" w:space="0"/>
                    <w:right w:val="single" w:color="auto" w:sz="4" w:space="0"/>
                  </w:tcBorders>
                  <w:noWrap w:val="0"/>
                  <w:vAlign w:val="center"/>
                </w:tcPr>
                <w:p w14:paraId="566D35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olor w:val="auto"/>
                      <w:kern w:val="0"/>
                      <w:sz w:val="21"/>
                      <w:szCs w:val="24"/>
                      <w:highlight w:val="yellow"/>
                    </w:rPr>
                  </w:pPr>
                </w:p>
              </w:tc>
              <w:tc>
                <w:tcPr>
                  <w:tcW w:w="889" w:type="pct"/>
                  <w:tcBorders>
                    <w:top w:val="single" w:color="auto" w:sz="4" w:space="0"/>
                    <w:left w:val="single" w:color="auto" w:sz="4" w:space="0"/>
                    <w:bottom w:val="single" w:color="auto" w:sz="4" w:space="0"/>
                    <w:right w:val="single" w:color="auto" w:sz="4" w:space="0"/>
                  </w:tcBorders>
                  <w:noWrap w:val="0"/>
                  <w:vAlign w:val="center"/>
                </w:tcPr>
                <w:p w14:paraId="47D00C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宋体"/>
                      <w:color w:val="auto"/>
                      <w:kern w:val="0"/>
                      <w:sz w:val="21"/>
                      <w:szCs w:val="24"/>
                      <w:highlight w:val="yellow"/>
                      <w:lang w:val="en-US" w:eastAsia="zh-CN" w:bidi="ar"/>
                    </w:rPr>
                  </w:pPr>
                  <w:r>
                    <w:rPr>
                      <w:rFonts w:hint="eastAsia" w:ascii="Times New Roman" w:hAnsi="Times New Roman" w:eastAsia="宋体" w:cs="宋体"/>
                      <w:color w:val="auto"/>
                      <w:kern w:val="0"/>
                      <w:sz w:val="21"/>
                      <w:szCs w:val="24"/>
                      <w:highlight w:val="yellow"/>
                      <w:lang w:val="en-US" w:eastAsia="zh-CN" w:bidi="ar"/>
                    </w:rPr>
                    <w:t>废化学品包装</w:t>
                  </w:r>
                </w:p>
              </w:tc>
              <w:tc>
                <w:tcPr>
                  <w:tcW w:w="524" w:type="pct"/>
                  <w:tcBorders>
                    <w:top w:val="single" w:color="auto" w:sz="4" w:space="0"/>
                    <w:left w:val="single" w:color="auto" w:sz="4" w:space="0"/>
                    <w:bottom w:val="single" w:color="auto" w:sz="4" w:space="0"/>
                    <w:right w:val="single" w:color="auto" w:sz="4" w:space="0"/>
                  </w:tcBorders>
                  <w:noWrap w:val="0"/>
                  <w:vAlign w:val="center"/>
                </w:tcPr>
                <w:p w14:paraId="2C4928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olor w:val="auto"/>
                      <w:sz w:val="21"/>
                      <w:szCs w:val="24"/>
                      <w:highlight w:val="yellow"/>
                      <w:lang w:val="en-US"/>
                    </w:rPr>
                  </w:pPr>
                </w:p>
              </w:tc>
              <w:tc>
                <w:tcPr>
                  <w:tcW w:w="524" w:type="pct"/>
                  <w:tcBorders>
                    <w:top w:val="single" w:color="auto" w:sz="4" w:space="0"/>
                    <w:left w:val="single" w:color="auto" w:sz="4" w:space="0"/>
                    <w:bottom w:val="single" w:color="auto" w:sz="4" w:space="0"/>
                    <w:right w:val="single" w:color="auto" w:sz="4" w:space="0"/>
                  </w:tcBorders>
                  <w:noWrap w:val="0"/>
                  <w:vAlign w:val="center"/>
                </w:tcPr>
                <w:p w14:paraId="55237D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olor w:val="auto"/>
                      <w:sz w:val="21"/>
                      <w:szCs w:val="24"/>
                      <w:highlight w:val="yellow"/>
                      <w:lang w:val="en-US"/>
                    </w:rPr>
                  </w:pPr>
                </w:p>
              </w:tc>
              <w:tc>
                <w:tcPr>
                  <w:tcW w:w="665" w:type="pct"/>
                  <w:tcBorders>
                    <w:top w:val="single" w:color="auto" w:sz="4" w:space="0"/>
                    <w:left w:val="single" w:color="auto" w:sz="4" w:space="0"/>
                    <w:bottom w:val="single" w:color="auto" w:sz="4" w:space="0"/>
                    <w:right w:val="single" w:color="auto" w:sz="4" w:space="0"/>
                  </w:tcBorders>
                  <w:noWrap w:val="0"/>
                  <w:vAlign w:val="center"/>
                </w:tcPr>
                <w:p w14:paraId="2D2507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olor w:val="auto"/>
                      <w:sz w:val="21"/>
                      <w:szCs w:val="24"/>
                      <w:highlight w:val="yellow"/>
                    </w:rPr>
                  </w:pPr>
                  <w:r>
                    <w:rPr>
                      <w:rFonts w:hint="eastAsia" w:ascii="Times New Roman" w:hAnsi="Times New Roman" w:eastAsia="宋体"/>
                      <w:bCs/>
                      <w:color w:val="auto"/>
                      <w:sz w:val="21"/>
                      <w:szCs w:val="24"/>
                      <w:highlight w:val="yellow"/>
                      <w:lang w:val="en-US" w:eastAsia="zh-CN"/>
                    </w:rPr>
                    <w:t>0</w:t>
                  </w:r>
                </w:p>
              </w:tc>
              <w:tc>
                <w:tcPr>
                  <w:tcW w:w="641" w:type="pct"/>
                  <w:tcBorders>
                    <w:top w:val="single" w:color="auto" w:sz="4" w:space="0"/>
                    <w:left w:val="single" w:color="auto" w:sz="4" w:space="0"/>
                    <w:bottom w:val="single" w:color="auto" w:sz="4" w:space="0"/>
                    <w:right w:val="single" w:color="auto" w:sz="4" w:space="0"/>
                  </w:tcBorders>
                  <w:noWrap w:val="0"/>
                  <w:vAlign w:val="center"/>
                </w:tcPr>
                <w:p w14:paraId="65C1D4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olor w:val="auto"/>
                      <w:sz w:val="21"/>
                      <w:szCs w:val="24"/>
                      <w:highlight w:val="yellow"/>
                    </w:rPr>
                  </w:pPr>
                  <w:r>
                    <w:rPr>
                      <w:rFonts w:hint="eastAsia" w:ascii="Times New Roman" w:hAnsi="Times New Roman" w:eastAsia="宋体"/>
                      <w:bCs/>
                      <w:color w:val="auto"/>
                      <w:sz w:val="21"/>
                      <w:szCs w:val="24"/>
                      <w:highlight w:val="yellow"/>
                      <w:lang w:val="en-US" w:eastAsia="zh-CN"/>
                    </w:rPr>
                    <w:t>0</w:t>
                  </w:r>
                </w:p>
              </w:tc>
              <w:tc>
                <w:tcPr>
                  <w:tcW w:w="592" w:type="pct"/>
                  <w:tcBorders>
                    <w:top w:val="single" w:color="auto" w:sz="4" w:space="0"/>
                    <w:left w:val="single" w:color="auto" w:sz="4" w:space="0"/>
                    <w:bottom w:val="single" w:color="auto" w:sz="4" w:space="0"/>
                  </w:tcBorders>
                  <w:noWrap w:val="0"/>
                  <w:vAlign w:val="center"/>
                </w:tcPr>
                <w:p w14:paraId="4E8462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olor w:val="auto"/>
                      <w:sz w:val="21"/>
                      <w:szCs w:val="24"/>
                      <w:highlight w:val="yellow"/>
                    </w:rPr>
                  </w:pPr>
                  <w:r>
                    <w:rPr>
                      <w:rFonts w:hint="eastAsia" w:ascii="Times New Roman" w:hAnsi="Times New Roman" w:eastAsia="宋体"/>
                      <w:bCs/>
                      <w:color w:val="auto"/>
                      <w:sz w:val="21"/>
                      <w:szCs w:val="24"/>
                      <w:highlight w:val="yellow"/>
                      <w:lang w:val="en-US" w:eastAsia="zh-CN"/>
                    </w:rPr>
                    <w:t>/</w:t>
                  </w:r>
                </w:p>
              </w:tc>
            </w:tr>
            <w:tr w14:paraId="213418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1" w:type="pct"/>
                  <w:vMerge w:val="continue"/>
                  <w:tcBorders>
                    <w:top w:val="single" w:color="auto" w:sz="4" w:space="0"/>
                    <w:right w:val="single" w:color="auto" w:sz="4" w:space="0"/>
                  </w:tcBorders>
                  <w:noWrap w:val="0"/>
                  <w:vAlign w:val="center"/>
                </w:tcPr>
                <w:p w14:paraId="2AE3C1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bCs/>
                      <w:color w:val="auto"/>
                      <w:sz w:val="21"/>
                      <w:szCs w:val="24"/>
                      <w:highlight w:val="yellow"/>
                    </w:rPr>
                  </w:pPr>
                </w:p>
              </w:tc>
              <w:tc>
                <w:tcPr>
                  <w:tcW w:w="691" w:type="pct"/>
                  <w:gridSpan w:val="2"/>
                  <w:vMerge w:val="continue"/>
                  <w:tcBorders>
                    <w:left w:val="single" w:color="auto" w:sz="4" w:space="0"/>
                    <w:right w:val="single" w:color="auto" w:sz="4" w:space="0"/>
                  </w:tcBorders>
                  <w:noWrap w:val="0"/>
                  <w:vAlign w:val="center"/>
                </w:tcPr>
                <w:p w14:paraId="67E3E0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olor w:val="auto"/>
                      <w:kern w:val="0"/>
                      <w:sz w:val="21"/>
                      <w:szCs w:val="24"/>
                      <w:highlight w:val="yellow"/>
                    </w:rPr>
                  </w:pPr>
                </w:p>
              </w:tc>
              <w:tc>
                <w:tcPr>
                  <w:tcW w:w="889" w:type="pct"/>
                  <w:tcBorders>
                    <w:top w:val="single" w:color="auto" w:sz="4" w:space="0"/>
                    <w:left w:val="single" w:color="auto" w:sz="4" w:space="0"/>
                    <w:bottom w:val="single" w:color="auto" w:sz="4" w:space="0"/>
                    <w:right w:val="single" w:color="auto" w:sz="4" w:space="0"/>
                  </w:tcBorders>
                  <w:noWrap w:val="0"/>
                  <w:vAlign w:val="center"/>
                </w:tcPr>
                <w:p w14:paraId="1AA39C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宋体"/>
                      <w:i w:val="0"/>
                      <w:iCs w:val="0"/>
                      <w:color w:val="auto"/>
                      <w:kern w:val="0"/>
                      <w:sz w:val="21"/>
                      <w:szCs w:val="24"/>
                      <w:highlight w:val="yellow"/>
                      <w:u w:val="none"/>
                      <w:lang w:val="en-US" w:eastAsia="zh-CN" w:bidi="ar"/>
                    </w:rPr>
                  </w:pPr>
                  <w:r>
                    <w:rPr>
                      <w:rFonts w:hint="eastAsia" w:ascii="Times New Roman" w:hAnsi="Times New Roman" w:eastAsia="宋体" w:cs="宋体"/>
                      <w:i w:val="0"/>
                      <w:iCs w:val="0"/>
                      <w:color w:val="auto"/>
                      <w:kern w:val="0"/>
                      <w:sz w:val="21"/>
                      <w:szCs w:val="24"/>
                      <w:highlight w:val="yellow"/>
                      <w:u w:val="none"/>
                      <w:lang w:val="en-US" w:eastAsia="zh-CN" w:bidi="ar"/>
                    </w:rPr>
                    <w:t>废实验耗材</w:t>
                  </w:r>
                </w:p>
              </w:tc>
              <w:tc>
                <w:tcPr>
                  <w:tcW w:w="524" w:type="pct"/>
                  <w:tcBorders>
                    <w:top w:val="single" w:color="auto" w:sz="4" w:space="0"/>
                    <w:left w:val="single" w:color="auto" w:sz="4" w:space="0"/>
                    <w:bottom w:val="single" w:color="auto" w:sz="4" w:space="0"/>
                    <w:right w:val="single" w:color="auto" w:sz="4" w:space="0"/>
                  </w:tcBorders>
                  <w:noWrap w:val="0"/>
                  <w:vAlign w:val="center"/>
                </w:tcPr>
                <w:p w14:paraId="354DB6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4"/>
                      <w:highlight w:val="yellow"/>
                      <w:u w:val="none"/>
                      <w:lang w:val="en-US" w:eastAsia="zh-CN" w:bidi="ar"/>
                    </w:rPr>
                  </w:pPr>
                </w:p>
              </w:tc>
              <w:tc>
                <w:tcPr>
                  <w:tcW w:w="524" w:type="pct"/>
                  <w:tcBorders>
                    <w:top w:val="single" w:color="auto" w:sz="4" w:space="0"/>
                    <w:left w:val="single" w:color="auto" w:sz="4" w:space="0"/>
                    <w:bottom w:val="single" w:color="auto" w:sz="4" w:space="0"/>
                    <w:right w:val="single" w:color="auto" w:sz="4" w:space="0"/>
                  </w:tcBorders>
                  <w:noWrap w:val="0"/>
                  <w:vAlign w:val="center"/>
                </w:tcPr>
                <w:p w14:paraId="0C8768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4"/>
                      <w:highlight w:val="yellow"/>
                      <w:u w:val="none"/>
                      <w:lang w:val="en-US" w:eastAsia="zh-CN" w:bidi="ar"/>
                    </w:rPr>
                  </w:pPr>
                </w:p>
              </w:tc>
              <w:tc>
                <w:tcPr>
                  <w:tcW w:w="665" w:type="pct"/>
                  <w:tcBorders>
                    <w:top w:val="single" w:color="auto" w:sz="4" w:space="0"/>
                    <w:left w:val="single" w:color="auto" w:sz="4" w:space="0"/>
                    <w:bottom w:val="single" w:color="auto" w:sz="4" w:space="0"/>
                    <w:right w:val="single" w:color="auto" w:sz="4" w:space="0"/>
                  </w:tcBorders>
                  <w:noWrap w:val="0"/>
                  <w:vAlign w:val="center"/>
                </w:tcPr>
                <w:p w14:paraId="0C2544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olor w:val="auto"/>
                      <w:sz w:val="21"/>
                      <w:szCs w:val="24"/>
                      <w:highlight w:val="yellow"/>
                      <w:lang w:val="en-US" w:eastAsia="zh-CN"/>
                    </w:rPr>
                  </w:pPr>
                  <w:r>
                    <w:rPr>
                      <w:rFonts w:hint="eastAsia" w:ascii="Times New Roman" w:hAnsi="Times New Roman" w:eastAsia="宋体"/>
                      <w:bCs/>
                      <w:color w:val="auto"/>
                      <w:sz w:val="21"/>
                      <w:szCs w:val="24"/>
                      <w:highlight w:val="yellow"/>
                      <w:lang w:val="en-US" w:eastAsia="zh-CN"/>
                    </w:rPr>
                    <w:t>0</w:t>
                  </w:r>
                </w:p>
              </w:tc>
              <w:tc>
                <w:tcPr>
                  <w:tcW w:w="641" w:type="pct"/>
                  <w:tcBorders>
                    <w:top w:val="single" w:color="auto" w:sz="4" w:space="0"/>
                    <w:left w:val="single" w:color="auto" w:sz="4" w:space="0"/>
                    <w:bottom w:val="single" w:color="auto" w:sz="4" w:space="0"/>
                    <w:right w:val="single" w:color="auto" w:sz="4" w:space="0"/>
                  </w:tcBorders>
                  <w:noWrap w:val="0"/>
                  <w:vAlign w:val="center"/>
                </w:tcPr>
                <w:p w14:paraId="4C202A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olor w:val="auto"/>
                      <w:sz w:val="21"/>
                      <w:szCs w:val="24"/>
                      <w:highlight w:val="yellow"/>
                      <w:lang w:val="en-US" w:eastAsia="zh-CN"/>
                    </w:rPr>
                  </w:pPr>
                  <w:r>
                    <w:rPr>
                      <w:rFonts w:hint="eastAsia" w:ascii="Times New Roman" w:hAnsi="Times New Roman" w:eastAsia="宋体"/>
                      <w:bCs/>
                      <w:color w:val="auto"/>
                      <w:sz w:val="21"/>
                      <w:szCs w:val="24"/>
                      <w:highlight w:val="yellow"/>
                      <w:lang w:val="en-US" w:eastAsia="zh-CN"/>
                    </w:rPr>
                    <w:t>0</w:t>
                  </w:r>
                </w:p>
              </w:tc>
              <w:tc>
                <w:tcPr>
                  <w:tcW w:w="592" w:type="pct"/>
                  <w:tcBorders>
                    <w:top w:val="single" w:color="auto" w:sz="4" w:space="0"/>
                    <w:left w:val="single" w:color="auto" w:sz="4" w:space="0"/>
                    <w:bottom w:val="single" w:color="auto" w:sz="4" w:space="0"/>
                  </w:tcBorders>
                  <w:noWrap w:val="0"/>
                  <w:vAlign w:val="center"/>
                </w:tcPr>
                <w:p w14:paraId="086B75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olor w:val="auto"/>
                      <w:sz w:val="21"/>
                      <w:szCs w:val="24"/>
                      <w:highlight w:val="yellow"/>
                      <w:lang w:val="en-US" w:eastAsia="zh-CN"/>
                    </w:rPr>
                  </w:pPr>
                  <w:r>
                    <w:rPr>
                      <w:rFonts w:hint="eastAsia" w:ascii="Times New Roman" w:hAnsi="Times New Roman" w:eastAsia="宋体"/>
                      <w:bCs/>
                      <w:color w:val="auto"/>
                      <w:sz w:val="21"/>
                      <w:szCs w:val="24"/>
                      <w:highlight w:val="yellow"/>
                      <w:lang w:val="en-US" w:eastAsia="zh-CN"/>
                    </w:rPr>
                    <w:t>/</w:t>
                  </w:r>
                </w:p>
              </w:tc>
            </w:tr>
            <w:tr w14:paraId="09B2A0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1" w:type="pct"/>
                  <w:vMerge w:val="continue"/>
                  <w:tcBorders>
                    <w:top w:val="single" w:color="auto" w:sz="4" w:space="0"/>
                    <w:right w:val="single" w:color="auto" w:sz="4" w:space="0"/>
                  </w:tcBorders>
                  <w:noWrap w:val="0"/>
                  <w:vAlign w:val="center"/>
                </w:tcPr>
                <w:p w14:paraId="11A3E8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bCs/>
                      <w:color w:val="auto"/>
                      <w:sz w:val="21"/>
                      <w:szCs w:val="24"/>
                      <w:highlight w:val="yellow"/>
                    </w:rPr>
                  </w:pPr>
                </w:p>
              </w:tc>
              <w:tc>
                <w:tcPr>
                  <w:tcW w:w="691" w:type="pct"/>
                  <w:gridSpan w:val="2"/>
                  <w:vMerge w:val="continue"/>
                  <w:tcBorders>
                    <w:left w:val="single" w:color="auto" w:sz="4" w:space="0"/>
                    <w:right w:val="single" w:color="auto" w:sz="4" w:space="0"/>
                  </w:tcBorders>
                  <w:noWrap w:val="0"/>
                  <w:vAlign w:val="center"/>
                </w:tcPr>
                <w:p w14:paraId="3F9A30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olor w:val="auto"/>
                      <w:kern w:val="0"/>
                      <w:sz w:val="21"/>
                      <w:szCs w:val="24"/>
                      <w:highlight w:val="yellow"/>
                    </w:rPr>
                  </w:pPr>
                </w:p>
              </w:tc>
              <w:tc>
                <w:tcPr>
                  <w:tcW w:w="889" w:type="pct"/>
                  <w:tcBorders>
                    <w:top w:val="single" w:color="auto" w:sz="4" w:space="0"/>
                    <w:left w:val="single" w:color="auto" w:sz="4" w:space="0"/>
                    <w:bottom w:val="single" w:color="auto" w:sz="4" w:space="0"/>
                    <w:right w:val="single" w:color="auto" w:sz="4" w:space="0"/>
                  </w:tcBorders>
                  <w:noWrap w:val="0"/>
                  <w:vAlign w:val="center"/>
                </w:tcPr>
                <w:p w14:paraId="2B5F1E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宋体"/>
                      <w:i w:val="0"/>
                      <w:iCs w:val="0"/>
                      <w:color w:val="auto"/>
                      <w:kern w:val="0"/>
                      <w:sz w:val="21"/>
                      <w:szCs w:val="24"/>
                      <w:highlight w:val="yellow"/>
                      <w:u w:val="none"/>
                      <w:lang w:val="en-US" w:eastAsia="zh-CN" w:bidi="ar"/>
                    </w:rPr>
                  </w:pPr>
                  <w:r>
                    <w:rPr>
                      <w:rFonts w:hint="eastAsia" w:ascii="Times New Roman" w:hAnsi="Times New Roman" w:eastAsia="宋体" w:cs="宋体"/>
                      <w:i w:val="0"/>
                      <w:iCs w:val="0"/>
                      <w:color w:val="auto"/>
                      <w:kern w:val="0"/>
                      <w:sz w:val="21"/>
                      <w:szCs w:val="24"/>
                      <w:highlight w:val="yellow"/>
                      <w:u w:val="none"/>
                      <w:lang w:val="en-US" w:eastAsia="zh-CN" w:bidi="ar"/>
                    </w:rPr>
                    <w:t>废生物材料</w:t>
                  </w:r>
                </w:p>
              </w:tc>
              <w:tc>
                <w:tcPr>
                  <w:tcW w:w="524" w:type="pct"/>
                  <w:tcBorders>
                    <w:top w:val="single" w:color="auto" w:sz="4" w:space="0"/>
                    <w:left w:val="single" w:color="auto" w:sz="4" w:space="0"/>
                    <w:bottom w:val="single" w:color="auto" w:sz="4" w:space="0"/>
                    <w:right w:val="single" w:color="auto" w:sz="4" w:space="0"/>
                  </w:tcBorders>
                  <w:noWrap w:val="0"/>
                  <w:vAlign w:val="center"/>
                </w:tcPr>
                <w:p w14:paraId="1199B0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4"/>
                      <w:highlight w:val="yellow"/>
                      <w:u w:val="none"/>
                      <w:lang w:val="en-US" w:eastAsia="zh-CN" w:bidi="ar"/>
                    </w:rPr>
                  </w:pPr>
                </w:p>
              </w:tc>
              <w:tc>
                <w:tcPr>
                  <w:tcW w:w="524" w:type="pct"/>
                  <w:tcBorders>
                    <w:top w:val="single" w:color="auto" w:sz="4" w:space="0"/>
                    <w:left w:val="single" w:color="auto" w:sz="4" w:space="0"/>
                    <w:bottom w:val="single" w:color="auto" w:sz="4" w:space="0"/>
                    <w:right w:val="single" w:color="auto" w:sz="4" w:space="0"/>
                  </w:tcBorders>
                  <w:noWrap w:val="0"/>
                  <w:vAlign w:val="center"/>
                </w:tcPr>
                <w:p w14:paraId="04EAA8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4"/>
                      <w:highlight w:val="yellow"/>
                      <w:u w:val="none"/>
                      <w:lang w:val="en-US" w:eastAsia="zh-CN" w:bidi="ar"/>
                    </w:rPr>
                  </w:pPr>
                </w:p>
              </w:tc>
              <w:tc>
                <w:tcPr>
                  <w:tcW w:w="665" w:type="pct"/>
                  <w:tcBorders>
                    <w:top w:val="single" w:color="auto" w:sz="4" w:space="0"/>
                    <w:left w:val="single" w:color="auto" w:sz="4" w:space="0"/>
                    <w:bottom w:val="single" w:color="auto" w:sz="4" w:space="0"/>
                    <w:right w:val="single" w:color="auto" w:sz="4" w:space="0"/>
                  </w:tcBorders>
                  <w:noWrap w:val="0"/>
                  <w:vAlign w:val="center"/>
                </w:tcPr>
                <w:p w14:paraId="37BB15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olor w:val="auto"/>
                      <w:sz w:val="21"/>
                      <w:szCs w:val="24"/>
                      <w:highlight w:val="yellow"/>
                      <w:lang w:val="en-US" w:eastAsia="zh-CN"/>
                    </w:rPr>
                  </w:pPr>
                  <w:r>
                    <w:rPr>
                      <w:rFonts w:hint="eastAsia" w:ascii="Times New Roman" w:hAnsi="Times New Roman" w:eastAsia="宋体"/>
                      <w:bCs/>
                      <w:color w:val="auto"/>
                      <w:sz w:val="21"/>
                      <w:szCs w:val="24"/>
                      <w:highlight w:val="yellow"/>
                      <w:lang w:val="en-US" w:eastAsia="zh-CN"/>
                    </w:rPr>
                    <w:t>0</w:t>
                  </w:r>
                </w:p>
              </w:tc>
              <w:tc>
                <w:tcPr>
                  <w:tcW w:w="641" w:type="pct"/>
                  <w:tcBorders>
                    <w:top w:val="single" w:color="auto" w:sz="4" w:space="0"/>
                    <w:left w:val="single" w:color="auto" w:sz="4" w:space="0"/>
                    <w:bottom w:val="single" w:color="auto" w:sz="4" w:space="0"/>
                    <w:right w:val="single" w:color="auto" w:sz="4" w:space="0"/>
                  </w:tcBorders>
                  <w:noWrap w:val="0"/>
                  <w:vAlign w:val="center"/>
                </w:tcPr>
                <w:p w14:paraId="42E2A2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olor w:val="auto"/>
                      <w:sz w:val="21"/>
                      <w:szCs w:val="24"/>
                      <w:highlight w:val="yellow"/>
                      <w:lang w:val="en-US" w:eastAsia="zh-CN"/>
                    </w:rPr>
                  </w:pPr>
                  <w:r>
                    <w:rPr>
                      <w:rFonts w:hint="eastAsia" w:ascii="Times New Roman" w:hAnsi="Times New Roman" w:eastAsia="宋体"/>
                      <w:bCs/>
                      <w:color w:val="auto"/>
                      <w:sz w:val="21"/>
                      <w:szCs w:val="24"/>
                      <w:highlight w:val="yellow"/>
                      <w:lang w:val="en-US" w:eastAsia="zh-CN"/>
                    </w:rPr>
                    <w:t>0</w:t>
                  </w:r>
                </w:p>
              </w:tc>
              <w:tc>
                <w:tcPr>
                  <w:tcW w:w="592" w:type="pct"/>
                  <w:tcBorders>
                    <w:top w:val="single" w:color="auto" w:sz="4" w:space="0"/>
                    <w:left w:val="single" w:color="auto" w:sz="4" w:space="0"/>
                    <w:bottom w:val="single" w:color="auto" w:sz="4" w:space="0"/>
                  </w:tcBorders>
                  <w:noWrap w:val="0"/>
                  <w:vAlign w:val="center"/>
                </w:tcPr>
                <w:p w14:paraId="0EF5E8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olor w:val="auto"/>
                      <w:sz w:val="21"/>
                      <w:szCs w:val="24"/>
                      <w:highlight w:val="yellow"/>
                      <w:lang w:val="en-US" w:eastAsia="zh-CN"/>
                    </w:rPr>
                  </w:pPr>
                  <w:r>
                    <w:rPr>
                      <w:rFonts w:hint="eastAsia" w:ascii="Times New Roman" w:hAnsi="Times New Roman" w:eastAsia="宋体"/>
                      <w:bCs/>
                      <w:color w:val="auto"/>
                      <w:sz w:val="21"/>
                      <w:szCs w:val="24"/>
                      <w:highlight w:val="yellow"/>
                      <w:lang w:val="en-US" w:eastAsia="zh-CN"/>
                    </w:rPr>
                    <w:t>/</w:t>
                  </w:r>
                </w:p>
              </w:tc>
            </w:tr>
            <w:tr w14:paraId="53CBFE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1" w:type="pct"/>
                  <w:vMerge w:val="continue"/>
                  <w:tcBorders>
                    <w:top w:val="single" w:color="auto" w:sz="4" w:space="0"/>
                    <w:right w:val="single" w:color="auto" w:sz="4" w:space="0"/>
                  </w:tcBorders>
                  <w:noWrap w:val="0"/>
                  <w:vAlign w:val="center"/>
                </w:tcPr>
                <w:p w14:paraId="44C666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bCs/>
                      <w:color w:val="auto"/>
                      <w:sz w:val="21"/>
                      <w:szCs w:val="24"/>
                      <w:highlight w:val="yellow"/>
                    </w:rPr>
                  </w:pPr>
                </w:p>
              </w:tc>
              <w:tc>
                <w:tcPr>
                  <w:tcW w:w="691" w:type="pct"/>
                  <w:gridSpan w:val="2"/>
                  <w:vMerge w:val="continue"/>
                  <w:tcBorders>
                    <w:left w:val="single" w:color="auto" w:sz="4" w:space="0"/>
                    <w:right w:val="single" w:color="auto" w:sz="4" w:space="0"/>
                  </w:tcBorders>
                  <w:noWrap w:val="0"/>
                  <w:vAlign w:val="center"/>
                </w:tcPr>
                <w:p w14:paraId="46149D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olor w:val="auto"/>
                      <w:kern w:val="0"/>
                      <w:sz w:val="21"/>
                      <w:szCs w:val="24"/>
                      <w:highlight w:val="yellow"/>
                    </w:rPr>
                  </w:pPr>
                </w:p>
              </w:tc>
              <w:tc>
                <w:tcPr>
                  <w:tcW w:w="889" w:type="pct"/>
                  <w:tcBorders>
                    <w:top w:val="single" w:color="auto" w:sz="4" w:space="0"/>
                    <w:left w:val="single" w:color="auto" w:sz="4" w:space="0"/>
                    <w:bottom w:val="single" w:color="auto" w:sz="4" w:space="0"/>
                    <w:right w:val="single" w:color="auto" w:sz="4" w:space="0"/>
                  </w:tcBorders>
                  <w:noWrap w:val="0"/>
                  <w:vAlign w:val="center"/>
                </w:tcPr>
                <w:p w14:paraId="311323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宋体"/>
                      <w:color w:val="auto"/>
                      <w:kern w:val="0"/>
                      <w:sz w:val="21"/>
                      <w:szCs w:val="24"/>
                      <w:highlight w:val="yellow"/>
                      <w:lang w:val="en-US" w:eastAsia="zh-CN" w:bidi="ar"/>
                    </w:rPr>
                  </w:pPr>
                  <w:r>
                    <w:rPr>
                      <w:rFonts w:hint="eastAsia" w:ascii="Times New Roman" w:hAnsi="Times New Roman" w:eastAsia="宋体" w:cs="宋体"/>
                      <w:color w:val="auto"/>
                      <w:kern w:val="0"/>
                      <w:sz w:val="21"/>
                      <w:szCs w:val="24"/>
                      <w:highlight w:val="yellow"/>
                      <w:lang w:val="en-US" w:eastAsia="zh-CN" w:bidi="ar"/>
                    </w:rPr>
                    <w:t>纯水制备废滤芯</w:t>
                  </w:r>
                </w:p>
              </w:tc>
              <w:tc>
                <w:tcPr>
                  <w:tcW w:w="524" w:type="pct"/>
                  <w:tcBorders>
                    <w:top w:val="single" w:color="auto" w:sz="4" w:space="0"/>
                    <w:left w:val="single" w:color="auto" w:sz="4" w:space="0"/>
                    <w:bottom w:val="single" w:color="auto" w:sz="4" w:space="0"/>
                    <w:right w:val="single" w:color="auto" w:sz="4" w:space="0"/>
                  </w:tcBorders>
                  <w:noWrap w:val="0"/>
                  <w:vAlign w:val="center"/>
                </w:tcPr>
                <w:p w14:paraId="632DF0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olor w:val="auto"/>
                      <w:sz w:val="21"/>
                      <w:szCs w:val="24"/>
                      <w:highlight w:val="yellow"/>
                      <w:lang w:val="en-US"/>
                    </w:rPr>
                  </w:pPr>
                </w:p>
              </w:tc>
              <w:tc>
                <w:tcPr>
                  <w:tcW w:w="524" w:type="pct"/>
                  <w:tcBorders>
                    <w:top w:val="single" w:color="auto" w:sz="4" w:space="0"/>
                    <w:left w:val="single" w:color="auto" w:sz="4" w:space="0"/>
                    <w:bottom w:val="single" w:color="auto" w:sz="4" w:space="0"/>
                    <w:right w:val="single" w:color="auto" w:sz="4" w:space="0"/>
                  </w:tcBorders>
                  <w:noWrap w:val="0"/>
                  <w:vAlign w:val="center"/>
                </w:tcPr>
                <w:p w14:paraId="55B657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olor w:val="auto"/>
                      <w:sz w:val="21"/>
                      <w:szCs w:val="24"/>
                      <w:highlight w:val="yellow"/>
                      <w:lang w:val="en-US"/>
                    </w:rPr>
                  </w:pPr>
                </w:p>
              </w:tc>
              <w:tc>
                <w:tcPr>
                  <w:tcW w:w="665" w:type="pct"/>
                  <w:tcBorders>
                    <w:top w:val="single" w:color="auto" w:sz="4" w:space="0"/>
                    <w:left w:val="single" w:color="auto" w:sz="4" w:space="0"/>
                    <w:bottom w:val="single" w:color="auto" w:sz="4" w:space="0"/>
                    <w:right w:val="single" w:color="auto" w:sz="4" w:space="0"/>
                  </w:tcBorders>
                  <w:noWrap w:val="0"/>
                  <w:vAlign w:val="center"/>
                </w:tcPr>
                <w:p w14:paraId="1A20A2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olor w:val="auto"/>
                      <w:sz w:val="21"/>
                      <w:szCs w:val="24"/>
                      <w:highlight w:val="yellow"/>
                    </w:rPr>
                  </w:pPr>
                  <w:r>
                    <w:rPr>
                      <w:rFonts w:hint="eastAsia" w:ascii="Times New Roman" w:hAnsi="Times New Roman" w:eastAsia="宋体"/>
                      <w:bCs/>
                      <w:color w:val="auto"/>
                      <w:sz w:val="21"/>
                      <w:szCs w:val="24"/>
                      <w:highlight w:val="yellow"/>
                      <w:lang w:val="en-US" w:eastAsia="zh-CN"/>
                    </w:rPr>
                    <w:t>0</w:t>
                  </w:r>
                </w:p>
              </w:tc>
              <w:tc>
                <w:tcPr>
                  <w:tcW w:w="641" w:type="pct"/>
                  <w:tcBorders>
                    <w:top w:val="single" w:color="auto" w:sz="4" w:space="0"/>
                    <w:left w:val="single" w:color="auto" w:sz="4" w:space="0"/>
                    <w:bottom w:val="single" w:color="auto" w:sz="4" w:space="0"/>
                    <w:right w:val="single" w:color="auto" w:sz="4" w:space="0"/>
                  </w:tcBorders>
                  <w:noWrap w:val="0"/>
                  <w:vAlign w:val="center"/>
                </w:tcPr>
                <w:p w14:paraId="1A2633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olor w:val="auto"/>
                      <w:sz w:val="21"/>
                      <w:szCs w:val="24"/>
                      <w:highlight w:val="yellow"/>
                    </w:rPr>
                  </w:pPr>
                  <w:r>
                    <w:rPr>
                      <w:rFonts w:hint="eastAsia" w:ascii="Times New Roman" w:hAnsi="Times New Roman" w:eastAsia="宋体"/>
                      <w:bCs/>
                      <w:color w:val="auto"/>
                      <w:sz w:val="21"/>
                      <w:szCs w:val="24"/>
                      <w:highlight w:val="yellow"/>
                      <w:lang w:val="en-US" w:eastAsia="zh-CN"/>
                    </w:rPr>
                    <w:t>0</w:t>
                  </w:r>
                </w:p>
              </w:tc>
              <w:tc>
                <w:tcPr>
                  <w:tcW w:w="592" w:type="pct"/>
                  <w:tcBorders>
                    <w:top w:val="single" w:color="auto" w:sz="4" w:space="0"/>
                    <w:left w:val="single" w:color="auto" w:sz="4" w:space="0"/>
                    <w:bottom w:val="single" w:color="auto" w:sz="4" w:space="0"/>
                  </w:tcBorders>
                  <w:noWrap w:val="0"/>
                  <w:vAlign w:val="center"/>
                </w:tcPr>
                <w:p w14:paraId="3BC717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olor w:val="auto"/>
                      <w:sz w:val="21"/>
                      <w:szCs w:val="24"/>
                      <w:highlight w:val="yellow"/>
                    </w:rPr>
                  </w:pPr>
                  <w:r>
                    <w:rPr>
                      <w:rFonts w:hint="eastAsia" w:ascii="Times New Roman" w:hAnsi="Times New Roman" w:eastAsia="宋体"/>
                      <w:bCs/>
                      <w:color w:val="auto"/>
                      <w:sz w:val="21"/>
                      <w:szCs w:val="24"/>
                      <w:highlight w:val="yellow"/>
                      <w:lang w:val="en-US" w:eastAsia="zh-CN"/>
                    </w:rPr>
                    <w:t>/</w:t>
                  </w:r>
                </w:p>
              </w:tc>
            </w:tr>
            <w:tr w14:paraId="36D18D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1" w:type="pct"/>
                  <w:vMerge w:val="continue"/>
                  <w:tcBorders>
                    <w:top w:val="single" w:color="auto" w:sz="4" w:space="0"/>
                    <w:right w:val="single" w:color="auto" w:sz="4" w:space="0"/>
                  </w:tcBorders>
                  <w:noWrap w:val="0"/>
                  <w:vAlign w:val="center"/>
                </w:tcPr>
                <w:p w14:paraId="26E115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bCs/>
                      <w:color w:val="auto"/>
                      <w:sz w:val="21"/>
                      <w:szCs w:val="24"/>
                      <w:highlight w:val="yellow"/>
                    </w:rPr>
                  </w:pPr>
                </w:p>
              </w:tc>
              <w:tc>
                <w:tcPr>
                  <w:tcW w:w="691" w:type="pct"/>
                  <w:gridSpan w:val="2"/>
                  <w:vMerge w:val="continue"/>
                  <w:tcBorders>
                    <w:left w:val="single" w:color="auto" w:sz="4" w:space="0"/>
                    <w:right w:val="single" w:color="auto" w:sz="4" w:space="0"/>
                  </w:tcBorders>
                  <w:noWrap w:val="0"/>
                  <w:vAlign w:val="center"/>
                </w:tcPr>
                <w:p w14:paraId="317E3E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olor w:val="auto"/>
                      <w:kern w:val="0"/>
                      <w:sz w:val="21"/>
                      <w:szCs w:val="24"/>
                      <w:highlight w:val="yellow"/>
                    </w:rPr>
                  </w:pPr>
                </w:p>
              </w:tc>
              <w:tc>
                <w:tcPr>
                  <w:tcW w:w="889" w:type="pct"/>
                  <w:tcBorders>
                    <w:top w:val="single" w:color="auto" w:sz="4" w:space="0"/>
                    <w:left w:val="single" w:color="auto" w:sz="4" w:space="0"/>
                    <w:bottom w:val="single" w:color="auto" w:sz="4" w:space="0"/>
                    <w:right w:val="single" w:color="auto" w:sz="4" w:space="0"/>
                  </w:tcBorders>
                  <w:noWrap w:val="0"/>
                  <w:vAlign w:val="center"/>
                </w:tcPr>
                <w:p w14:paraId="2E86F5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宋体"/>
                      <w:color w:val="auto"/>
                      <w:kern w:val="0"/>
                      <w:sz w:val="21"/>
                      <w:szCs w:val="24"/>
                      <w:highlight w:val="yellow"/>
                      <w:lang w:val="en-US" w:eastAsia="zh-CN" w:bidi="ar"/>
                    </w:rPr>
                  </w:pPr>
                  <w:r>
                    <w:rPr>
                      <w:rFonts w:hint="eastAsia" w:ascii="Times New Roman" w:hAnsi="Times New Roman" w:eastAsia="宋体" w:cs="宋体"/>
                      <w:color w:val="auto"/>
                      <w:kern w:val="0"/>
                      <w:sz w:val="21"/>
                      <w:szCs w:val="24"/>
                      <w:highlight w:val="yellow"/>
                      <w:lang w:val="en-US" w:eastAsia="zh-CN" w:bidi="ar"/>
                    </w:rPr>
                    <w:t>生物安全柜废滤芯</w:t>
                  </w:r>
                </w:p>
              </w:tc>
              <w:tc>
                <w:tcPr>
                  <w:tcW w:w="524" w:type="pct"/>
                  <w:tcBorders>
                    <w:top w:val="single" w:color="auto" w:sz="4" w:space="0"/>
                    <w:left w:val="single" w:color="auto" w:sz="4" w:space="0"/>
                    <w:bottom w:val="single" w:color="auto" w:sz="4" w:space="0"/>
                    <w:right w:val="single" w:color="auto" w:sz="4" w:space="0"/>
                  </w:tcBorders>
                  <w:noWrap w:val="0"/>
                  <w:vAlign w:val="center"/>
                </w:tcPr>
                <w:p w14:paraId="6252F0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4"/>
                      <w:highlight w:val="yellow"/>
                      <w:u w:val="none"/>
                      <w:lang w:val="en-US" w:eastAsia="zh-CN" w:bidi="ar"/>
                    </w:rPr>
                  </w:pPr>
                </w:p>
              </w:tc>
              <w:tc>
                <w:tcPr>
                  <w:tcW w:w="524" w:type="pct"/>
                  <w:tcBorders>
                    <w:top w:val="single" w:color="auto" w:sz="4" w:space="0"/>
                    <w:left w:val="single" w:color="auto" w:sz="4" w:space="0"/>
                    <w:bottom w:val="single" w:color="auto" w:sz="4" w:space="0"/>
                    <w:right w:val="single" w:color="auto" w:sz="4" w:space="0"/>
                  </w:tcBorders>
                  <w:noWrap w:val="0"/>
                  <w:vAlign w:val="center"/>
                </w:tcPr>
                <w:p w14:paraId="518B27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4"/>
                      <w:highlight w:val="yellow"/>
                      <w:u w:val="none"/>
                      <w:lang w:val="en-US" w:eastAsia="zh-CN" w:bidi="ar"/>
                    </w:rPr>
                  </w:pPr>
                </w:p>
              </w:tc>
              <w:tc>
                <w:tcPr>
                  <w:tcW w:w="665" w:type="pct"/>
                  <w:tcBorders>
                    <w:top w:val="single" w:color="auto" w:sz="4" w:space="0"/>
                    <w:left w:val="single" w:color="auto" w:sz="4" w:space="0"/>
                    <w:bottom w:val="single" w:color="auto" w:sz="4" w:space="0"/>
                    <w:right w:val="single" w:color="auto" w:sz="4" w:space="0"/>
                  </w:tcBorders>
                  <w:noWrap w:val="0"/>
                  <w:vAlign w:val="center"/>
                </w:tcPr>
                <w:p w14:paraId="0A20F1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olor w:val="auto"/>
                      <w:sz w:val="21"/>
                      <w:szCs w:val="24"/>
                      <w:highlight w:val="yellow"/>
                      <w:lang w:val="en-US" w:eastAsia="zh-CN"/>
                    </w:rPr>
                  </w:pPr>
                  <w:r>
                    <w:rPr>
                      <w:rFonts w:hint="eastAsia" w:ascii="Times New Roman" w:hAnsi="Times New Roman" w:eastAsia="宋体"/>
                      <w:bCs/>
                      <w:color w:val="auto"/>
                      <w:sz w:val="21"/>
                      <w:szCs w:val="24"/>
                      <w:highlight w:val="yellow"/>
                      <w:lang w:val="en-US" w:eastAsia="zh-CN"/>
                    </w:rPr>
                    <w:t>0</w:t>
                  </w:r>
                </w:p>
              </w:tc>
              <w:tc>
                <w:tcPr>
                  <w:tcW w:w="641" w:type="pct"/>
                  <w:tcBorders>
                    <w:top w:val="single" w:color="auto" w:sz="4" w:space="0"/>
                    <w:left w:val="single" w:color="auto" w:sz="4" w:space="0"/>
                    <w:bottom w:val="single" w:color="auto" w:sz="4" w:space="0"/>
                    <w:right w:val="single" w:color="auto" w:sz="4" w:space="0"/>
                  </w:tcBorders>
                  <w:noWrap w:val="0"/>
                  <w:vAlign w:val="center"/>
                </w:tcPr>
                <w:p w14:paraId="75781F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olor w:val="auto"/>
                      <w:sz w:val="21"/>
                      <w:szCs w:val="24"/>
                      <w:highlight w:val="yellow"/>
                      <w:lang w:val="en-US" w:eastAsia="zh-CN"/>
                    </w:rPr>
                  </w:pPr>
                  <w:r>
                    <w:rPr>
                      <w:rFonts w:hint="eastAsia" w:ascii="Times New Roman" w:hAnsi="Times New Roman" w:eastAsia="宋体"/>
                      <w:bCs/>
                      <w:color w:val="auto"/>
                      <w:sz w:val="21"/>
                      <w:szCs w:val="24"/>
                      <w:highlight w:val="yellow"/>
                      <w:lang w:val="en-US" w:eastAsia="zh-CN"/>
                    </w:rPr>
                    <w:t>0</w:t>
                  </w:r>
                </w:p>
              </w:tc>
              <w:tc>
                <w:tcPr>
                  <w:tcW w:w="592" w:type="pct"/>
                  <w:tcBorders>
                    <w:top w:val="single" w:color="auto" w:sz="4" w:space="0"/>
                    <w:left w:val="single" w:color="auto" w:sz="4" w:space="0"/>
                    <w:bottom w:val="single" w:color="auto" w:sz="4" w:space="0"/>
                  </w:tcBorders>
                  <w:noWrap w:val="0"/>
                  <w:vAlign w:val="center"/>
                </w:tcPr>
                <w:p w14:paraId="0B3F5C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olor w:val="auto"/>
                      <w:sz w:val="21"/>
                      <w:szCs w:val="24"/>
                      <w:highlight w:val="yellow"/>
                      <w:lang w:val="en-US" w:eastAsia="zh-CN"/>
                    </w:rPr>
                  </w:pPr>
                  <w:r>
                    <w:rPr>
                      <w:rFonts w:hint="eastAsia" w:ascii="Times New Roman" w:hAnsi="Times New Roman" w:eastAsia="宋体"/>
                      <w:bCs/>
                      <w:color w:val="auto"/>
                      <w:sz w:val="21"/>
                      <w:szCs w:val="24"/>
                      <w:highlight w:val="yellow"/>
                      <w:lang w:val="en-US" w:eastAsia="zh-CN"/>
                    </w:rPr>
                    <w:t>/</w:t>
                  </w:r>
                </w:p>
              </w:tc>
            </w:tr>
            <w:tr w14:paraId="5945C9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1" w:type="pct"/>
                  <w:vMerge w:val="continue"/>
                  <w:tcBorders>
                    <w:top w:val="single" w:color="auto" w:sz="4" w:space="0"/>
                    <w:right w:val="single" w:color="auto" w:sz="4" w:space="0"/>
                  </w:tcBorders>
                  <w:noWrap w:val="0"/>
                  <w:vAlign w:val="center"/>
                </w:tcPr>
                <w:p w14:paraId="03D206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bCs/>
                      <w:color w:val="auto"/>
                      <w:sz w:val="21"/>
                      <w:szCs w:val="24"/>
                      <w:highlight w:val="yellow"/>
                    </w:rPr>
                  </w:pPr>
                </w:p>
              </w:tc>
              <w:tc>
                <w:tcPr>
                  <w:tcW w:w="691" w:type="pct"/>
                  <w:gridSpan w:val="2"/>
                  <w:vMerge w:val="continue"/>
                  <w:tcBorders>
                    <w:left w:val="single" w:color="auto" w:sz="4" w:space="0"/>
                    <w:right w:val="single" w:color="auto" w:sz="4" w:space="0"/>
                  </w:tcBorders>
                  <w:noWrap w:val="0"/>
                  <w:vAlign w:val="center"/>
                </w:tcPr>
                <w:p w14:paraId="72A855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olor w:val="auto"/>
                      <w:kern w:val="0"/>
                      <w:sz w:val="21"/>
                      <w:szCs w:val="24"/>
                      <w:highlight w:val="yellow"/>
                    </w:rPr>
                  </w:pPr>
                </w:p>
              </w:tc>
              <w:tc>
                <w:tcPr>
                  <w:tcW w:w="889" w:type="pct"/>
                  <w:tcBorders>
                    <w:top w:val="single" w:color="auto" w:sz="4" w:space="0"/>
                    <w:left w:val="single" w:color="auto" w:sz="4" w:space="0"/>
                    <w:bottom w:val="single" w:color="auto" w:sz="4" w:space="0"/>
                    <w:right w:val="single" w:color="auto" w:sz="4" w:space="0"/>
                  </w:tcBorders>
                  <w:noWrap w:val="0"/>
                  <w:vAlign w:val="center"/>
                </w:tcPr>
                <w:p w14:paraId="2BBFBF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宋体"/>
                      <w:color w:val="auto"/>
                      <w:kern w:val="0"/>
                      <w:sz w:val="21"/>
                      <w:szCs w:val="24"/>
                      <w:highlight w:val="yellow"/>
                      <w:lang w:val="en-US" w:eastAsia="zh-CN" w:bidi="ar"/>
                    </w:rPr>
                  </w:pPr>
                  <w:r>
                    <w:rPr>
                      <w:rFonts w:hint="eastAsia" w:ascii="Times New Roman" w:hAnsi="Times New Roman" w:eastAsia="宋体" w:cs="宋体"/>
                      <w:color w:val="auto"/>
                      <w:kern w:val="0"/>
                      <w:sz w:val="21"/>
                      <w:szCs w:val="24"/>
                      <w:highlight w:val="yellow"/>
                      <w:lang w:val="en-US" w:eastAsia="zh-CN" w:bidi="ar"/>
                    </w:rPr>
                    <w:t>蛋白纯化废滤芯</w:t>
                  </w:r>
                </w:p>
              </w:tc>
              <w:tc>
                <w:tcPr>
                  <w:tcW w:w="524" w:type="pct"/>
                  <w:tcBorders>
                    <w:top w:val="single" w:color="auto" w:sz="4" w:space="0"/>
                    <w:left w:val="single" w:color="auto" w:sz="4" w:space="0"/>
                    <w:bottom w:val="single" w:color="auto" w:sz="4" w:space="0"/>
                    <w:right w:val="single" w:color="auto" w:sz="4" w:space="0"/>
                  </w:tcBorders>
                  <w:noWrap w:val="0"/>
                  <w:vAlign w:val="center"/>
                </w:tcPr>
                <w:p w14:paraId="3EEA26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4"/>
                      <w:highlight w:val="yellow"/>
                      <w:u w:val="none"/>
                      <w:lang w:val="en-US" w:eastAsia="zh-CN" w:bidi="ar"/>
                    </w:rPr>
                  </w:pPr>
                </w:p>
              </w:tc>
              <w:tc>
                <w:tcPr>
                  <w:tcW w:w="524" w:type="pct"/>
                  <w:tcBorders>
                    <w:top w:val="single" w:color="auto" w:sz="4" w:space="0"/>
                    <w:left w:val="single" w:color="auto" w:sz="4" w:space="0"/>
                    <w:bottom w:val="single" w:color="auto" w:sz="4" w:space="0"/>
                    <w:right w:val="single" w:color="auto" w:sz="4" w:space="0"/>
                  </w:tcBorders>
                  <w:noWrap w:val="0"/>
                  <w:vAlign w:val="center"/>
                </w:tcPr>
                <w:p w14:paraId="6D2634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4"/>
                      <w:highlight w:val="yellow"/>
                      <w:u w:val="none"/>
                      <w:lang w:val="en-US" w:eastAsia="zh-CN" w:bidi="ar"/>
                    </w:rPr>
                  </w:pPr>
                </w:p>
              </w:tc>
              <w:tc>
                <w:tcPr>
                  <w:tcW w:w="665" w:type="pct"/>
                  <w:tcBorders>
                    <w:top w:val="single" w:color="auto" w:sz="4" w:space="0"/>
                    <w:left w:val="single" w:color="auto" w:sz="4" w:space="0"/>
                    <w:bottom w:val="single" w:color="auto" w:sz="4" w:space="0"/>
                    <w:right w:val="single" w:color="auto" w:sz="4" w:space="0"/>
                  </w:tcBorders>
                  <w:noWrap w:val="0"/>
                  <w:vAlign w:val="center"/>
                </w:tcPr>
                <w:p w14:paraId="4A0681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bCs/>
                      <w:color w:val="auto"/>
                      <w:sz w:val="21"/>
                      <w:szCs w:val="24"/>
                      <w:highlight w:val="yellow"/>
                      <w:lang w:val="en-US" w:eastAsia="zh-CN"/>
                    </w:rPr>
                  </w:pPr>
                  <w:r>
                    <w:rPr>
                      <w:rFonts w:hint="eastAsia" w:ascii="Times New Roman" w:hAnsi="Times New Roman" w:eastAsia="宋体"/>
                      <w:bCs/>
                      <w:color w:val="auto"/>
                      <w:sz w:val="21"/>
                      <w:szCs w:val="24"/>
                      <w:highlight w:val="yellow"/>
                      <w:lang w:val="en-US" w:eastAsia="zh-CN"/>
                    </w:rPr>
                    <w:t>0</w:t>
                  </w:r>
                </w:p>
              </w:tc>
              <w:tc>
                <w:tcPr>
                  <w:tcW w:w="641" w:type="pct"/>
                  <w:tcBorders>
                    <w:top w:val="single" w:color="auto" w:sz="4" w:space="0"/>
                    <w:left w:val="single" w:color="auto" w:sz="4" w:space="0"/>
                    <w:bottom w:val="single" w:color="auto" w:sz="4" w:space="0"/>
                    <w:right w:val="single" w:color="auto" w:sz="4" w:space="0"/>
                  </w:tcBorders>
                  <w:noWrap w:val="0"/>
                  <w:vAlign w:val="center"/>
                </w:tcPr>
                <w:p w14:paraId="588722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bCs/>
                      <w:color w:val="auto"/>
                      <w:sz w:val="21"/>
                      <w:szCs w:val="24"/>
                      <w:highlight w:val="yellow"/>
                      <w:lang w:val="en-US" w:eastAsia="zh-CN"/>
                    </w:rPr>
                  </w:pPr>
                  <w:r>
                    <w:rPr>
                      <w:rFonts w:hint="eastAsia" w:ascii="Times New Roman" w:hAnsi="Times New Roman" w:eastAsia="宋体"/>
                      <w:bCs/>
                      <w:color w:val="auto"/>
                      <w:sz w:val="21"/>
                      <w:szCs w:val="24"/>
                      <w:highlight w:val="yellow"/>
                      <w:lang w:val="en-US" w:eastAsia="zh-CN"/>
                    </w:rPr>
                    <w:t>0</w:t>
                  </w:r>
                </w:p>
              </w:tc>
              <w:tc>
                <w:tcPr>
                  <w:tcW w:w="592" w:type="pct"/>
                  <w:tcBorders>
                    <w:top w:val="single" w:color="auto" w:sz="4" w:space="0"/>
                    <w:left w:val="single" w:color="auto" w:sz="4" w:space="0"/>
                    <w:bottom w:val="single" w:color="auto" w:sz="4" w:space="0"/>
                  </w:tcBorders>
                  <w:noWrap w:val="0"/>
                  <w:vAlign w:val="center"/>
                </w:tcPr>
                <w:p w14:paraId="28878C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bCs/>
                      <w:color w:val="auto"/>
                      <w:sz w:val="21"/>
                      <w:szCs w:val="24"/>
                      <w:highlight w:val="yellow"/>
                      <w:lang w:val="en-US" w:eastAsia="zh-CN"/>
                    </w:rPr>
                  </w:pPr>
                  <w:r>
                    <w:rPr>
                      <w:rFonts w:hint="eastAsia" w:ascii="Times New Roman" w:hAnsi="Times New Roman" w:eastAsia="宋体"/>
                      <w:bCs/>
                      <w:color w:val="auto"/>
                      <w:sz w:val="21"/>
                      <w:szCs w:val="24"/>
                      <w:highlight w:val="yellow"/>
                      <w:lang w:val="en-US" w:eastAsia="zh-CN"/>
                    </w:rPr>
                    <w:t>/</w:t>
                  </w:r>
                </w:p>
              </w:tc>
            </w:tr>
            <w:tr w14:paraId="695BAA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1" w:type="pct"/>
                  <w:vMerge w:val="continue"/>
                  <w:tcBorders>
                    <w:top w:val="single" w:color="auto" w:sz="4" w:space="0"/>
                    <w:right w:val="single" w:color="auto" w:sz="4" w:space="0"/>
                  </w:tcBorders>
                  <w:noWrap w:val="0"/>
                  <w:vAlign w:val="center"/>
                </w:tcPr>
                <w:p w14:paraId="2D5041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bCs/>
                      <w:color w:val="auto"/>
                      <w:sz w:val="21"/>
                      <w:szCs w:val="24"/>
                      <w:highlight w:val="yellow"/>
                    </w:rPr>
                  </w:pPr>
                </w:p>
              </w:tc>
              <w:tc>
                <w:tcPr>
                  <w:tcW w:w="691" w:type="pct"/>
                  <w:gridSpan w:val="2"/>
                  <w:vMerge w:val="continue"/>
                  <w:tcBorders>
                    <w:left w:val="single" w:color="auto" w:sz="4" w:space="0"/>
                    <w:right w:val="single" w:color="auto" w:sz="4" w:space="0"/>
                  </w:tcBorders>
                  <w:noWrap w:val="0"/>
                  <w:vAlign w:val="center"/>
                </w:tcPr>
                <w:p w14:paraId="4520CD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olor w:val="auto"/>
                      <w:kern w:val="0"/>
                      <w:sz w:val="21"/>
                      <w:szCs w:val="24"/>
                      <w:highlight w:val="yellow"/>
                    </w:rPr>
                  </w:pPr>
                </w:p>
              </w:tc>
              <w:tc>
                <w:tcPr>
                  <w:tcW w:w="889" w:type="pct"/>
                  <w:tcBorders>
                    <w:top w:val="single" w:color="auto" w:sz="4" w:space="0"/>
                    <w:left w:val="single" w:color="auto" w:sz="4" w:space="0"/>
                    <w:bottom w:val="single" w:color="auto" w:sz="4" w:space="0"/>
                    <w:right w:val="single" w:color="auto" w:sz="4" w:space="0"/>
                  </w:tcBorders>
                  <w:noWrap w:val="0"/>
                  <w:vAlign w:val="center"/>
                </w:tcPr>
                <w:p w14:paraId="49C6E7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宋体"/>
                      <w:color w:val="auto"/>
                      <w:kern w:val="0"/>
                      <w:sz w:val="21"/>
                      <w:szCs w:val="24"/>
                      <w:highlight w:val="yellow"/>
                      <w:lang w:val="en-US" w:eastAsia="zh-CN" w:bidi="ar"/>
                    </w:rPr>
                  </w:pPr>
                  <w:r>
                    <w:rPr>
                      <w:rFonts w:hint="eastAsia" w:ascii="Times New Roman" w:hAnsi="Times New Roman" w:eastAsia="宋体" w:cs="宋体"/>
                      <w:color w:val="auto"/>
                      <w:kern w:val="0"/>
                      <w:sz w:val="21"/>
                      <w:szCs w:val="24"/>
                      <w:highlight w:val="yellow"/>
                      <w:lang w:val="en-US" w:eastAsia="zh-CN" w:bidi="ar"/>
                    </w:rPr>
                    <w:t>废活性炭</w:t>
                  </w:r>
                </w:p>
              </w:tc>
              <w:tc>
                <w:tcPr>
                  <w:tcW w:w="524" w:type="pct"/>
                  <w:tcBorders>
                    <w:top w:val="single" w:color="auto" w:sz="4" w:space="0"/>
                    <w:left w:val="single" w:color="auto" w:sz="4" w:space="0"/>
                    <w:bottom w:val="single" w:color="auto" w:sz="4" w:space="0"/>
                    <w:right w:val="single" w:color="auto" w:sz="4" w:space="0"/>
                  </w:tcBorders>
                  <w:noWrap w:val="0"/>
                  <w:vAlign w:val="center"/>
                </w:tcPr>
                <w:p w14:paraId="692ECE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4"/>
                      <w:highlight w:val="yellow"/>
                      <w:u w:val="none"/>
                      <w:lang w:val="en-US" w:eastAsia="zh-CN" w:bidi="ar"/>
                    </w:rPr>
                  </w:pPr>
                </w:p>
              </w:tc>
              <w:tc>
                <w:tcPr>
                  <w:tcW w:w="524" w:type="pct"/>
                  <w:tcBorders>
                    <w:top w:val="single" w:color="auto" w:sz="4" w:space="0"/>
                    <w:left w:val="single" w:color="auto" w:sz="4" w:space="0"/>
                    <w:bottom w:val="single" w:color="auto" w:sz="4" w:space="0"/>
                    <w:right w:val="single" w:color="auto" w:sz="4" w:space="0"/>
                  </w:tcBorders>
                  <w:noWrap w:val="0"/>
                  <w:vAlign w:val="center"/>
                </w:tcPr>
                <w:p w14:paraId="768932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4"/>
                      <w:highlight w:val="yellow"/>
                      <w:u w:val="none"/>
                      <w:lang w:val="en-US" w:eastAsia="zh-CN" w:bidi="ar"/>
                    </w:rPr>
                  </w:pPr>
                </w:p>
              </w:tc>
              <w:tc>
                <w:tcPr>
                  <w:tcW w:w="665" w:type="pct"/>
                  <w:tcBorders>
                    <w:top w:val="single" w:color="auto" w:sz="4" w:space="0"/>
                    <w:left w:val="single" w:color="auto" w:sz="4" w:space="0"/>
                    <w:bottom w:val="single" w:color="auto" w:sz="4" w:space="0"/>
                    <w:right w:val="single" w:color="auto" w:sz="4" w:space="0"/>
                  </w:tcBorders>
                  <w:noWrap w:val="0"/>
                  <w:vAlign w:val="center"/>
                </w:tcPr>
                <w:p w14:paraId="57FFFA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bCs/>
                      <w:color w:val="auto"/>
                      <w:sz w:val="21"/>
                      <w:szCs w:val="24"/>
                      <w:highlight w:val="yellow"/>
                      <w:lang w:val="en-US" w:eastAsia="zh-CN"/>
                    </w:rPr>
                  </w:pPr>
                  <w:r>
                    <w:rPr>
                      <w:rFonts w:hint="eastAsia" w:ascii="Times New Roman" w:hAnsi="Times New Roman" w:eastAsia="宋体"/>
                      <w:bCs/>
                      <w:color w:val="auto"/>
                      <w:sz w:val="21"/>
                      <w:szCs w:val="24"/>
                      <w:highlight w:val="yellow"/>
                      <w:lang w:val="en-US" w:eastAsia="zh-CN"/>
                    </w:rPr>
                    <w:t>0</w:t>
                  </w:r>
                </w:p>
              </w:tc>
              <w:tc>
                <w:tcPr>
                  <w:tcW w:w="641" w:type="pct"/>
                  <w:tcBorders>
                    <w:top w:val="single" w:color="auto" w:sz="4" w:space="0"/>
                    <w:left w:val="single" w:color="auto" w:sz="4" w:space="0"/>
                    <w:bottom w:val="single" w:color="auto" w:sz="4" w:space="0"/>
                    <w:right w:val="single" w:color="auto" w:sz="4" w:space="0"/>
                  </w:tcBorders>
                  <w:noWrap w:val="0"/>
                  <w:vAlign w:val="center"/>
                </w:tcPr>
                <w:p w14:paraId="289B23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bCs/>
                      <w:color w:val="auto"/>
                      <w:sz w:val="21"/>
                      <w:szCs w:val="24"/>
                      <w:highlight w:val="yellow"/>
                      <w:lang w:val="en-US" w:eastAsia="zh-CN"/>
                    </w:rPr>
                  </w:pPr>
                  <w:r>
                    <w:rPr>
                      <w:rFonts w:hint="eastAsia" w:ascii="Times New Roman" w:hAnsi="Times New Roman" w:eastAsia="宋体"/>
                      <w:bCs/>
                      <w:color w:val="auto"/>
                      <w:sz w:val="21"/>
                      <w:szCs w:val="24"/>
                      <w:highlight w:val="yellow"/>
                      <w:lang w:val="en-US" w:eastAsia="zh-CN"/>
                    </w:rPr>
                    <w:t>0</w:t>
                  </w:r>
                </w:p>
              </w:tc>
              <w:tc>
                <w:tcPr>
                  <w:tcW w:w="592" w:type="pct"/>
                  <w:tcBorders>
                    <w:top w:val="single" w:color="auto" w:sz="4" w:space="0"/>
                    <w:left w:val="single" w:color="auto" w:sz="4" w:space="0"/>
                    <w:bottom w:val="single" w:color="auto" w:sz="4" w:space="0"/>
                  </w:tcBorders>
                  <w:noWrap w:val="0"/>
                  <w:vAlign w:val="center"/>
                </w:tcPr>
                <w:p w14:paraId="6ABE56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bCs/>
                      <w:color w:val="auto"/>
                      <w:sz w:val="21"/>
                      <w:szCs w:val="24"/>
                      <w:highlight w:val="yellow"/>
                      <w:lang w:val="en-US" w:eastAsia="zh-CN"/>
                    </w:rPr>
                  </w:pPr>
                  <w:r>
                    <w:rPr>
                      <w:rFonts w:hint="eastAsia" w:ascii="Times New Roman" w:hAnsi="Times New Roman" w:eastAsia="宋体"/>
                      <w:bCs/>
                      <w:color w:val="auto"/>
                      <w:sz w:val="21"/>
                      <w:szCs w:val="24"/>
                      <w:highlight w:val="yellow"/>
                      <w:lang w:val="en-US" w:eastAsia="zh-CN"/>
                    </w:rPr>
                    <w:t>/</w:t>
                  </w:r>
                </w:p>
              </w:tc>
            </w:tr>
            <w:tr w14:paraId="106D19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1" w:type="pct"/>
                  <w:vMerge w:val="continue"/>
                  <w:tcBorders>
                    <w:top w:val="single" w:color="auto" w:sz="4" w:space="0"/>
                    <w:right w:val="single" w:color="auto" w:sz="4" w:space="0"/>
                  </w:tcBorders>
                  <w:noWrap w:val="0"/>
                  <w:vAlign w:val="center"/>
                </w:tcPr>
                <w:p w14:paraId="5CA48A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bCs/>
                      <w:color w:val="auto"/>
                      <w:sz w:val="21"/>
                      <w:szCs w:val="24"/>
                      <w:highlight w:val="yellow"/>
                    </w:rPr>
                  </w:pPr>
                </w:p>
              </w:tc>
              <w:tc>
                <w:tcPr>
                  <w:tcW w:w="691" w:type="pct"/>
                  <w:gridSpan w:val="2"/>
                  <w:vMerge w:val="continue"/>
                  <w:tcBorders>
                    <w:left w:val="single" w:color="auto" w:sz="4" w:space="0"/>
                    <w:right w:val="single" w:color="auto" w:sz="4" w:space="0"/>
                  </w:tcBorders>
                  <w:noWrap w:val="0"/>
                  <w:vAlign w:val="center"/>
                </w:tcPr>
                <w:p w14:paraId="7619BE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olor w:val="auto"/>
                      <w:kern w:val="0"/>
                      <w:sz w:val="21"/>
                      <w:szCs w:val="24"/>
                      <w:highlight w:val="yellow"/>
                    </w:rPr>
                  </w:pPr>
                </w:p>
              </w:tc>
              <w:tc>
                <w:tcPr>
                  <w:tcW w:w="889" w:type="pct"/>
                  <w:tcBorders>
                    <w:top w:val="single" w:color="auto" w:sz="4" w:space="0"/>
                    <w:left w:val="single" w:color="auto" w:sz="4" w:space="0"/>
                    <w:bottom w:val="single" w:color="auto" w:sz="4" w:space="0"/>
                    <w:right w:val="single" w:color="auto" w:sz="4" w:space="0"/>
                  </w:tcBorders>
                  <w:noWrap w:val="0"/>
                  <w:vAlign w:val="center"/>
                </w:tcPr>
                <w:p w14:paraId="369D15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宋体"/>
                      <w:b/>
                      <w:bCs/>
                      <w:color w:val="auto"/>
                      <w:kern w:val="0"/>
                      <w:sz w:val="21"/>
                      <w:szCs w:val="24"/>
                      <w:highlight w:val="yellow"/>
                      <w:lang w:val="en-US" w:eastAsia="zh-CN" w:bidi="ar"/>
                    </w:rPr>
                  </w:pPr>
                  <w:r>
                    <w:rPr>
                      <w:rFonts w:hint="eastAsia" w:ascii="Times New Roman" w:hAnsi="Times New Roman" w:eastAsia="宋体" w:cs="宋体"/>
                      <w:b/>
                      <w:bCs/>
                      <w:color w:val="auto"/>
                      <w:kern w:val="0"/>
                      <w:sz w:val="21"/>
                      <w:szCs w:val="24"/>
                      <w:highlight w:val="yellow"/>
                      <w:lang w:val="en-US" w:eastAsia="zh-CN" w:bidi="ar"/>
                    </w:rPr>
                    <w:t>合计</w:t>
                  </w:r>
                </w:p>
              </w:tc>
              <w:tc>
                <w:tcPr>
                  <w:tcW w:w="524" w:type="pct"/>
                  <w:tcBorders>
                    <w:top w:val="single" w:color="auto" w:sz="4" w:space="0"/>
                    <w:left w:val="single" w:color="auto" w:sz="4" w:space="0"/>
                    <w:bottom w:val="single" w:color="auto" w:sz="4" w:space="0"/>
                    <w:right w:val="single" w:color="auto" w:sz="4" w:space="0"/>
                  </w:tcBorders>
                  <w:noWrap w:val="0"/>
                  <w:vAlign w:val="center"/>
                </w:tcPr>
                <w:p w14:paraId="5C4F99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b/>
                      <w:bCs/>
                      <w:color w:val="FF0000"/>
                      <w:sz w:val="21"/>
                      <w:szCs w:val="24"/>
                      <w:highlight w:val="yellow"/>
                      <w:lang w:val="en-US" w:eastAsia="zh-CN"/>
                    </w:rPr>
                  </w:pPr>
                </w:p>
              </w:tc>
              <w:tc>
                <w:tcPr>
                  <w:tcW w:w="524" w:type="pct"/>
                  <w:tcBorders>
                    <w:top w:val="single" w:color="auto" w:sz="4" w:space="0"/>
                    <w:left w:val="single" w:color="auto" w:sz="4" w:space="0"/>
                    <w:bottom w:val="single" w:color="auto" w:sz="4" w:space="0"/>
                    <w:right w:val="single" w:color="auto" w:sz="4" w:space="0"/>
                  </w:tcBorders>
                  <w:noWrap w:val="0"/>
                  <w:vAlign w:val="center"/>
                </w:tcPr>
                <w:p w14:paraId="6C68B4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b/>
                      <w:bCs/>
                      <w:color w:val="FF0000"/>
                      <w:sz w:val="21"/>
                      <w:szCs w:val="24"/>
                      <w:highlight w:val="yellow"/>
                      <w:lang w:val="en-US" w:eastAsia="zh-CN"/>
                    </w:rPr>
                  </w:pPr>
                </w:p>
              </w:tc>
              <w:tc>
                <w:tcPr>
                  <w:tcW w:w="665" w:type="pct"/>
                  <w:tcBorders>
                    <w:top w:val="single" w:color="auto" w:sz="4" w:space="0"/>
                    <w:left w:val="single" w:color="auto" w:sz="4" w:space="0"/>
                    <w:bottom w:val="single" w:color="auto" w:sz="4" w:space="0"/>
                    <w:right w:val="single" w:color="auto" w:sz="4" w:space="0"/>
                  </w:tcBorders>
                  <w:noWrap w:val="0"/>
                  <w:vAlign w:val="center"/>
                </w:tcPr>
                <w:p w14:paraId="6F4B7E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b/>
                      <w:bCs/>
                      <w:color w:val="FF0000"/>
                      <w:sz w:val="21"/>
                      <w:szCs w:val="24"/>
                      <w:highlight w:val="yellow"/>
                    </w:rPr>
                  </w:pPr>
                  <w:r>
                    <w:rPr>
                      <w:rFonts w:hint="eastAsia" w:ascii="Times New Roman" w:hAnsi="Times New Roman" w:eastAsia="宋体"/>
                      <w:b/>
                      <w:bCs/>
                      <w:color w:val="auto"/>
                      <w:sz w:val="21"/>
                      <w:szCs w:val="24"/>
                      <w:highlight w:val="yellow"/>
                      <w:lang w:val="en-US" w:eastAsia="zh-CN"/>
                    </w:rPr>
                    <w:t>0</w:t>
                  </w:r>
                </w:p>
              </w:tc>
              <w:tc>
                <w:tcPr>
                  <w:tcW w:w="641" w:type="pct"/>
                  <w:tcBorders>
                    <w:top w:val="single" w:color="auto" w:sz="4" w:space="0"/>
                    <w:left w:val="single" w:color="auto" w:sz="4" w:space="0"/>
                    <w:bottom w:val="single" w:color="auto" w:sz="4" w:space="0"/>
                    <w:right w:val="single" w:color="auto" w:sz="4" w:space="0"/>
                  </w:tcBorders>
                  <w:noWrap w:val="0"/>
                  <w:vAlign w:val="center"/>
                </w:tcPr>
                <w:p w14:paraId="6D99EA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b/>
                      <w:bCs/>
                      <w:color w:val="FF0000"/>
                      <w:sz w:val="21"/>
                      <w:szCs w:val="24"/>
                      <w:highlight w:val="yellow"/>
                    </w:rPr>
                  </w:pPr>
                  <w:r>
                    <w:rPr>
                      <w:rFonts w:hint="eastAsia" w:ascii="Times New Roman" w:hAnsi="Times New Roman" w:eastAsia="宋体"/>
                      <w:b/>
                      <w:bCs/>
                      <w:color w:val="auto"/>
                      <w:sz w:val="21"/>
                      <w:szCs w:val="24"/>
                      <w:highlight w:val="yellow"/>
                      <w:lang w:val="en-US" w:eastAsia="zh-CN"/>
                    </w:rPr>
                    <w:t>0</w:t>
                  </w:r>
                </w:p>
              </w:tc>
              <w:tc>
                <w:tcPr>
                  <w:tcW w:w="592" w:type="pct"/>
                  <w:tcBorders>
                    <w:top w:val="single" w:color="auto" w:sz="4" w:space="0"/>
                    <w:left w:val="single" w:color="auto" w:sz="4" w:space="0"/>
                    <w:bottom w:val="single" w:color="auto" w:sz="4" w:space="0"/>
                  </w:tcBorders>
                  <w:noWrap w:val="0"/>
                  <w:vAlign w:val="center"/>
                </w:tcPr>
                <w:p w14:paraId="7BF824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b/>
                      <w:bCs/>
                      <w:color w:val="FF0000"/>
                      <w:sz w:val="21"/>
                      <w:szCs w:val="24"/>
                      <w:highlight w:val="yellow"/>
                    </w:rPr>
                  </w:pPr>
                  <w:r>
                    <w:rPr>
                      <w:rFonts w:hint="eastAsia" w:ascii="Times New Roman" w:hAnsi="Times New Roman" w:eastAsia="宋体"/>
                      <w:b/>
                      <w:bCs/>
                      <w:color w:val="auto"/>
                      <w:sz w:val="21"/>
                      <w:szCs w:val="24"/>
                      <w:highlight w:val="yellow"/>
                      <w:lang w:val="en-US" w:eastAsia="zh-CN"/>
                    </w:rPr>
                    <w:t>/</w:t>
                  </w:r>
                </w:p>
              </w:tc>
            </w:tr>
            <w:tr w14:paraId="6BC6FB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1" w:type="pct"/>
                  <w:vMerge w:val="continue"/>
                  <w:tcBorders>
                    <w:bottom w:val="single" w:color="auto" w:sz="12" w:space="0"/>
                    <w:right w:val="single" w:color="auto" w:sz="4" w:space="0"/>
                  </w:tcBorders>
                  <w:noWrap w:val="0"/>
                  <w:vAlign w:val="center"/>
                </w:tcPr>
                <w:p w14:paraId="2A2E19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bCs/>
                      <w:color w:val="auto"/>
                      <w:sz w:val="21"/>
                      <w:szCs w:val="24"/>
                      <w:highlight w:val="yellow"/>
                    </w:rPr>
                  </w:pPr>
                </w:p>
              </w:tc>
              <w:tc>
                <w:tcPr>
                  <w:tcW w:w="691" w:type="pct"/>
                  <w:gridSpan w:val="2"/>
                  <w:tcBorders>
                    <w:top w:val="single" w:color="auto" w:sz="4" w:space="0"/>
                    <w:left w:val="single" w:color="auto" w:sz="4" w:space="0"/>
                    <w:bottom w:val="single" w:color="auto" w:sz="12" w:space="0"/>
                    <w:right w:val="single" w:color="auto" w:sz="4" w:space="0"/>
                  </w:tcBorders>
                  <w:noWrap w:val="0"/>
                  <w:vAlign w:val="center"/>
                </w:tcPr>
                <w:p w14:paraId="37CB83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bCs/>
                      <w:color w:val="auto"/>
                      <w:sz w:val="21"/>
                      <w:szCs w:val="24"/>
                      <w:highlight w:val="yellow"/>
                    </w:rPr>
                  </w:pPr>
                  <w:r>
                    <w:rPr>
                      <w:rFonts w:hint="default" w:ascii="Times New Roman" w:hAnsi="Times New Roman" w:eastAsia="宋体"/>
                      <w:color w:val="auto"/>
                      <w:kern w:val="0"/>
                      <w:sz w:val="21"/>
                      <w:szCs w:val="24"/>
                      <w:highlight w:val="yellow"/>
                    </w:rPr>
                    <w:t>生活垃圾</w:t>
                  </w:r>
                </w:p>
              </w:tc>
              <w:tc>
                <w:tcPr>
                  <w:tcW w:w="889" w:type="pct"/>
                  <w:tcBorders>
                    <w:top w:val="single" w:color="auto" w:sz="4" w:space="0"/>
                    <w:left w:val="single" w:color="auto" w:sz="4" w:space="0"/>
                    <w:bottom w:val="single" w:color="auto" w:sz="12" w:space="0"/>
                    <w:right w:val="single" w:color="auto" w:sz="4" w:space="0"/>
                  </w:tcBorders>
                  <w:noWrap w:val="0"/>
                  <w:vAlign w:val="center"/>
                </w:tcPr>
                <w:p w14:paraId="1F8020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olor w:val="auto"/>
                      <w:kern w:val="0"/>
                      <w:sz w:val="21"/>
                      <w:szCs w:val="24"/>
                      <w:highlight w:val="yellow"/>
                    </w:rPr>
                  </w:pPr>
                  <w:r>
                    <w:rPr>
                      <w:rFonts w:hint="eastAsia" w:ascii="Times New Roman" w:hAnsi="Times New Roman" w:eastAsia="宋体" w:cs="宋体"/>
                      <w:color w:val="auto"/>
                      <w:kern w:val="0"/>
                      <w:sz w:val="21"/>
                      <w:szCs w:val="24"/>
                      <w:highlight w:val="yellow"/>
                      <w:lang w:bidi="ar"/>
                    </w:rPr>
                    <w:t>生活垃圾</w:t>
                  </w:r>
                </w:p>
              </w:tc>
              <w:tc>
                <w:tcPr>
                  <w:tcW w:w="524" w:type="pct"/>
                  <w:tcBorders>
                    <w:top w:val="single" w:color="auto" w:sz="4" w:space="0"/>
                    <w:left w:val="single" w:color="auto" w:sz="4" w:space="0"/>
                    <w:bottom w:val="single" w:color="auto" w:sz="12" w:space="0"/>
                    <w:right w:val="single" w:color="auto" w:sz="4" w:space="0"/>
                  </w:tcBorders>
                  <w:noWrap w:val="0"/>
                  <w:vAlign w:val="center"/>
                </w:tcPr>
                <w:p w14:paraId="4A892C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bCs/>
                      <w:color w:val="auto"/>
                      <w:sz w:val="21"/>
                      <w:szCs w:val="24"/>
                      <w:highlight w:val="yellow"/>
                      <w:lang w:val="en-US" w:eastAsia="zh-CN"/>
                    </w:rPr>
                  </w:pPr>
                  <w:r>
                    <w:rPr>
                      <w:rFonts w:hint="eastAsia" w:ascii="Times New Roman" w:hAnsi="Times New Roman" w:eastAsia="宋体"/>
                      <w:bCs/>
                      <w:color w:val="auto"/>
                      <w:sz w:val="21"/>
                      <w:szCs w:val="24"/>
                      <w:highlight w:val="yellow"/>
                      <w:lang w:val="en-US" w:eastAsia="zh-CN"/>
                    </w:rPr>
                    <w:t>3.075</w:t>
                  </w:r>
                </w:p>
              </w:tc>
              <w:tc>
                <w:tcPr>
                  <w:tcW w:w="524" w:type="pct"/>
                  <w:tcBorders>
                    <w:top w:val="single" w:color="auto" w:sz="4" w:space="0"/>
                    <w:left w:val="single" w:color="auto" w:sz="4" w:space="0"/>
                    <w:bottom w:val="single" w:color="auto" w:sz="12" w:space="0"/>
                    <w:right w:val="single" w:color="auto" w:sz="4" w:space="0"/>
                  </w:tcBorders>
                  <w:noWrap w:val="0"/>
                  <w:vAlign w:val="center"/>
                </w:tcPr>
                <w:p w14:paraId="1C4953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bCs/>
                      <w:color w:val="auto"/>
                      <w:sz w:val="21"/>
                      <w:szCs w:val="24"/>
                      <w:highlight w:val="yellow"/>
                      <w:lang w:val="en-US" w:eastAsia="zh-CN"/>
                    </w:rPr>
                  </w:pPr>
                  <w:r>
                    <w:rPr>
                      <w:rFonts w:hint="eastAsia" w:ascii="Times New Roman" w:hAnsi="Times New Roman" w:eastAsia="宋体"/>
                      <w:bCs/>
                      <w:color w:val="auto"/>
                      <w:sz w:val="21"/>
                      <w:szCs w:val="24"/>
                      <w:highlight w:val="yellow"/>
                      <w:lang w:val="en-US" w:eastAsia="zh-CN"/>
                    </w:rPr>
                    <w:t>3.075</w:t>
                  </w:r>
                </w:p>
              </w:tc>
              <w:tc>
                <w:tcPr>
                  <w:tcW w:w="665" w:type="pct"/>
                  <w:tcBorders>
                    <w:top w:val="single" w:color="auto" w:sz="4" w:space="0"/>
                    <w:left w:val="single" w:color="auto" w:sz="4" w:space="0"/>
                    <w:bottom w:val="single" w:color="auto" w:sz="12" w:space="0"/>
                    <w:right w:val="single" w:color="auto" w:sz="4" w:space="0"/>
                  </w:tcBorders>
                  <w:noWrap w:val="0"/>
                  <w:vAlign w:val="center"/>
                </w:tcPr>
                <w:p w14:paraId="03E383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bCs/>
                      <w:color w:val="auto"/>
                      <w:sz w:val="21"/>
                      <w:szCs w:val="24"/>
                      <w:highlight w:val="yellow"/>
                      <w:lang w:val="en-US" w:eastAsia="zh-CN"/>
                    </w:rPr>
                  </w:pPr>
                  <w:r>
                    <w:rPr>
                      <w:rFonts w:hint="eastAsia" w:ascii="Times New Roman" w:hAnsi="Times New Roman" w:eastAsia="宋体"/>
                      <w:bCs/>
                      <w:color w:val="auto"/>
                      <w:sz w:val="21"/>
                      <w:szCs w:val="24"/>
                      <w:highlight w:val="yellow"/>
                      <w:lang w:val="en-US" w:eastAsia="zh-CN"/>
                    </w:rPr>
                    <w:t>0</w:t>
                  </w:r>
                </w:p>
              </w:tc>
              <w:tc>
                <w:tcPr>
                  <w:tcW w:w="641" w:type="pct"/>
                  <w:tcBorders>
                    <w:top w:val="single" w:color="auto" w:sz="4" w:space="0"/>
                    <w:left w:val="single" w:color="auto" w:sz="4" w:space="0"/>
                    <w:bottom w:val="single" w:color="auto" w:sz="12" w:space="0"/>
                    <w:right w:val="single" w:color="auto" w:sz="4" w:space="0"/>
                  </w:tcBorders>
                  <w:noWrap w:val="0"/>
                  <w:vAlign w:val="center"/>
                </w:tcPr>
                <w:p w14:paraId="244D97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bCs/>
                      <w:color w:val="auto"/>
                      <w:sz w:val="21"/>
                      <w:szCs w:val="24"/>
                      <w:highlight w:val="yellow"/>
                      <w:lang w:val="en-US" w:eastAsia="zh-CN"/>
                    </w:rPr>
                  </w:pPr>
                  <w:r>
                    <w:rPr>
                      <w:rFonts w:hint="eastAsia" w:ascii="Times New Roman" w:hAnsi="Times New Roman" w:eastAsia="宋体"/>
                      <w:bCs/>
                      <w:color w:val="auto"/>
                      <w:sz w:val="21"/>
                      <w:szCs w:val="24"/>
                      <w:highlight w:val="yellow"/>
                      <w:lang w:val="en-US" w:eastAsia="zh-CN"/>
                    </w:rPr>
                    <w:t>0</w:t>
                  </w:r>
                </w:p>
              </w:tc>
              <w:tc>
                <w:tcPr>
                  <w:tcW w:w="592" w:type="pct"/>
                  <w:tcBorders>
                    <w:top w:val="single" w:color="auto" w:sz="4" w:space="0"/>
                    <w:left w:val="single" w:color="auto" w:sz="4" w:space="0"/>
                    <w:bottom w:val="single" w:color="auto" w:sz="12" w:space="0"/>
                  </w:tcBorders>
                  <w:noWrap w:val="0"/>
                  <w:vAlign w:val="center"/>
                </w:tcPr>
                <w:p w14:paraId="48FD8E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bCs/>
                      <w:color w:val="auto"/>
                      <w:sz w:val="21"/>
                      <w:szCs w:val="24"/>
                      <w:highlight w:val="yellow"/>
                      <w:lang w:val="en-US" w:eastAsia="zh-CN"/>
                    </w:rPr>
                  </w:pPr>
                  <w:r>
                    <w:rPr>
                      <w:rFonts w:hint="eastAsia" w:ascii="Times New Roman" w:hAnsi="Times New Roman" w:eastAsia="宋体"/>
                      <w:bCs/>
                      <w:color w:val="auto"/>
                      <w:sz w:val="21"/>
                      <w:szCs w:val="24"/>
                      <w:highlight w:val="yellow"/>
                      <w:lang w:val="en-US" w:eastAsia="zh-CN"/>
                    </w:rPr>
                    <w:t>/</w:t>
                  </w:r>
                </w:p>
              </w:tc>
            </w:tr>
          </w:tbl>
          <w:p w14:paraId="08953F10">
            <w:pPr>
              <w:keepNext w:val="0"/>
              <w:keepLines w:val="0"/>
              <w:pageBreakBefore w:val="0"/>
              <w:widowControl w:val="0"/>
              <w:suppressLineNumbers w:val="0"/>
              <w:kinsoku/>
              <w:wordWrap/>
              <w:overflowPunct/>
              <w:topLinePunct w:val="0"/>
              <w:autoSpaceDE/>
              <w:autoSpaceDN/>
              <w:bidi w:val="0"/>
              <w:adjustRightInd w:val="0"/>
              <w:snapToGrid w:val="0"/>
              <w:spacing w:before="161" w:beforeLines="5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废水：本项目生活污水、淋浴废水经化粪池预处理后与</w:t>
            </w:r>
            <w:r>
              <w:rPr>
                <w:rFonts w:hint="eastAsia" w:cs="Times New Roman"/>
                <w:color w:val="auto"/>
                <w:sz w:val="24"/>
                <w:highlight w:val="none"/>
                <w:lang w:val="en-US" w:eastAsia="zh-CN"/>
              </w:rPr>
              <w:t>纯水制备浓水、水浴锅排水</w:t>
            </w:r>
            <w:r>
              <w:rPr>
                <w:rFonts w:hint="eastAsia" w:ascii="Times New Roman" w:hAnsi="Times New Roman" w:eastAsia="宋体" w:cs="Times New Roman"/>
                <w:color w:val="auto"/>
                <w:sz w:val="24"/>
                <w:highlight w:val="none"/>
                <w:lang w:val="en-US" w:eastAsia="zh-CN"/>
              </w:rPr>
              <w:t>一同通过DW001接管口接管至</w:t>
            </w:r>
            <w:r>
              <w:rPr>
                <w:rFonts w:hint="eastAsia" w:cs="Times New Roman"/>
                <w:color w:val="auto"/>
                <w:sz w:val="24"/>
                <w:highlight w:val="none"/>
                <w:lang w:val="en-US" w:eastAsia="zh-CN"/>
              </w:rPr>
              <w:t>太湖新城污水处理厂进行处理</w:t>
            </w:r>
            <w:r>
              <w:rPr>
                <w:rFonts w:hint="eastAsia" w:ascii="Times New Roman" w:hAnsi="Times New Roman" w:eastAsia="宋体" w:cs="Times New Roman"/>
                <w:color w:val="auto"/>
                <w:sz w:val="24"/>
                <w:highlight w:val="none"/>
                <w:lang w:val="en-US" w:eastAsia="zh-CN"/>
              </w:rPr>
              <w:t>，废水总量已纳入</w:t>
            </w:r>
            <w:r>
              <w:rPr>
                <w:rFonts w:hint="eastAsia" w:cs="Times New Roman"/>
                <w:color w:val="auto"/>
                <w:sz w:val="24"/>
                <w:highlight w:val="none"/>
                <w:lang w:val="en-US" w:eastAsia="zh-CN"/>
              </w:rPr>
              <w:t>太湖新城污水处理厂</w:t>
            </w:r>
            <w:r>
              <w:rPr>
                <w:rFonts w:hint="eastAsia" w:ascii="Times New Roman" w:hAnsi="Times New Roman" w:eastAsia="宋体" w:cs="Times New Roman"/>
                <w:color w:val="auto"/>
                <w:sz w:val="24"/>
                <w:highlight w:val="none"/>
                <w:lang w:val="en-US" w:eastAsia="zh-CN"/>
              </w:rPr>
              <w:t>的排污总量，可以在</w:t>
            </w:r>
            <w:r>
              <w:rPr>
                <w:rFonts w:hint="eastAsia" w:cs="Times New Roman"/>
                <w:color w:val="auto"/>
                <w:sz w:val="24"/>
                <w:highlight w:val="none"/>
                <w:lang w:val="en-US" w:eastAsia="zh-CN"/>
              </w:rPr>
              <w:t>太湖新城污水处理厂</w:t>
            </w:r>
            <w:r>
              <w:rPr>
                <w:rFonts w:hint="eastAsia" w:ascii="Times New Roman" w:hAnsi="Times New Roman" w:eastAsia="宋体" w:cs="Times New Roman"/>
                <w:color w:val="auto"/>
                <w:sz w:val="24"/>
                <w:highlight w:val="none"/>
                <w:lang w:val="en-US" w:eastAsia="zh-CN"/>
              </w:rPr>
              <w:t>的污染物排放总量控制指标内进行平衡。</w:t>
            </w:r>
          </w:p>
          <w:p w14:paraId="17BBB99D">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Calibri"/>
                <w:color w:val="auto"/>
                <w:sz w:val="24"/>
                <w:highlight w:val="none"/>
              </w:rPr>
            </w:pPr>
            <w:r>
              <w:rPr>
                <w:rFonts w:hint="default" w:ascii="Times New Roman" w:hAnsi="Times New Roman" w:eastAsia="宋体" w:cs="Calibri"/>
                <w:color w:val="auto"/>
                <w:sz w:val="24"/>
                <w:highlight w:val="none"/>
              </w:rPr>
              <w:t>废气：</w:t>
            </w:r>
            <w:r>
              <w:rPr>
                <w:rFonts w:hint="default" w:ascii="Times New Roman" w:hAnsi="Times New Roman" w:eastAsia="宋体" w:cs="Calibri"/>
                <w:color w:val="auto"/>
                <w:sz w:val="24"/>
                <w:highlight w:val="none"/>
                <w:lang w:eastAsia="zh-CN"/>
              </w:rPr>
              <w:t>废气污染物排放总量在无锡市新吴区区域内平衡</w:t>
            </w:r>
            <w:r>
              <w:rPr>
                <w:rFonts w:hint="default" w:ascii="Times New Roman" w:hAnsi="Times New Roman" w:eastAsia="宋体" w:cs="Calibri"/>
                <w:color w:val="auto"/>
                <w:sz w:val="24"/>
                <w:highlight w:val="none"/>
              </w:rPr>
              <w:t>。</w:t>
            </w:r>
          </w:p>
          <w:p w14:paraId="7D0D2C86">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Calibri"/>
                <w:color w:val="auto"/>
                <w:sz w:val="24"/>
                <w:highlight w:val="none"/>
              </w:rPr>
            </w:pPr>
            <w:r>
              <w:rPr>
                <w:rFonts w:hint="default" w:ascii="Times New Roman" w:hAnsi="Times New Roman" w:eastAsia="宋体" w:cs="Calibri"/>
                <w:color w:val="auto"/>
                <w:sz w:val="24"/>
                <w:highlight w:val="none"/>
              </w:rPr>
              <w:t>固废：零排放。</w:t>
            </w:r>
          </w:p>
          <w:p w14:paraId="424643DA">
            <w:pPr>
              <w:pStyle w:val="13"/>
              <w:keepNext w:val="0"/>
              <w:keepLines w:val="0"/>
              <w:numPr>
                <w:ilvl w:val="0"/>
                <w:numId w:val="0"/>
              </w:numPr>
              <w:suppressLineNumbers w:val="0"/>
              <w:snapToGrid w:val="0"/>
              <w:spacing w:before="0" w:beforeAutospacing="0" w:after="0" w:afterAutospacing="0"/>
              <w:ind w:left="0" w:right="0"/>
              <w:rPr>
                <w:rFonts w:hint="default" w:ascii="Times New Roman" w:hAnsi="Times New Roman" w:eastAsia="宋体" w:cs="Calibri"/>
                <w:color w:val="auto"/>
                <w:sz w:val="24"/>
                <w:szCs w:val="32"/>
                <w:highlight w:val="none"/>
              </w:rPr>
            </w:pPr>
          </w:p>
          <w:p w14:paraId="0B3DAFA5">
            <w:pPr>
              <w:pStyle w:val="13"/>
              <w:keepNext w:val="0"/>
              <w:keepLines w:val="0"/>
              <w:numPr>
                <w:ilvl w:val="0"/>
                <w:numId w:val="0"/>
              </w:numPr>
              <w:suppressLineNumbers w:val="0"/>
              <w:snapToGrid w:val="0"/>
              <w:spacing w:before="0" w:beforeAutospacing="0" w:after="0" w:afterAutospacing="0"/>
              <w:ind w:left="0" w:right="0"/>
              <w:rPr>
                <w:rFonts w:hint="default" w:ascii="Times New Roman" w:hAnsi="Times New Roman" w:eastAsia="宋体" w:cs="Calibri"/>
                <w:color w:val="auto"/>
                <w:sz w:val="24"/>
                <w:szCs w:val="32"/>
                <w:highlight w:val="none"/>
              </w:rPr>
            </w:pPr>
          </w:p>
          <w:p w14:paraId="6553554C">
            <w:pPr>
              <w:pStyle w:val="13"/>
              <w:keepNext w:val="0"/>
              <w:keepLines w:val="0"/>
              <w:numPr>
                <w:ilvl w:val="0"/>
                <w:numId w:val="0"/>
              </w:numPr>
              <w:suppressLineNumbers w:val="0"/>
              <w:snapToGrid w:val="0"/>
              <w:spacing w:before="0" w:beforeAutospacing="0" w:after="0" w:afterAutospacing="0"/>
              <w:ind w:left="0" w:right="0"/>
              <w:rPr>
                <w:rFonts w:hint="default" w:ascii="Times New Roman" w:hAnsi="Times New Roman" w:eastAsia="宋体" w:cs="Calibri"/>
                <w:color w:val="auto"/>
                <w:sz w:val="24"/>
                <w:szCs w:val="32"/>
                <w:highlight w:val="none"/>
              </w:rPr>
            </w:pPr>
          </w:p>
          <w:p w14:paraId="2493C0CA">
            <w:pPr>
              <w:pStyle w:val="13"/>
              <w:keepNext w:val="0"/>
              <w:keepLines w:val="0"/>
              <w:numPr>
                <w:ilvl w:val="0"/>
                <w:numId w:val="0"/>
              </w:numPr>
              <w:suppressLineNumbers w:val="0"/>
              <w:snapToGrid w:val="0"/>
              <w:spacing w:before="0" w:beforeAutospacing="0" w:after="0" w:afterAutospacing="0"/>
              <w:ind w:left="0" w:right="0"/>
              <w:rPr>
                <w:rFonts w:hint="default" w:ascii="Times New Roman" w:hAnsi="Times New Roman" w:eastAsia="宋体" w:cs="Calibri"/>
                <w:color w:val="auto"/>
                <w:sz w:val="24"/>
                <w:szCs w:val="32"/>
                <w:highlight w:val="none"/>
              </w:rPr>
            </w:pPr>
          </w:p>
          <w:p w14:paraId="3CD44069">
            <w:pPr>
              <w:pStyle w:val="13"/>
              <w:keepNext w:val="0"/>
              <w:keepLines w:val="0"/>
              <w:numPr>
                <w:ilvl w:val="0"/>
                <w:numId w:val="0"/>
              </w:numPr>
              <w:suppressLineNumbers w:val="0"/>
              <w:snapToGrid w:val="0"/>
              <w:spacing w:before="0" w:beforeAutospacing="0" w:after="0" w:afterAutospacing="0"/>
              <w:ind w:left="0" w:leftChars="0" w:right="0" w:rightChars="0" w:firstLine="0" w:firstLineChars="0"/>
              <w:rPr>
                <w:rFonts w:hint="default" w:ascii="Times New Roman" w:hAnsi="Times New Roman" w:eastAsia="宋体" w:cs="Calibri"/>
                <w:color w:val="auto"/>
                <w:sz w:val="24"/>
                <w:szCs w:val="32"/>
                <w:highlight w:val="none"/>
              </w:rPr>
            </w:pPr>
          </w:p>
          <w:p w14:paraId="0D8531EF">
            <w:pPr>
              <w:pStyle w:val="13"/>
              <w:keepNext w:val="0"/>
              <w:keepLines w:val="0"/>
              <w:numPr>
                <w:ilvl w:val="0"/>
                <w:numId w:val="0"/>
              </w:numPr>
              <w:suppressLineNumbers w:val="0"/>
              <w:snapToGrid w:val="0"/>
              <w:spacing w:before="0" w:beforeAutospacing="0" w:after="0" w:afterAutospacing="0"/>
              <w:ind w:left="0" w:leftChars="0" w:right="0" w:rightChars="0" w:firstLine="0" w:firstLineChars="0"/>
              <w:rPr>
                <w:rFonts w:hint="default" w:ascii="Times New Roman" w:hAnsi="Times New Roman" w:eastAsia="宋体" w:cs="Calibri"/>
                <w:color w:val="auto"/>
                <w:sz w:val="24"/>
                <w:szCs w:val="32"/>
                <w:highlight w:val="none"/>
              </w:rPr>
            </w:pPr>
          </w:p>
          <w:p w14:paraId="66509457">
            <w:pPr>
              <w:pStyle w:val="13"/>
              <w:keepNext w:val="0"/>
              <w:keepLines w:val="0"/>
              <w:numPr>
                <w:ilvl w:val="0"/>
                <w:numId w:val="0"/>
              </w:numPr>
              <w:suppressLineNumbers w:val="0"/>
              <w:snapToGrid w:val="0"/>
              <w:spacing w:before="0" w:beforeAutospacing="0" w:after="0" w:afterAutospacing="0"/>
              <w:ind w:left="0" w:leftChars="0" w:right="0" w:rightChars="0" w:firstLine="0" w:firstLineChars="0"/>
              <w:rPr>
                <w:rFonts w:hint="default" w:ascii="Times New Roman" w:hAnsi="Times New Roman" w:eastAsia="宋体" w:cs="Calibri"/>
                <w:color w:val="auto"/>
                <w:sz w:val="24"/>
                <w:szCs w:val="32"/>
                <w:highlight w:val="none"/>
              </w:rPr>
            </w:pPr>
          </w:p>
        </w:tc>
      </w:tr>
    </w:tbl>
    <w:p w14:paraId="5B1A928F">
      <w:pPr>
        <w:rPr>
          <w:rFonts w:ascii="Times New Roman" w:hAnsi="Times New Roman" w:eastAsia="宋体"/>
          <w:snapToGrid w:val="0"/>
          <w:color w:val="auto"/>
          <w:sz w:val="30"/>
          <w:szCs w:val="30"/>
          <w:highlight w:val="none"/>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0" w:num="1"/>
          <w:docGrid w:type="lines" w:linePitch="319" w:charSpace="0"/>
        </w:sectPr>
      </w:pPr>
    </w:p>
    <w:p w14:paraId="4A42A64A">
      <w:pPr>
        <w:pStyle w:val="24"/>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Times New Roman" w:hAnsi="Times New Roman" w:eastAsia="宋体"/>
          <w:snapToGrid w:val="0"/>
          <w:color w:val="auto"/>
          <w:sz w:val="30"/>
          <w:szCs w:val="30"/>
          <w:highlight w:val="none"/>
          <w:lang w:eastAsia="zh-CN"/>
        </w:rPr>
      </w:pPr>
      <w:bookmarkStart w:id="6" w:name="_Toc6071"/>
      <w:r>
        <w:rPr>
          <w:rFonts w:ascii="Times New Roman" w:hAnsi="Times New Roman" w:eastAsia="宋体"/>
          <w:snapToGrid w:val="0"/>
          <w:color w:val="auto"/>
          <w:sz w:val="30"/>
          <w:szCs w:val="30"/>
          <w:highlight w:val="none"/>
        </w:rPr>
        <w:t>四、主要环境影响和保护措施</w:t>
      </w:r>
      <w:bookmarkEnd w:id="6"/>
    </w:p>
    <w:tbl>
      <w:tblPr>
        <w:tblStyle w:val="25"/>
        <w:tblW w:w="583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7"/>
        <w:gridCol w:w="9393"/>
      </w:tblGrid>
      <w:tr w14:paraId="24DB13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976" w:hRule="atLeast"/>
          <w:jc w:val="center"/>
        </w:trPr>
        <w:tc>
          <w:tcPr>
            <w:tcW w:w="232" w:type="pct"/>
            <w:tcMar>
              <w:left w:w="28" w:type="dxa"/>
              <w:right w:w="28" w:type="dxa"/>
            </w:tcMar>
            <w:vAlign w:val="center"/>
          </w:tcPr>
          <w:p w14:paraId="36F2C5C0">
            <w:pPr>
              <w:pStyle w:val="24"/>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kern w:val="2"/>
                <w:szCs w:val="24"/>
                <w:highlight w:val="none"/>
              </w:rPr>
            </w:pPr>
            <w:r>
              <w:rPr>
                <w:rFonts w:hint="default" w:ascii="Times New Roman" w:hAnsi="Times New Roman" w:eastAsia="宋体"/>
                <w:color w:val="auto"/>
                <w:kern w:val="2"/>
                <w:szCs w:val="24"/>
                <w:highlight w:val="none"/>
              </w:rPr>
              <w:t>施工</w:t>
            </w:r>
          </w:p>
          <w:p w14:paraId="625F63A7">
            <w:pPr>
              <w:pStyle w:val="24"/>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kern w:val="2"/>
                <w:szCs w:val="24"/>
                <w:highlight w:val="none"/>
              </w:rPr>
            </w:pPr>
            <w:r>
              <w:rPr>
                <w:rFonts w:hint="default" w:ascii="Times New Roman" w:hAnsi="Times New Roman" w:eastAsia="宋体"/>
                <w:color w:val="auto"/>
                <w:kern w:val="2"/>
                <w:szCs w:val="24"/>
                <w:highlight w:val="none"/>
              </w:rPr>
              <w:t>期环</w:t>
            </w:r>
          </w:p>
          <w:p w14:paraId="6AF85494">
            <w:pPr>
              <w:pStyle w:val="24"/>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kern w:val="2"/>
                <w:szCs w:val="24"/>
                <w:highlight w:val="none"/>
              </w:rPr>
            </w:pPr>
            <w:r>
              <w:rPr>
                <w:rFonts w:hint="default" w:ascii="Times New Roman" w:hAnsi="Times New Roman" w:eastAsia="宋体"/>
                <w:color w:val="auto"/>
                <w:kern w:val="2"/>
                <w:szCs w:val="24"/>
                <w:highlight w:val="none"/>
              </w:rPr>
              <w:t>境保</w:t>
            </w:r>
          </w:p>
          <w:p w14:paraId="651C7064">
            <w:pPr>
              <w:pStyle w:val="24"/>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kern w:val="2"/>
                <w:szCs w:val="24"/>
                <w:highlight w:val="none"/>
              </w:rPr>
            </w:pPr>
            <w:r>
              <w:rPr>
                <w:rFonts w:hint="default" w:ascii="Times New Roman" w:hAnsi="Times New Roman" w:eastAsia="宋体"/>
                <w:color w:val="auto"/>
                <w:kern w:val="2"/>
                <w:szCs w:val="24"/>
                <w:highlight w:val="none"/>
              </w:rPr>
              <w:t>护措</w:t>
            </w:r>
          </w:p>
          <w:p w14:paraId="77770CC1">
            <w:pPr>
              <w:pStyle w:val="24"/>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Cs/>
                <w:color w:val="auto"/>
                <w:kern w:val="2"/>
                <w:szCs w:val="24"/>
                <w:highlight w:val="none"/>
              </w:rPr>
            </w:pPr>
            <w:r>
              <w:rPr>
                <w:rFonts w:hint="default" w:ascii="Times New Roman" w:hAnsi="Times New Roman" w:eastAsia="宋体"/>
                <w:color w:val="auto"/>
                <w:kern w:val="2"/>
                <w:szCs w:val="24"/>
                <w:highlight w:val="none"/>
              </w:rPr>
              <w:t>施</w:t>
            </w:r>
          </w:p>
        </w:tc>
        <w:tc>
          <w:tcPr>
            <w:tcW w:w="4767" w:type="pct"/>
          </w:tcPr>
          <w:p w14:paraId="1E00E742">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textAlignment w:val="auto"/>
              <w:rPr>
                <w:rFonts w:hint="default"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lang w:val="en-US" w:eastAsia="zh-CN"/>
              </w:rPr>
              <w:t>本</w:t>
            </w:r>
            <w:r>
              <w:rPr>
                <w:rFonts w:hint="default" w:ascii="Times New Roman" w:hAnsi="Times New Roman" w:eastAsia="宋体"/>
                <w:color w:val="auto"/>
                <w:sz w:val="24"/>
                <w:szCs w:val="24"/>
                <w:highlight w:val="none"/>
              </w:rPr>
              <w:t>项目</w:t>
            </w:r>
            <w:r>
              <w:rPr>
                <w:rFonts w:hint="eastAsia" w:ascii="Times New Roman" w:hAnsi="Times New Roman" w:eastAsia="宋体"/>
                <w:color w:val="auto"/>
                <w:sz w:val="24"/>
                <w:szCs w:val="24"/>
                <w:highlight w:val="none"/>
                <w:lang w:val="en-US" w:eastAsia="zh-CN"/>
              </w:rPr>
              <w:t>租赁</w:t>
            </w:r>
            <w:r>
              <w:rPr>
                <w:rFonts w:hint="eastAsia"/>
                <w:color w:val="auto"/>
                <w:sz w:val="24"/>
                <w:szCs w:val="24"/>
                <w:highlight w:val="none"/>
                <w:lang w:val="en-US" w:eastAsia="zh-CN"/>
              </w:rPr>
              <w:t>无锡生命科学产业发展有限公司</w:t>
            </w:r>
            <w:r>
              <w:rPr>
                <w:rFonts w:hint="eastAsia" w:ascii="Times New Roman" w:hAnsi="Times New Roman" w:eastAsia="宋体"/>
                <w:color w:val="auto"/>
                <w:sz w:val="24"/>
                <w:szCs w:val="24"/>
                <w:highlight w:val="none"/>
                <w:lang w:val="en-US" w:eastAsia="zh-CN"/>
              </w:rPr>
              <w:t>现有厂房进行研发生产</w:t>
            </w:r>
            <w:r>
              <w:rPr>
                <w:rFonts w:hint="default" w:ascii="Times New Roman" w:hAnsi="Times New Roman" w:eastAsia="宋体"/>
                <w:color w:val="auto"/>
                <w:sz w:val="24"/>
                <w:szCs w:val="24"/>
                <w:highlight w:val="none"/>
              </w:rPr>
              <w:t>，不新建建筑</w:t>
            </w:r>
            <w:r>
              <w:rPr>
                <w:rFonts w:hint="eastAsia" w:ascii="Times New Roman" w:hAnsi="Times New Roman" w:eastAsia="宋体"/>
                <w:color w:val="auto"/>
                <w:sz w:val="24"/>
                <w:szCs w:val="24"/>
                <w:highlight w:val="none"/>
                <w:lang w:eastAsia="zh-CN"/>
              </w:rPr>
              <w:t>。</w:t>
            </w:r>
            <w:r>
              <w:rPr>
                <w:rFonts w:hint="default" w:ascii="Times New Roman" w:hAnsi="Times New Roman" w:eastAsia="宋体"/>
                <w:color w:val="auto"/>
                <w:sz w:val="24"/>
                <w:szCs w:val="24"/>
                <w:highlight w:val="none"/>
              </w:rPr>
              <w:t>在施工期对周围环境产生的影响主要是</w:t>
            </w:r>
            <w:r>
              <w:rPr>
                <w:rFonts w:hint="eastAsia" w:ascii="Times New Roman" w:hAnsi="Times New Roman" w:eastAsia="宋体"/>
                <w:color w:val="auto"/>
                <w:sz w:val="24"/>
                <w:szCs w:val="24"/>
                <w:highlight w:val="none"/>
                <w:lang w:eastAsia="zh-CN"/>
              </w:rPr>
              <w:t>厂房内的装修、</w:t>
            </w:r>
            <w:r>
              <w:rPr>
                <w:rFonts w:hint="default" w:ascii="Times New Roman" w:hAnsi="Times New Roman" w:eastAsia="宋体"/>
                <w:color w:val="auto"/>
                <w:sz w:val="24"/>
                <w:szCs w:val="24"/>
                <w:highlight w:val="none"/>
              </w:rPr>
              <w:t>生产设备的安装和调试期间产生的废气、噪声和少量建筑垃圾。废气主要来源于运输车辆所排放的废气及少量扬尘；噪声主要是运输机械和安装设备产生的噪声；固体废弃物主要为少量建筑垃圾和设备包装箱等。</w:t>
            </w:r>
          </w:p>
          <w:p w14:paraId="393F65F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为防止建设项目在建设期间发生上述环境污染的现象，使建设项目在建设期间对周围环境的影响尽可能小，建议采取以下的污染防治措施：</w:t>
            </w:r>
          </w:p>
          <w:p w14:paraId="52C6E49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1、合理安排设施的使用，减少噪声设备的使用时间。</w:t>
            </w:r>
          </w:p>
          <w:p w14:paraId="67D12EF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2、对施工产生的固体废物，应尽可能利用或及时运走。</w:t>
            </w:r>
          </w:p>
          <w:p w14:paraId="5445EC2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3、注意清洁运输，防止在装卸、运输过程中的撒漏、扬尘及噪声。</w:t>
            </w:r>
          </w:p>
          <w:p w14:paraId="6F48EE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bCs/>
                <w:color w:val="auto"/>
                <w:spacing w:val="-10"/>
                <w:sz w:val="24"/>
                <w:highlight w:val="none"/>
              </w:rPr>
            </w:pPr>
            <w:r>
              <w:rPr>
                <w:rFonts w:hint="default" w:ascii="Times New Roman" w:hAnsi="Times New Roman" w:eastAsia="宋体"/>
                <w:color w:val="auto"/>
                <w:sz w:val="24"/>
                <w:szCs w:val="24"/>
                <w:highlight w:val="none"/>
              </w:rPr>
              <w:t>4、建设单位应做好施工期管理工作，以减小对周围环境的影响。</w:t>
            </w:r>
          </w:p>
        </w:tc>
      </w:tr>
      <w:tr w14:paraId="606BEF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99" w:hRule="atLeast"/>
          <w:jc w:val="center"/>
        </w:trPr>
        <w:tc>
          <w:tcPr>
            <w:tcW w:w="232" w:type="pct"/>
            <w:tcMar>
              <w:left w:w="28" w:type="dxa"/>
              <w:right w:w="28" w:type="dxa"/>
            </w:tcMar>
            <w:vAlign w:val="center"/>
          </w:tcPr>
          <w:p w14:paraId="55FDF9D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Cs/>
                <w:color w:val="auto"/>
                <w:sz w:val="24"/>
                <w:highlight w:val="none"/>
              </w:rPr>
            </w:pPr>
            <w:r>
              <w:rPr>
                <w:rFonts w:hint="default" w:ascii="Times New Roman" w:hAnsi="Times New Roman" w:eastAsia="宋体"/>
                <w:bCs/>
                <w:color w:val="auto"/>
                <w:sz w:val="24"/>
                <w:highlight w:val="none"/>
              </w:rPr>
              <w:t>运营</w:t>
            </w:r>
          </w:p>
          <w:p w14:paraId="019104D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Cs/>
                <w:color w:val="auto"/>
                <w:sz w:val="24"/>
                <w:highlight w:val="none"/>
              </w:rPr>
            </w:pPr>
            <w:r>
              <w:rPr>
                <w:rFonts w:hint="default" w:ascii="Times New Roman" w:hAnsi="Times New Roman" w:eastAsia="宋体"/>
                <w:bCs/>
                <w:color w:val="auto"/>
                <w:sz w:val="24"/>
                <w:highlight w:val="none"/>
              </w:rPr>
              <w:t>期环</w:t>
            </w:r>
          </w:p>
          <w:p w14:paraId="3BFAC77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Cs/>
                <w:color w:val="auto"/>
                <w:sz w:val="24"/>
                <w:highlight w:val="none"/>
              </w:rPr>
            </w:pPr>
            <w:r>
              <w:rPr>
                <w:rFonts w:hint="default" w:ascii="Times New Roman" w:hAnsi="Times New Roman" w:eastAsia="宋体"/>
                <w:bCs/>
                <w:color w:val="auto"/>
                <w:sz w:val="24"/>
                <w:highlight w:val="none"/>
              </w:rPr>
              <w:t>境影</w:t>
            </w:r>
          </w:p>
          <w:p w14:paraId="1111BC9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Cs/>
                <w:color w:val="auto"/>
                <w:sz w:val="24"/>
                <w:highlight w:val="none"/>
              </w:rPr>
            </w:pPr>
            <w:r>
              <w:rPr>
                <w:rFonts w:hint="default" w:ascii="Times New Roman" w:hAnsi="Times New Roman" w:eastAsia="宋体"/>
                <w:bCs/>
                <w:color w:val="auto"/>
                <w:sz w:val="24"/>
                <w:highlight w:val="none"/>
              </w:rPr>
              <w:t>响和</w:t>
            </w:r>
          </w:p>
          <w:p w14:paraId="40956C1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Cs/>
                <w:color w:val="auto"/>
                <w:sz w:val="24"/>
                <w:highlight w:val="none"/>
              </w:rPr>
            </w:pPr>
            <w:r>
              <w:rPr>
                <w:rFonts w:hint="default" w:ascii="Times New Roman" w:hAnsi="Times New Roman" w:eastAsia="宋体"/>
                <w:bCs/>
                <w:color w:val="auto"/>
                <w:sz w:val="24"/>
                <w:highlight w:val="none"/>
              </w:rPr>
              <w:t>保护</w:t>
            </w:r>
          </w:p>
          <w:p w14:paraId="223821D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kern w:val="2"/>
                <w:szCs w:val="24"/>
                <w:highlight w:val="none"/>
              </w:rPr>
            </w:pPr>
            <w:r>
              <w:rPr>
                <w:rFonts w:hint="default" w:ascii="Times New Roman" w:hAnsi="Times New Roman" w:eastAsia="宋体"/>
                <w:bCs/>
                <w:color w:val="auto"/>
                <w:sz w:val="24"/>
                <w:highlight w:val="none"/>
              </w:rPr>
              <w:t>措施</w:t>
            </w:r>
          </w:p>
        </w:tc>
        <w:tc>
          <w:tcPr>
            <w:tcW w:w="4767" w:type="pct"/>
            <w:vAlign w:val="center"/>
          </w:tcPr>
          <w:p w14:paraId="2254405B">
            <w:pPr>
              <w:keepNext w:val="0"/>
              <w:keepLines w:val="0"/>
              <w:numPr>
                <w:ilvl w:val="0"/>
                <w:numId w:val="0"/>
              </w:numPr>
              <w:suppressLineNumbers w:val="0"/>
              <w:autoSpaceDE w:val="0"/>
              <w:spacing w:before="0" w:beforeAutospacing="0" w:after="0" w:afterAutospacing="0" w:line="360" w:lineRule="auto"/>
              <w:ind w:left="0" w:right="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kern w:val="2"/>
                <w:sz w:val="24"/>
                <w:szCs w:val="24"/>
                <w:highlight w:val="none"/>
                <w:lang w:val="en-US" w:eastAsia="zh-CN" w:bidi="ar-SA"/>
              </w:rPr>
              <w:t>1、</w:t>
            </w:r>
            <w:r>
              <w:rPr>
                <w:rFonts w:hint="default" w:ascii="Times New Roman" w:hAnsi="Times New Roman" w:eastAsia="宋体" w:cs="Times New Roman"/>
                <w:b/>
                <w:bCs/>
                <w:color w:val="auto"/>
                <w:sz w:val="24"/>
                <w:highlight w:val="none"/>
              </w:rPr>
              <w:t>废气</w:t>
            </w:r>
          </w:p>
          <w:p w14:paraId="3C117727">
            <w:pPr>
              <w:keepNext w:val="0"/>
              <w:keepLines w:val="0"/>
              <w:numPr>
                <w:ilvl w:val="0"/>
                <w:numId w:val="0"/>
              </w:numPr>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（1）</w:t>
            </w:r>
            <w:r>
              <w:rPr>
                <w:rFonts w:hint="eastAsia" w:cs="Times New Roman"/>
                <w:b/>
                <w:bCs/>
                <w:color w:val="auto"/>
                <w:sz w:val="24"/>
                <w:highlight w:val="none"/>
                <w:lang w:val="en-US" w:eastAsia="zh-CN"/>
              </w:rPr>
              <w:t>生物安全柜废气</w:t>
            </w:r>
            <w:r>
              <w:rPr>
                <w:rFonts w:hint="eastAsia" w:ascii="Times New Roman" w:hAnsi="Times New Roman" w:eastAsia="宋体" w:cs="Times New Roman"/>
                <w:b/>
                <w:bCs/>
                <w:color w:val="auto"/>
                <w:sz w:val="24"/>
                <w:highlight w:val="none"/>
                <w:lang w:val="en-US" w:eastAsia="zh-CN"/>
              </w:rPr>
              <w:t>G1</w:t>
            </w:r>
          </w:p>
          <w:p w14:paraId="4BC13DD9">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val="0"/>
                <w:bCs/>
                <w:color w:val="auto"/>
                <w:sz w:val="24"/>
                <w:highlight w:val="none"/>
                <w:lang w:val="en-US" w:eastAsia="zh-CN"/>
              </w:rPr>
              <w:t>研发中采用的是3类致病性微生物，有一定的致病性。研发中所涉及产生病原微生物的实验操作均在A2生物安全柜中进行，进出风均经高效过滤，出风直接在车间中逸散。生物安全柜是为操作原代培养物、菌毒株以及诊断性标本等具有感染性的实验材料时，用来保护操作者本人、实验室环境以及实验材料，使其避免暴露于上述操作过程中可能产生的感染性气溶胶和溅出物。本项目使用A2生物安全柜，有高效过滤器，且生物安全柜相对理化室内环境处于负压状态，可有效控制生物安全柜内的气流，实现气流在生物安全柜“侧进上排”，杜绝实验过程产生的气溶胶从操作窗口外逸，可能含有病原微生物的气溶胶只有从其上部的排风口经高效过滤后外排，而生物安全柜内置的</w:t>
            </w:r>
            <w:r>
              <w:rPr>
                <w:rFonts w:hint="eastAsia" w:cs="Times New Roman"/>
                <w:b w:val="0"/>
                <w:bCs/>
                <w:color w:val="auto"/>
                <w:sz w:val="24"/>
                <w:highlight w:val="none"/>
                <w:lang w:val="en-US" w:eastAsia="zh-CN"/>
              </w:rPr>
              <w:t>HEPA</w:t>
            </w:r>
            <w:r>
              <w:rPr>
                <w:rFonts w:hint="eastAsia" w:ascii="Times New Roman" w:hAnsi="Times New Roman" w:eastAsia="宋体" w:cs="Times New Roman"/>
                <w:b w:val="0"/>
                <w:bCs/>
                <w:color w:val="auto"/>
                <w:sz w:val="24"/>
                <w:highlight w:val="none"/>
                <w:lang w:val="en-US" w:eastAsia="zh-CN"/>
              </w:rPr>
              <w:t>高效过滤器对粒径0.5um以上的气溶胶去除效率不低于99.995%，排气中的病原微生物可被彻底除去，不做定量分析。活性物质被高效过滤器过滤掉，过滤器灭活后委外处置。</w:t>
            </w:r>
            <w:r>
              <w:rPr>
                <w:rFonts w:hint="eastAsia" w:ascii="Times New Roman" w:hAnsi="Times New Roman" w:eastAsia="宋体" w:cs="Times New Roman"/>
                <w:b w:val="0"/>
                <w:bCs/>
                <w:color w:val="auto"/>
                <w:sz w:val="24"/>
                <w:highlight w:val="none"/>
                <w:lang w:val="en-US" w:eastAsia="zh-CN"/>
              </w:rPr>
              <w:br w:type="textWrapping"/>
            </w:r>
            <w:r>
              <w:rPr>
                <w:rFonts w:hint="eastAsia" w:ascii="Times New Roman" w:hAnsi="Times New Roman" w:eastAsia="宋体" w:cs="Times New Roman"/>
                <w:b w:val="0"/>
                <w:bCs/>
                <w:color w:val="auto"/>
                <w:sz w:val="24"/>
                <w:highlight w:val="none"/>
                <w:lang w:val="en-US" w:eastAsia="zh-CN"/>
              </w:rPr>
              <w:t xml:space="preserve">   根据《生物安全实验室建筑技术规范》( GB 50346-2011)中“5.1.5二级生物安全实验室中的a类和b1类实验室可采用带循环风的空调系统。二级生物安全实验室中的b2类实验室宜采用全新风系统，防护区的排风应根据风险评估来确定是否需经高效过滤器过滤后排出”，本项目为二级生物安全防护实验室，采用A2级生物安全柜，符合《生物安全实验室建筑技术规范》(GB 50346-2011)相关要求。</w:t>
            </w:r>
          </w:p>
          <w:p w14:paraId="3A96CA2C">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b/>
                <w:bCs w:val="0"/>
                <w:color w:val="auto"/>
                <w:sz w:val="24"/>
                <w:highlight w:val="none"/>
                <w:lang w:val="en-US" w:eastAsia="zh-CN"/>
              </w:rPr>
            </w:pPr>
            <w:r>
              <w:rPr>
                <w:rFonts w:hint="eastAsia" w:ascii="Times New Roman" w:hAnsi="Times New Roman" w:eastAsia="宋体" w:cs="Times New Roman"/>
                <w:b w:val="0"/>
                <w:bCs/>
                <w:color w:val="auto"/>
                <w:sz w:val="24"/>
                <w:highlight w:val="none"/>
                <w:lang w:val="en-US" w:eastAsia="zh-CN"/>
              </w:rPr>
              <w:t>本项目实验室的设计和建设须严格按照《实验室生物安全通用要求</w:t>
            </w:r>
            <w:r>
              <w:rPr>
                <w:rFonts w:hint="eastAsia" w:cs="Times New Roman"/>
                <w:b w:val="0"/>
                <w:bCs/>
                <w:color w:val="auto"/>
                <w:sz w:val="24"/>
                <w:highlight w:val="none"/>
                <w:lang w:val="en-US" w:eastAsia="zh-CN"/>
              </w:rPr>
              <w:t>》</w:t>
            </w:r>
            <w:r>
              <w:rPr>
                <w:rFonts w:hint="eastAsia" w:ascii="Times New Roman" w:hAnsi="Times New Roman" w:eastAsia="宋体" w:cs="Times New Roman"/>
                <w:b w:val="0"/>
                <w:bCs/>
                <w:color w:val="auto"/>
                <w:sz w:val="24"/>
                <w:highlight w:val="none"/>
                <w:lang w:val="en-US" w:eastAsia="zh-CN"/>
              </w:rPr>
              <w:t>(GB19489-2008)、《生物安全实验室建筑技术规范》(GB50346-2011)中相关要求执行。</w:t>
            </w:r>
          </w:p>
          <w:p w14:paraId="27429510">
            <w:pPr>
              <w:keepNext w:val="0"/>
              <w:keepLines w:val="0"/>
              <w:numPr>
                <w:ilvl w:val="0"/>
                <w:numId w:val="0"/>
              </w:numPr>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val="0"/>
                <w:color w:val="auto"/>
                <w:sz w:val="24"/>
                <w:highlight w:val="none"/>
                <w:lang w:val="en-US" w:eastAsia="zh-CN"/>
              </w:rPr>
            </w:pPr>
            <w:r>
              <w:rPr>
                <w:rFonts w:hint="eastAsia" w:ascii="Times New Roman" w:hAnsi="Times New Roman" w:eastAsia="宋体" w:cs="Times New Roman"/>
                <w:b/>
                <w:bCs w:val="0"/>
                <w:color w:val="auto"/>
                <w:sz w:val="24"/>
                <w:highlight w:val="none"/>
                <w:lang w:val="en-US" w:eastAsia="zh-CN"/>
              </w:rPr>
              <w:t>（2）</w:t>
            </w:r>
            <w:r>
              <w:rPr>
                <w:rFonts w:hint="eastAsia" w:cs="Times New Roman"/>
                <w:b/>
                <w:bCs w:val="0"/>
                <w:color w:val="auto"/>
                <w:sz w:val="24"/>
                <w:highlight w:val="none"/>
                <w:lang w:val="en-US" w:eastAsia="zh-CN"/>
              </w:rPr>
              <w:t>原料挥发废气</w:t>
            </w:r>
            <w:r>
              <w:rPr>
                <w:rFonts w:hint="eastAsia" w:ascii="Times New Roman" w:hAnsi="Times New Roman" w:eastAsia="宋体" w:cs="Times New Roman"/>
                <w:b/>
                <w:bCs w:val="0"/>
                <w:color w:val="auto"/>
                <w:sz w:val="24"/>
                <w:highlight w:val="none"/>
                <w:lang w:val="en-US" w:eastAsia="zh-CN"/>
              </w:rPr>
              <w:t>G2</w:t>
            </w:r>
          </w:p>
          <w:p w14:paraId="79AC816A">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b w:val="0"/>
                <w:bCs/>
                <w:color w:val="auto"/>
                <w:sz w:val="24"/>
                <w:highlight w:val="green"/>
                <w:lang w:val="en-US" w:eastAsia="zh-CN"/>
              </w:rPr>
            </w:pPr>
            <w:r>
              <w:rPr>
                <w:rFonts w:hint="eastAsia" w:ascii="Times New Roman" w:hAnsi="Times New Roman" w:eastAsia="宋体" w:cs="Times New Roman"/>
                <w:b w:val="0"/>
                <w:bCs/>
                <w:color w:val="auto"/>
                <w:sz w:val="24"/>
                <w:highlight w:val="none"/>
                <w:lang w:val="en-US" w:eastAsia="zh-CN"/>
              </w:rPr>
              <w:t>本项目实验过程中使用的部分药剂会挥发产生有机废气。根据项目原辅料表</w:t>
            </w:r>
            <w:r>
              <w:rPr>
                <w:rFonts w:hint="eastAsia" w:cs="Times New Roman"/>
                <w:b w:val="0"/>
                <w:bCs/>
                <w:color w:val="auto"/>
                <w:sz w:val="24"/>
                <w:highlight w:val="none"/>
                <w:lang w:val="en-US" w:eastAsia="zh-CN"/>
              </w:rPr>
              <w:t>75%消毒酒精</w:t>
            </w:r>
            <w:r>
              <w:rPr>
                <w:rFonts w:hint="eastAsia" w:ascii="Times New Roman" w:hAnsi="Times New Roman" w:eastAsia="宋体" w:cs="Times New Roman"/>
                <w:b w:val="0"/>
                <w:bCs/>
                <w:color w:val="auto"/>
                <w:sz w:val="24"/>
                <w:highlight w:val="none"/>
                <w:lang w:val="en-US" w:eastAsia="zh-CN"/>
              </w:rPr>
              <w:t>（</w:t>
            </w:r>
            <w:r>
              <w:rPr>
                <w:rFonts w:hint="eastAsia" w:cs="Times New Roman"/>
                <w:b w:val="0"/>
                <w:bCs/>
                <w:color w:val="auto"/>
                <w:sz w:val="24"/>
                <w:highlight w:val="none"/>
                <w:lang w:val="en-US" w:eastAsia="zh-CN"/>
              </w:rPr>
              <w:t>60</w:t>
            </w:r>
            <w:r>
              <w:rPr>
                <w:rFonts w:hint="eastAsia" w:ascii="Times New Roman" w:hAnsi="Times New Roman" w:eastAsia="宋体" w:cs="Times New Roman"/>
                <w:b w:val="0"/>
                <w:bCs/>
                <w:color w:val="auto"/>
                <w:sz w:val="24"/>
                <w:highlight w:val="none"/>
                <w:lang w:val="en-US" w:eastAsia="zh-CN"/>
              </w:rPr>
              <w:t>L</w:t>
            </w:r>
            <w:r>
              <w:rPr>
                <w:rFonts w:hint="eastAsia" w:cs="Times New Roman"/>
                <w:b w:val="0"/>
                <w:bCs/>
                <w:color w:val="auto"/>
                <w:sz w:val="24"/>
                <w:highlight w:val="none"/>
                <w:lang w:val="en-US" w:eastAsia="zh-CN"/>
              </w:rPr>
              <w:t>/a</w:t>
            </w:r>
            <w:r>
              <w:rPr>
                <w:rFonts w:hint="eastAsia" w:ascii="Times New Roman" w:hAnsi="Times New Roman" w:eastAsia="宋体" w:cs="Times New Roman"/>
                <w:b w:val="0"/>
                <w:bCs/>
                <w:color w:val="auto"/>
                <w:sz w:val="24"/>
                <w:highlight w:val="none"/>
                <w:lang w:val="en-US" w:eastAsia="zh-CN"/>
              </w:rPr>
              <w:t>）、</w:t>
            </w:r>
            <w:r>
              <w:rPr>
                <w:rFonts w:hint="eastAsia" w:cs="Times New Roman"/>
                <w:b w:val="0"/>
                <w:bCs/>
                <w:color w:val="auto"/>
                <w:sz w:val="24"/>
                <w:highlight w:val="none"/>
                <w:lang w:val="en-US" w:eastAsia="zh-CN"/>
              </w:rPr>
              <w:t>二甲基亚砜</w:t>
            </w:r>
            <w:r>
              <w:rPr>
                <w:rFonts w:hint="eastAsia" w:ascii="Times New Roman" w:hAnsi="Times New Roman" w:eastAsia="宋体" w:cs="Times New Roman"/>
                <w:b w:val="0"/>
                <w:bCs/>
                <w:color w:val="auto"/>
                <w:sz w:val="24"/>
                <w:highlight w:val="none"/>
                <w:lang w:val="en-US" w:eastAsia="zh-CN"/>
              </w:rPr>
              <w:t>（</w:t>
            </w:r>
            <w:r>
              <w:rPr>
                <w:rFonts w:hint="eastAsia" w:cs="Times New Roman"/>
                <w:b w:val="0"/>
                <w:bCs/>
                <w:color w:val="auto"/>
                <w:sz w:val="24"/>
                <w:highlight w:val="none"/>
                <w:lang w:val="en-US" w:eastAsia="zh-CN"/>
              </w:rPr>
              <w:t>15</w:t>
            </w:r>
            <w:r>
              <w:rPr>
                <w:rFonts w:hint="eastAsia" w:ascii="Times New Roman" w:hAnsi="Times New Roman" w:eastAsia="宋体" w:cs="Times New Roman"/>
                <w:b w:val="0"/>
                <w:bCs/>
                <w:color w:val="auto"/>
                <w:sz w:val="24"/>
                <w:highlight w:val="none"/>
                <w:lang w:val="en-US" w:eastAsia="zh-CN"/>
              </w:rPr>
              <w:t>L</w:t>
            </w:r>
            <w:r>
              <w:rPr>
                <w:rFonts w:hint="eastAsia" w:cs="Times New Roman"/>
                <w:b w:val="0"/>
                <w:bCs/>
                <w:color w:val="auto"/>
                <w:sz w:val="24"/>
                <w:highlight w:val="none"/>
                <w:lang w:val="en-US" w:eastAsia="zh-CN"/>
              </w:rPr>
              <w:t>/a</w:t>
            </w:r>
            <w:r>
              <w:rPr>
                <w:rFonts w:hint="eastAsia" w:ascii="Times New Roman" w:hAnsi="Times New Roman" w:eastAsia="宋体" w:cs="Times New Roman"/>
                <w:b w:val="0"/>
                <w:bCs/>
                <w:color w:val="auto"/>
                <w:sz w:val="24"/>
                <w:highlight w:val="none"/>
                <w:lang w:val="en-US" w:eastAsia="zh-CN"/>
              </w:rPr>
              <w:t>）、</w:t>
            </w:r>
            <w:r>
              <w:rPr>
                <w:rFonts w:hint="eastAsia" w:cs="Times New Roman"/>
                <w:b w:val="0"/>
                <w:bCs/>
                <w:color w:val="auto"/>
                <w:sz w:val="24"/>
                <w:highlight w:val="none"/>
                <w:lang w:val="en-US" w:eastAsia="zh-CN"/>
              </w:rPr>
              <w:t>甲醇</w:t>
            </w:r>
            <w:r>
              <w:rPr>
                <w:rFonts w:hint="eastAsia" w:ascii="Times New Roman" w:hAnsi="Times New Roman" w:eastAsia="宋体" w:cs="Times New Roman"/>
                <w:b w:val="0"/>
                <w:bCs/>
                <w:color w:val="auto"/>
                <w:sz w:val="24"/>
                <w:highlight w:val="none"/>
                <w:lang w:val="en-US" w:eastAsia="zh-CN"/>
              </w:rPr>
              <w:t>（</w:t>
            </w:r>
            <w:r>
              <w:rPr>
                <w:rFonts w:hint="eastAsia" w:cs="Times New Roman"/>
                <w:b w:val="0"/>
                <w:bCs/>
                <w:color w:val="auto"/>
                <w:sz w:val="24"/>
                <w:highlight w:val="none"/>
                <w:lang w:val="en-US" w:eastAsia="zh-CN"/>
              </w:rPr>
              <w:t>20</w:t>
            </w:r>
            <w:r>
              <w:rPr>
                <w:rFonts w:hint="eastAsia" w:ascii="Times New Roman" w:hAnsi="Times New Roman" w:eastAsia="宋体" w:cs="Times New Roman"/>
                <w:b w:val="0"/>
                <w:bCs/>
                <w:color w:val="auto"/>
                <w:sz w:val="24"/>
                <w:highlight w:val="none"/>
                <w:lang w:val="en-US" w:eastAsia="zh-CN"/>
              </w:rPr>
              <w:t>L</w:t>
            </w:r>
            <w:r>
              <w:rPr>
                <w:rFonts w:hint="eastAsia" w:cs="Times New Roman"/>
                <w:b w:val="0"/>
                <w:bCs/>
                <w:color w:val="auto"/>
                <w:sz w:val="24"/>
                <w:highlight w:val="none"/>
                <w:lang w:val="en-US" w:eastAsia="zh-CN"/>
              </w:rPr>
              <w:t>/a</w:t>
            </w:r>
            <w:r>
              <w:rPr>
                <w:rFonts w:hint="eastAsia" w:ascii="Times New Roman" w:hAnsi="Times New Roman" w:eastAsia="宋体" w:cs="Times New Roman"/>
                <w:b w:val="0"/>
                <w:bCs/>
                <w:color w:val="auto"/>
                <w:sz w:val="24"/>
                <w:highlight w:val="none"/>
                <w:lang w:val="en-US" w:eastAsia="zh-CN"/>
              </w:rPr>
              <w:t>）、异丙醇（</w:t>
            </w:r>
            <w:r>
              <w:rPr>
                <w:rFonts w:hint="eastAsia" w:cs="Times New Roman"/>
                <w:b w:val="0"/>
                <w:bCs/>
                <w:color w:val="auto"/>
                <w:sz w:val="24"/>
                <w:highlight w:val="none"/>
                <w:lang w:val="en-US" w:eastAsia="zh-CN"/>
              </w:rPr>
              <w:t>30</w:t>
            </w:r>
            <w:r>
              <w:rPr>
                <w:rFonts w:hint="eastAsia" w:ascii="Times New Roman" w:hAnsi="Times New Roman" w:eastAsia="宋体" w:cs="Times New Roman"/>
                <w:b w:val="0"/>
                <w:bCs/>
                <w:color w:val="auto"/>
                <w:sz w:val="24"/>
                <w:highlight w:val="none"/>
                <w:lang w:val="en-US" w:eastAsia="zh-CN"/>
              </w:rPr>
              <w:t>L</w:t>
            </w:r>
            <w:r>
              <w:rPr>
                <w:rFonts w:hint="eastAsia" w:cs="Times New Roman"/>
                <w:b w:val="0"/>
                <w:bCs/>
                <w:color w:val="auto"/>
                <w:sz w:val="24"/>
                <w:highlight w:val="none"/>
                <w:lang w:val="en-US" w:eastAsia="zh-CN"/>
              </w:rPr>
              <w:t>/a</w:t>
            </w:r>
            <w:r>
              <w:rPr>
                <w:rFonts w:hint="eastAsia" w:ascii="Times New Roman" w:hAnsi="Times New Roman" w:eastAsia="宋体" w:cs="Times New Roman"/>
                <w:b w:val="0"/>
                <w:bCs/>
                <w:color w:val="auto"/>
                <w:sz w:val="24"/>
                <w:highlight w:val="none"/>
                <w:lang w:val="en-US" w:eastAsia="zh-CN"/>
              </w:rPr>
              <w:t>）、</w:t>
            </w:r>
            <w:r>
              <w:rPr>
                <w:rFonts w:hint="eastAsia" w:cs="Times New Roman"/>
                <w:b w:val="0"/>
                <w:bCs/>
                <w:color w:val="auto"/>
                <w:sz w:val="24"/>
                <w:highlight w:val="none"/>
                <w:lang w:val="en-US" w:eastAsia="zh-CN"/>
              </w:rPr>
              <w:t>无水乙醇（8</w:t>
            </w:r>
            <w:r>
              <w:rPr>
                <w:rFonts w:hint="eastAsia" w:ascii="Times New Roman" w:hAnsi="Times New Roman" w:eastAsia="宋体" w:cs="Times New Roman"/>
                <w:b w:val="0"/>
                <w:bCs/>
                <w:color w:val="auto"/>
                <w:sz w:val="24"/>
                <w:highlight w:val="none"/>
                <w:lang w:val="en-US" w:eastAsia="zh-CN"/>
              </w:rPr>
              <w:t>L</w:t>
            </w:r>
            <w:r>
              <w:rPr>
                <w:rFonts w:hint="eastAsia" w:cs="Times New Roman"/>
                <w:b w:val="0"/>
                <w:bCs/>
                <w:color w:val="auto"/>
                <w:sz w:val="24"/>
                <w:highlight w:val="none"/>
                <w:lang w:val="en-US" w:eastAsia="zh-CN"/>
              </w:rPr>
              <w:t>/a），</w:t>
            </w:r>
            <w:r>
              <w:rPr>
                <w:rFonts w:hint="eastAsia" w:ascii="Times New Roman" w:hAnsi="Times New Roman" w:eastAsia="宋体" w:cs="Times New Roman"/>
                <w:b w:val="0"/>
                <w:bCs/>
                <w:color w:val="auto"/>
                <w:sz w:val="24"/>
                <w:highlight w:val="none"/>
                <w:lang w:val="en-US" w:eastAsia="zh-CN"/>
              </w:rPr>
              <w:t>使用量很小，且大部分均参与反应，只在开盖或配制过程中有少量的挥发，项目溶液的配制在通风橱内进行，一般配制过程较短。根据本项目原辅料及前文工艺流程分析，研发废气污染物</w:t>
            </w:r>
            <w:r>
              <w:rPr>
                <w:rFonts w:hint="eastAsia" w:cs="Times New Roman"/>
                <w:b w:val="0"/>
                <w:bCs/>
                <w:color w:val="auto"/>
                <w:sz w:val="24"/>
                <w:highlight w:val="none"/>
                <w:lang w:val="en-US" w:eastAsia="zh-CN"/>
              </w:rPr>
              <w:t>以</w:t>
            </w:r>
            <w:r>
              <w:rPr>
                <w:rFonts w:hint="eastAsia" w:ascii="Times New Roman" w:hAnsi="Times New Roman" w:eastAsia="宋体" w:cs="Times New Roman"/>
                <w:b w:val="0"/>
                <w:bCs/>
                <w:color w:val="auto"/>
                <w:sz w:val="24"/>
                <w:highlight w:val="none"/>
                <w:lang w:val="en-US" w:eastAsia="zh-CN"/>
              </w:rPr>
              <w:t>非甲烷总烃</w:t>
            </w:r>
            <w:r>
              <w:rPr>
                <w:rFonts w:hint="eastAsia" w:cs="Times New Roman"/>
                <w:b w:val="0"/>
                <w:bCs/>
                <w:color w:val="auto"/>
                <w:sz w:val="24"/>
                <w:highlight w:val="none"/>
                <w:lang w:val="en-US" w:eastAsia="zh-CN"/>
              </w:rPr>
              <w:t>和</w:t>
            </w:r>
            <w:r>
              <w:rPr>
                <w:rFonts w:hint="eastAsia" w:ascii="Times New Roman" w:hAnsi="Times New Roman" w:eastAsia="宋体" w:cs="Times New Roman"/>
                <w:b w:val="0"/>
                <w:bCs/>
                <w:color w:val="auto"/>
                <w:sz w:val="24"/>
                <w:highlight w:val="none"/>
                <w:lang w:val="en-US" w:eastAsia="zh-CN"/>
              </w:rPr>
              <w:t>甲醇</w:t>
            </w:r>
            <w:r>
              <w:rPr>
                <w:rFonts w:hint="eastAsia" w:cs="Times New Roman"/>
                <w:b w:val="0"/>
                <w:bCs/>
                <w:color w:val="auto"/>
                <w:sz w:val="24"/>
                <w:highlight w:val="none"/>
                <w:lang w:val="en-US" w:eastAsia="zh-CN"/>
              </w:rPr>
              <w:t>计</w:t>
            </w:r>
            <w:r>
              <w:rPr>
                <w:rFonts w:hint="eastAsia" w:ascii="Times New Roman" w:hAnsi="Times New Roman" w:eastAsia="宋体" w:cs="Times New Roman"/>
                <w:b w:val="0"/>
                <w:bCs/>
                <w:color w:val="auto"/>
                <w:sz w:val="24"/>
                <w:highlight w:val="none"/>
                <w:lang w:val="en-US" w:eastAsia="zh-CN"/>
              </w:rPr>
              <w:t>。</w:t>
            </w:r>
            <w:r>
              <w:rPr>
                <w:rFonts w:hint="eastAsia" w:cs="Times New Roman"/>
                <w:b w:val="0"/>
                <w:bCs/>
                <w:color w:val="auto"/>
                <w:sz w:val="24"/>
                <w:highlight w:val="none"/>
                <w:lang w:val="en-US" w:eastAsia="zh-CN"/>
              </w:rPr>
              <w:t>参考</w:t>
            </w:r>
            <w:r>
              <w:rPr>
                <w:rFonts w:hint="eastAsia" w:ascii="Times New Roman" w:hAnsi="Times New Roman" w:eastAsia="宋体" w:cs="Times New Roman"/>
                <w:b w:val="0"/>
                <w:bCs/>
                <w:color w:val="auto"/>
                <w:sz w:val="24"/>
                <w:highlight w:val="none"/>
                <w:lang w:val="en-US" w:eastAsia="zh-CN"/>
              </w:rPr>
              <w:t>《信安生物技术（苏州）有限公司新药研发项目》，消毒时使用医用酒精按照最不利情况，以总用量的 100%计</w:t>
            </w:r>
            <w:r>
              <w:rPr>
                <w:rFonts w:hint="eastAsia" w:cs="Times New Roman"/>
                <w:b w:val="0"/>
                <w:bCs/>
                <w:color w:val="auto"/>
                <w:sz w:val="24"/>
                <w:highlight w:val="none"/>
                <w:lang w:val="en-US" w:eastAsia="zh-CN"/>
              </w:rPr>
              <w:t>，其余</w:t>
            </w:r>
            <w:r>
              <w:rPr>
                <w:rFonts w:hint="eastAsia" w:ascii="Times New Roman" w:hAnsi="Times New Roman" w:eastAsia="宋体" w:cs="Times New Roman"/>
                <w:b w:val="0"/>
                <w:bCs/>
                <w:color w:val="auto"/>
                <w:sz w:val="24"/>
                <w:highlight w:val="none"/>
                <w:lang w:val="en-US" w:eastAsia="zh-CN"/>
              </w:rPr>
              <w:t>试剂挥发量按照20%进行计算</w:t>
            </w:r>
            <w:r>
              <w:rPr>
                <w:rFonts w:hint="eastAsia" w:cs="Times New Roman"/>
                <w:b w:val="0"/>
                <w:bCs/>
                <w:color w:val="auto"/>
                <w:sz w:val="24"/>
                <w:highlight w:val="none"/>
                <w:lang w:val="en-US" w:eastAsia="zh-CN"/>
              </w:rPr>
              <w:t>。</w:t>
            </w:r>
            <w:r>
              <w:rPr>
                <w:rFonts w:hint="eastAsia" w:ascii="Times New Roman" w:hAnsi="Times New Roman" w:eastAsia="宋体" w:cs="Times New Roman"/>
                <w:b w:val="0"/>
                <w:bCs/>
                <w:color w:val="auto"/>
                <w:sz w:val="24"/>
                <w:highlight w:val="none"/>
                <w:lang w:val="en-US" w:eastAsia="zh-CN"/>
              </w:rPr>
              <w:t>则产生的挥发性有机物废气</w:t>
            </w:r>
            <w:r>
              <w:rPr>
                <w:rFonts w:hint="eastAsia" w:cs="Times New Roman"/>
                <w:b w:val="0"/>
                <w:bCs/>
                <w:color w:val="auto"/>
                <w:sz w:val="24"/>
                <w:highlight w:val="none"/>
                <w:lang w:val="en-US" w:eastAsia="zh-CN"/>
              </w:rPr>
              <w:t>0.04794</w:t>
            </w:r>
            <w:r>
              <w:rPr>
                <w:rFonts w:hint="eastAsia" w:ascii="Times New Roman" w:hAnsi="Times New Roman" w:eastAsia="宋体" w:cs="Times New Roman"/>
                <w:b w:val="0"/>
                <w:bCs/>
                <w:color w:val="auto"/>
                <w:sz w:val="24"/>
                <w:highlight w:val="none"/>
                <w:lang w:val="en-US" w:eastAsia="zh-CN"/>
              </w:rPr>
              <w:t xml:space="preserve"> t/a，其中考虑的特征因子产生量分别为非甲烷总烃</w:t>
            </w:r>
            <w:r>
              <w:rPr>
                <w:rFonts w:hint="eastAsia" w:cs="Times New Roman"/>
                <w:b w:val="0"/>
                <w:bCs/>
                <w:color w:val="auto"/>
                <w:sz w:val="24"/>
                <w:highlight w:val="none"/>
                <w:lang w:val="en-US" w:eastAsia="zh-CN"/>
              </w:rPr>
              <w:t>0.04794</w:t>
            </w:r>
            <w:r>
              <w:rPr>
                <w:rFonts w:hint="eastAsia" w:ascii="Times New Roman" w:hAnsi="Times New Roman" w:eastAsia="宋体" w:cs="Times New Roman"/>
                <w:b w:val="0"/>
                <w:bCs/>
                <w:color w:val="auto"/>
                <w:sz w:val="24"/>
                <w:highlight w:val="none"/>
                <w:lang w:val="en-US" w:eastAsia="zh-CN"/>
              </w:rPr>
              <w:t>t/a、甲醇</w:t>
            </w:r>
            <w:r>
              <w:rPr>
                <w:rFonts w:hint="eastAsia" w:cs="Times New Roman"/>
                <w:b w:val="0"/>
                <w:bCs/>
                <w:color w:val="auto"/>
                <w:sz w:val="24"/>
                <w:highlight w:val="none"/>
                <w:lang w:val="en-US" w:eastAsia="zh-CN"/>
              </w:rPr>
              <w:t>0.00316</w:t>
            </w:r>
            <w:r>
              <w:rPr>
                <w:rFonts w:hint="eastAsia" w:ascii="Times New Roman" w:hAnsi="Times New Roman" w:eastAsia="宋体" w:cs="Times New Roman"/>
                <w:b w:val="0"/>
                <w:bCs/>
                <w:color w:val="auto"/>
                <w:sz w:val="24"/>
                <w:highlight w:val="none"/>
                <w:lang w:val="en-US" w:eastAsia="zh-CN"/>
              </w:rPr>
              <w:t>t/a（非甲烷总烃包含甲醇）。实验室废气经通风橱收集后经</w:t>
            </w:r>
            <w:r>
              <w:rPr>
                <w:rFonts w:hint="eastAsia" w:cs="Times New Roman"/>
                <w:b w:val="0"/>
                <w:bCs/>
                <w:color w:val="auto"/>
                <w:sz w:val="24"/>
                <w:highlight w:val="none"/>
                <w:lang w:val="en-US" w:eastAsia="zh-CN"/>
              </w:rPr>
              <w:t>1</w:t>
            </w:r>
            <w:r>
              <w:rPr>
                <w:rFonts w:hint="eastAsia" w:ascii="Times New Roman" w:hAnsi="Times New Roman" w:eastAsia="宋体" w:cs="Times New Roman"/>
                <w:b w:val="0"/>
                <w:bCs/>
                <w:color w:val="auto"/>
                <w:sz w:val="24"/>
                <w:highlight w:val="none"/>
                <w:lang w:val="en-US" w:eastAsia="zh-CN"/>
              </w:rPr>
              <w:t>套</w:t>
            </w:r>
            <w:r>
              <w:rPr>
                <w:rFonts w:hint="eastAsia" w:cs="Times New Roman"/>
                <w:b w:val="0"/>
                <w:bCs/>
                <w:color w:val="auto"/>
                <w:sz w:val="24"/>
                <w:highlight w:val="none"/>
                <w:lang w:val="en-US" w:eastAsia="zh-CN"/>
              </w:rPr>
              <w:t>二</w:t>
            </w:r>
            <w:r>
              <w:rPr>
                <w:rFonts w:hint="eastAsia" w:ascii="Times New Roman" w:hAnsi="Times New Roman" w:eastAsia="宋体" w:cs="Times New Roman"/>
                <w:b w:val="0"/>
                <w:bCs/>
                <w:color w:val="auto"/>
                <w:sz w:val="24"/>
                <w:highlight w:val="none"/>
                <w:lang w:val="en-US" w:eastAsia="zh-CN"/>
              </w:rPr>
              <w:t>级活性炭吸附</w:t>
            </w:r>
            <w:r>
              <w:rPr>
                <w:rFonts w:hint="eastAsia" w:cs="Times New Roman"/>
                <w:b w:val="0"/>
                <w:bCs/>
                <w:color w:val="auto"/>
                <w:sz w:val="24"/>
                <w:highlight w:val="none"/>
                <w:lang w:val="en-US" w:eastAsia="zh-CN"/>
              </w:rPr>
              <w:t>装置</w:t>
            </w:r>
            <w:r>
              <w:rPr>
                <w:rFonts w:hint="eastAsia" w:ascii="Times New Roman" w:hAnsi="Times New Roman" w:eastAsia="宋体" w:cs="Times New Roman"/>
                <w:b w:val="0"/>
                <w:bCs/>
                <w:color w:val="auto"/>
                <w:sz w:val="24"/>
                <w:highlight w:val="none"/>
                <w:lang w:val="en-US" w:eastAsia="zh-CN"/>
              </w:rPr>
              <w:t>处理后通过1根</w:t>
            </w:r>
            <w:r>
              <w:rPr>
                <w:rFonts w:hint="eastAsia" w:cs="Times New Roman"/>
                <w:b w:val="0"/>
                <w:bCs/>
                <w:color w:val="auto"/>
                <w:sz w:val="24"/>
                <w:highlight w:val="none"/>
                <w:lang w:val="en-US" w:eastAsia="zh-CN"/>
              </w:rPr>
              <w:t>15</w:t>
            </w:r>
            <w:r>
              <w:rPr>
                <w:rFonts w:hint="eastAsia" w:ascii="Times New Roman" w:hAnsi="Times New Roman" w:eastAsia="宋体" w:cs="Times New Roman"/>
                <w:b w:val="0"/>
                <w:bCs/>
                <w:color w:val="auto"/>
                <w:sz w:val="24"/>
                <w:highlight w:val="none"/>
                <w:lang w:val="en-US" w:eastAsia="zh-CN"/>
              </w:rPr>
              <w:t>m高排气筒</w:t>
            </w:r>
            <w:r>
              <w:rPr>
                <w:rFonts w:hint="eastAsia" w:cs="Times New Roman"/>
                <w:b w:val="0"/>
                <w:bCs/>
                <w:color w:val="auto"/>
                <w:sz w:val="24"/>
                <w:highlight w:val="none"/>
                <w:lang w:val="en-US" w:eastAsia="zh-CN"/>
              </w:rPr>
              <w:t>FQ01</w:t>
            </w:r>
            <w:r>
              <w:rPr>
                <w:rFonts w:hint="eastAsia" w:ascii="Times New Roman" w:hAnsi="Times New Roman" w:eastAsia="宋体" w:cs="Times New Roman"/>
                <w:b w:val="0"/>
                <w:bCs/>
                <w:color w:val="auto"/>
                <w:sz w:val="24"/>
                <w:highlight w:val="none"/>
                <w:lang w:val="en-US" w:eastAsia="zh-CN"/>
              </w:rPr>
              <w:t>排放。</w:t>
            </w:r>
          </w:p>
          <w:p w14:paraId="1D94E76E">
            <w:pPr>
              <w:pStyle w:val="6"/>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default" w:ascii="Times New Roman" w:hAnsi="Times New Roman" w:eastAsia="宋体"/>
                <w:b/>
                <w:bCs/>
                <w:color w:val="auto"/>
                <w:sz w:val="24"/>
                <w:szCs w:val="36"/>
                <w:highlight w:val="none"/>
              </w:rPr>
            </w:pPr>
            <w:r>
              <w:rPr>
                <w:rFonts w:hint="eastAsia" w:ascii="Times New Roman" w:hAnsi="Times New Roman" w:eastAsia="宋体"/>
                <w:b/>
                <w:bCs/>
                <w:color w:val="auto"/>
                <w:sz w:val="24"/>
                <w:szCs w:val="36"/>
                <w:highlight w:val="none"/>
                <w:lang w:val="en-US" w:eastAsia="zh-CN"/>
              </w:rPr>
              <w:t xml:space="preserve">表4-1  </w:t>
            </w:r>
            <w:r>
              <w:rPr>
                <w:rFonts w:hint="default" w:ascii="Times New Roman" w:hAnsi="Times New Roman" w:eastAsia="宋体"/>
                <w:b/>
                <w:bCs/>
                <w:color w:val="auto"/>
                <w:sz w:val="24"/>
                <w:szCs w:val="36"/>
                <w:highlight w:val="none"/>
              </w:rPr>
              <w:t>本项目废气污染物产生情况表</w:t>
            </w:r>
          </w:p>
          <w:tbl>
            <w:tblPr>
              <w:tblStyle w:val="25"/>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671"/>
              <w:gridCol w:w="506"/>
              <w:gridCol w:w="765"/>
              <w:gridCol w:w="1200"/>
              <w:gridCol w:w="1785"/>
              <w:gridCol w:w="959"/>
              <w:gridCol w:w="1182"/>
              <w:gridCol w:w="1098"/>
            </w:tblGrid>
            <w:tr w14:paraId="78D739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3" w:hRule="atLeast"/>
                <w:jc w:val="center"/>
              </w:trPr>
              <w:tc>
                <w:tcPr>
                  <w:tcW w:w="911" w:type="pct"/>
                  <w:vAlign w:val="center"/>
                </w:tcPr>
                <w:p w14:paraId="5C2AE7F8">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产生工序</w:t>
                  </w:r>
                </w:p>
              </w:tc>
              <w:tc>
                <w:tcPr>
                  <w:tcW w:w="693" w:type="pct"/>
                  <w:gridSpan w:val="2"/>
                  <w:vAlign w:val="center"/>
                </w:tcPr>
                <w:p w14:paraId="609E7323">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污染物</w:t>
                  </w:r>
                </w:p>
              </w:tc>
              <w:tc>
                <w:tcPr>
                  <w:tcW w:w="654" w:type="pct"/>
                  <w:vAlign w:val="center"/>
                </w:tcPr>
                <w:p w14:paraId="27B0308F">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产生量t/a</w:t>
                  </w:r>
                </w:p>
              </w:tc>
              <w:tc>
                <w:tcPr>
                  <w:tcW w:w="973" w:type="pct"/>
                  <w:vAlign w:val="center"/>
                </w:tcPr>
                <w:p w14:paraId="2E31C8F0">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收集方式</w:t>
                  </w:r>
                </w:p>
              </w:tc>
              <w:tc>
                <w:tcPr>
                  <w:tcW w:w="523" w:type="pct"/>
                  <w:vAlign w:val="center"/>
                </w:tcPr>
                <w:p w14:paraId="690A2309">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捕集率</w:t>
                  </w:r>
                </w:p>
              </w:tc>
              <w:tc>
                <w:tcPr>
                  <w:tcW w:w="644" w:type="pct"/>
                  <w:vAlign w:val="center"/>
                </w:tcPr>
                <w:p w14:paraId="2A48FF2E">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捕集到的量t/a</w:t>
                  </w:r>
                </w:p>
              </w:tc>
              <w:tc>
                <w:tcPr>
                  <w:tcW w:w="598" w:type="pct"/>
                  <w:vAlign w:val="center"/>
                </w:tcPr>
                <w:p w14:paraId="4911370E">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未捕集到的量t/a</w:t>
                  </w:r>
                </w:p>
              </w:tc>
            </w:tr>
            <w:tr w14:paraId="073D45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911" w:type="pct"/>
                  <w:vMerge w:val="restart"/>
                  <w:vAlign w:val="center"/>
                </w:tcPr>
                <w:p w14:paraId="0CA24152">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b w:val="0"/>
                      <w:bCs w:val="0"/>
                      <w:color w:val="auto"/>
                      <w:szCs w:val="21"/>
                      <w:highlight w:val="none"/>
                      <w:lang w:val="en-US" w:eastAsia="zh-CN"/>
                    </w:rPr>
                  </w:pPr>
                  <w:r>
                    <w:rPr>
                      <w:rFonts w:hint="eastAsia"/>
                      <w:b w:val="0"/>
                      <w:bCs w:val="0"/>
                      <w:color w:val="auto"/>
                      <w:szCs w:val="21"/>
                      <w:highlight w:val="none"/>
                      <w:lang w:val="en-US" w:eastAsia="zh-CN"/>
                    </w:rPr>
                    <w:t>实验过程中原料挥发</w:t>
                  </w:r>
                </w:p>
              </w:tc>
              <w:tc>
                <w:tcPr>
                  <w:tcW w:w="693" w:type="pct"/>
                  <w:gridSpan w:val="2"/>
                  <w:vAlign w:val="center"/>
                </w:tcPr>
                <w:p w14:paraId="2E5714D0">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b w:val="0"/>
                      <w:bCs w:val="0"/>
                      <w:color w:val="auto"/>
                      <w:szCs w:val="21"/>
                      <w:highlight w:val="none"/>
                      <w:lang w:val="en-US" w:eastAsia="zh-CN"/>
                    </w:rPr>
                  </w:pPr>
                  <w:r>
                    <w:rPr>
                      <w:rFonts w:hint="eastAsia" w:ascii="Times New Roman" w:hAnsi="Times New Roman" w:eastAsia="宋体"/>
                      <w:b w:val="0"/>
                      <w:bCs w:val="0"/>
                      <w:color w:val="auto"/>
                      <w:szCs w:val="21"/>
                      <w:highlight w:val="none"/>
                      <w:lang w:eastAsia="zh-CN"/>
                    </w:rPr>
                    <w:t>非甲烷总烃</w:t>
                  </w:r>
                </w:p>
              </w:tc>
              <w:tc>
                <w:tcPr>
                  <w:tcW w:w="654" w:type="pct"/>
                  <w:vAlign w:val="center"/>
                </w:tcPr>
                <w:p w14:paraId="32CB356D">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b w:val="0"/>
                      <w:bCs w:val="0"/>
                      <w:color w:val="auto"/>
                      <w:szCs w:val="21"/>
                      <w:highlight w:val="none"/>
                      <w:lang w:val="en-US" w:eastAsia="zh-CN"/>
                    </w:rPr>
                  </w:pPr>
                  <w:r>
                    <w:rPr>
                      <w:rFonts w:hint="eastAsia"/>
                      <w:b w:val="0"/>
                      <w:bCs w:val="0"/>
                      <w:color w:val="auto"/>
                      <w:szCs w:val="21"/>
                      <w:highlight w:val="none"/>
                      <w:lang w:val="en-US" w:eastAsia="zh-CN"/>
                    </w:rPr>
                    <w:t>0.04794</w:t>
                  </w:r>
                </w:p>
              </w:tc>
              <w:tc>
                <w:tcPr>
                  <w:tcW w:w="973" w:type="pct"/>
                  <w:vMerge w:val="restart"/>
                  <w:vAlign w:val="center"/>
                </w:tcPr>
                <w:p w14:paraId="183D19B5">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center"/>
                    <w:rPr>
                      <w:rFonts w:hint="default" w:ascii="Times New Roman" w:hAnsi="Times New Roman" w:eastAsia="宋体"/>
                      <w:b w:val="0"/>
                      <w:bCs w:val="0"/>
                      <w:color w:val="auto"/>
                      <w:szCs w:val="21"/>
                      <w:highlight w:val="none"/>
                      <w:lang w:val="en-US" w:eastAsia="zh-CN"/>
                    </w:rPr>
                  </w:pPr>
                  <w:r>
                    <w:rPr>
                      <w:rFonts w:hint="eastAsia" w:ascii="Times New Roman" w:hAnsi="Times New Roman" w:eastAsia="宋体"/>
                      <w:b w:val="0"/>
                      <w:bCs w:val="0"/>
                      <w:color w:val="auto"/>
                      <w:szCs w:val="21"/>
                      <w:highlight w:val="none"/>
                      <w:lang w:val="en-US" w:eastAsia="zh-CN"/>
                    </w:rPr>
                    <w:t>通风橱</w:t>
                  </w:r>
                  <w:r>
                    <w:rPr>
                      <w:rFonts w:hint="eastAsia"/>
                      <w:b w:val="0"/>
                      <w:bCs w:val="0"/>
                      <w:color w:val="auto"/>
                      <w:szCs w:val="21"/>
                      <w:highlight w:val="none"/>
                      <w:lang w:val="en-US" w:eastAsia="zh-CN"/>
                    </w:rPr>
                    <w:t>收集</w:t>
                  </w:r>
                </w:p>
              </w:tc>
              <w:tc>
                <w:tcPr>
                  <w:tcW w:w="523" w:type="pct"/>
                  <w:vMerge w:val="restart"/>
                  <w:vAlign w:val="center"/>
                </w:tcPr>
                <w:p w14:paraId="19705E2D">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center"/>
                    <w:rPr>
                      <w:rFonts w:hint="default" w:ascii="Times New Roman" w:hAnsi="Times New Roman" w:eastAsia="宋体"/>
                      <w:b w:val="0"/>
                      <w:bCs w:val="0"/>
                      <w:color w:val="auto"/>
                      <w:szCs w:val="21"/>
                      <w:highlight w:val="none"/>
                    </w:rPr>
                  </w:pPr>
                  <w:r>
                    <w:rPr>
                      <w:rFonts w:hint="eastAsia" w:ascii="Times New Roman" w:hAnsi="Times New Roman" w:eastAsia="宋体"/>
                      <w:color w:val="auto"/>
                      <w:szCs w:val="21"/>
                      <w:highlight w:val="none"/>
                      <w:lang w:val="en-US" w:eastAsia="zh-CN"/>
                    </w:rPr>
                    <w:t>95</w:t>
                  </w:r>
                  <w:r>
                    <w:rPr>
                      <w:rFonts w:hint="eastAsia" w:ascii="Times New Roman" w:hAnsi="Times New Roman" w:eastAsia="宋体"/>
                      <w:color w:val="auto"/>
                      <w:szCs w:val="21"/>
                      <w:highlight w:val="none"/>
                    </w:rPr>
                    <w:t>%</w:t>
                  </w:r>
                </w:p>
              </w:tc>
              <w:tc>
                <w:tcPr>
                  <w:tcW w:w="644" w:type="pct"/>
                  <w:vAlign w:val="center"/>
                </w:tcPr>
                <w:p w14:paraId="3EFC990B">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center"/>
                    <w:rPr>
                      <w:rFonts w:hint="default" w:ascii="Times New Roman" w:hAnsi="Times New Roman" w:eastAsia="宋体"/>
                      <w:b w:val="0"/>
                      <w:bCs w:val="0"/>
                      <w:color w:val="auto"/>
                      <w:szCs w:val="21"/>
                      <w:highlight w:val="none"/>
                      <w:lang w:val="en-US" w:eastAsia="zh-CN"/>
                    </w:rPr>
                  </w:pPr>
                  <w:r>
                    <w:rPr>
                      <w:rFonts w:hint="eastAsia"/>
                      <w:b w:val="0"/>
                      <w:bCs w:val="0"/>
                      <w:color w:val="auto"/>
                      <w:szCs w:val="21"/>
                      <w:highlight w:val="none"/>
                      <w:lang w:val="en-US" w:eastAsia="zh-CN"/>
                    </w:rPr>
                    <w:t>0.0455</w:t>
                  </w:r>
                </w:p>
              </w:tc>
              <w:tc>
                <w:tcPr>
                  <w:tcW w:w="598" w:type="pct"/>
                  <w:vAlign w:val="center"/>
                </w:tcPr>
                <w:p w14:paraId="0101F944">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center"/>
                    <w:rPr>
                      <w:rFonts w:hint="default" w:ascii="Times New Roman" w:hAnsi="Times New Roman" w:eastAsia="宋体"/>
                      <w:b w:val="0"/>
                      <w:bCs w:val="0"/>
                      <w:color w:val="auto"/>
                      <w:szCs w:val="21"/>
                      <w:highlight w:val="none"/>
                      <w:lang w:val="en-US" w:eastAsia="zh-CN"/>
                    </w:rPr>
                  </w:pPr>
                  <w:r>
                    <w:rPr>
                      <w:rFonts w:hint="eastAsia"/>
                      <w:b w:val="0"/>
                      <w:bCs w:val="0"/>
                      <w:color w:val="auto"/>
                      <w:szCs w:val="21"/>
                      <w:highlight w:val="none"/>
                      <w:lang w:val="en-US" w:eastAsia="zh-CN"/>
                    </w:rPr>
                    <w:t>0.0024</w:t>
                  </w:r>
                </w:p>
              </w:tc>
            </w:tr>
            <w:tr w14:paraId="79EC1D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911" w:type="pct"/>
                  <w:vMerge w:val="continue"/>
                  <w:vAlign w:val="center"/>
                </w:tcPr>
                <w:p w14:paraId="01375502">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color w:val="auto"/>
                      <w:szCs w:val="21"/>
                      <w:highlight w:val="none"/>
                      <w:lang w:val="en-US" w:eastAsia="zh-CN"/>
                    </w:rPr>
                  </w:pPr>
                </w:p>
              </w:tc>
              <w:tc>
                <w:tcPr>
                  <w:tcW w:w="276" w:type="pct"/>
                  <w:tcBorders>
                    <w:right w:val="single" w:color="000000" w:sz="2" w:space="0"/>
                  </w:tcBorders>
                  <w:vAlign w:val="center"/>
                </w:tcPr>
                <w:p w14:paraId="374C575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olor w:val="auto"/>
                      <w:szCs w:val="21"/>
                      <w:highlight w:val="none"/>
                      <w:lang w:val="en-US" w:eastAsia="zh-CN"/>
                    </w:rPr>
                  </w:pPr>
                  <w:r>
                    <w:rPr>
                      <w:rFonts w:hint="eastAsia"/>
                      <w:color w:val="auto"/>
                      <w:szCs w:val="21"/>
                      <w:highlight w:val="none"/>
                      <w:lang w:val="en-US" w:eastAsia="zh-CN"/>
                    </w:rPr>
                    <w:t>包含</w:t>
                  </w:r>
                </w:p>
              </w:tc>
              <w:tc>
                <w:tcPr>
                  <w:tcW w:w="417" w:type="pct"/>
                  <w:tcBorders>
                    <w:left w:val="single" w:color="000000" w:sz="2" w:space="0"/>
                  </w:tcBorders>
                  <w:vAlign w:val="center"/>
                </w:tcPr>
                <w:p w14:paraId="214BA223">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甲醇</w:t>
                  </w:r>
                </w:p>
              </w:tc>
              <w:tc>
                <w:tcPr>
                  <w:tcW w:w="654" w:type="pct"/>
                  <w:vAlign w:val="center"/>
                </w:tcPr>
                <w:p w14:paraId="4E380CA1">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rPr>
                      <w:rFonts w:hint="default" w:ascii="Times New Roman" w:hAnsi="Times New Roman" w:eastAsia="宋体"/>
                      <w:color w:val="auto"/>
                      <w:szCs w:val="21"/>
                      <w:highlight w:val="none"/>
                      <w:lang w:val="en-US" w:eastAsia="zh-CN"/>
                    </w:rPr>
                  </w:pPr>
                  <w:r>
                    <w:rPr>
                      <w:rFonts w:hint="eastAsia"/>
                      <w:color w:val="auto"/>
                      <w:szCs w:val="21"/>
                      <w:highlight w:val="none"/>
                      <w:lang w:val="en-US" w:eastAsia="zh-CN"/>
                    </w:rPr>
                    <w:t>0.00316</w:t>
                  </w:r>
                </w:p>
              </w:tc>
              <w:tc>
                <w:tcPr>
                  <w:tcW w:w="973" w:type="pct"/>
                  <w:vMerge w:val="continue"/>
                  <w:vAlign w:val="center"/>
                </w:tcPr>
                <w:p w14:paraId="2C658284">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ascii="Times New Roman" w:hAnsi="Times New Roman" w:eastAsia="宋体"/>
                      <w:color w:val="auto"/>
                      <w:szCs w:val="21"/>
                      <w:highlight w:val="none"/>
                      <w:lang w:val="en-US" w:eastAsia="zh-CN"/>
                    </w:rPr>
                  </w:pPr>
                </w:p>
              </w:tc>
              <w:tc>
                <w:tcPr>
                  <w:tcW w:w="523" w:type="pct"/>
                  <w:vMerge w:val="continue"/>
                  <w:vAlign w:val="center"/>
                </w:tcPr>
                <w:p w14:paraId="744E47D0">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ascii="Times New Roman" w:hAnsi="Times New Roman" w:eastAsia="宋体"/>
                      <w:color w:val="auto"/>
                      <w:szCs w:val="21"/>
                      <w:highlight w:val="none"/>
                    </w:rPr>
                  </w:pPr>
                </w:p>
              </w:tc>
              <w:tc>
                <w:tcPr>
                  <w:tcW w:w="644" w:type="pct"/>
                  <w:vAlign w:val="center"/>
                </w:tcPr>
                <w:p w14:paraId="5F73A140">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ascii="Times New Roman" w:hAnsi="Times New Roman" w:eastAsia="宋体"/>
                      <w:color w:val="auto"/>
                      <w:szCs w:val="21"/>
                      <w:highlight w:val="none"/>
                      <w:lang w:val="en-US" w:eastAsia="zh-CN"/>
                    </w:rPr>
                  </w:pPr>
                  <w:r>
                    <w:rPr>
                      <w:rFonts w:hint="eastAsia"/>
                      <w:color w:val="auto"/>
                      <w:szCs w:val="21"/>
                      <w:highlight w:val="none"/>
                      <w:lang w:val="en-US" w:eastAsia="zh-CN"/>
                    </w:rPr>
                    <w:t>0.0030</w:t>
                  </w:r>
                </w:p>
              </w:tc>
              <w:tc>
                <w:tcPr>
                  <w:tcW w:w="598" w:type="pct"/>
                  <w:vAlign w:val="center"/>
                </w:tcPr>
                <w:p w14:paraId="1F2A0005">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ascii="Times New Roman" w:hAnsi="Times New Roman" w:eastAsia="宋体"/>
                      <w:color w:val="auto"/>
                      <w:szCs w:val="21"/>
                      <w:highlight w:val="none"/>
                      <w:lang w:val="en-US" w:eastAsia="zh-CN"/>
                    </w:rPr>
                  </w:pPr>
                  <w:r>
                    <w:rPr>
                      <w:rFonts w:hint="eastAsia"/>
                      <w:color w:val="auto"/>
                      <w:szCs w:val="21"/>
                      <w:highlight w:val="none"/>
                      <w:lang w:val="en-US" w:eastAsia="zh-CN"/>
                    </w:rPr>
                    <w:t>0.00016</w:t>
                  </w:r>
                </w:p>
              </w:tc>
            </w:tr>
          </w:tbl>
          <w:p w14:paraId="0FE257F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A.有组织废气</w:t>
            </w:r>
          </w:p>
          <w:p w14:paraId="1C99D0F7">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有组织废气主要为收集到的</w:t>
            </w:r>
            <w:r>
              <w:rPr>
                <w:rFonts w:hint="eastAsia" w:cs="Times New Roman"/>
                <w:color w:val="auto"/>
                <w:sz w:val="24"/>
                <w:highlight w:val="none"/>
                <w:lang w:val="en-US" w:eastAsia="zh-CN"/>
              </w:rPr>
              <w:t>原料挥发产生的</w:t>
            </w:r>
            <w:r>
              <w:rPr>
                <w:rFonts w:hint="eastAsia" w:ascii="Times New Roman" w:hAnsi="Times New Roman" w:eastAsia="宋体" w:cs="Times New Roman"/>
                <w:color w:val="auto"/>
                <w:sz w:val="24"/>
                <w:highlight w:val="none"/>
                <w:lang w:val="en-US" w:eastAsia="zh-CN"/>
              </w:rPr>
              <w:t>非甲烷总烃</w:t>
            </w:r>
            <w:r>
              <w:rPr>
                <w:rFonts w:hint="eastAsia" w:cs="Times New Roman"/>
                <w:color w:val="auto"/>
                <w:sz w:val="24"/>
                <w:highlight w:val="none"/>
                <w:lang w:val="en-US" w:eastAsia="zh-CN"/>
              </w:rPr>
              <w:t>（包括甲醇）</w:t>
            </w:r>
            <w:r>
              <w:rPr>
                <w:rFonts w:hint="eastAsia" w:ascii="Times New Roman" w:hAnsi="Times New Roman" w:eastAsia="宋体" w:cs="Times New Roman"/>
                <w:color w:val="auto"/>
                <w:sz w:val="24"/>
                <w:highlight w:val="none"/>
                <w:lang w:val="en-US" w:eastAsia="zh-CN"/>
              </w:rPr>
              <w:t>，本项目实验操作产污时间为</w:t>
            </w:r>
            <w:r>
              <w:rPr>
                <w:rFonts w:hint="eastAsia" w:ascii="Times New Roman" w:hAnsi="Times New Roman" w:eastAsia="宋体" w:cs="Times New Roman"/>
                <w:color w:val="auto"/>
                <w:sz w:val="24"/>
                <w:highlight w:val="yellow"/>
                <w:lang w:val="en-US" w:eastAsia="zh-CN"/>
              </w:rPr>
              <w:t>2000h。</w:t>
            </w:r>
            <w:r>
              <w:rPr>
                <w:rFonts w:hint="default" w:ascii="Times New Roman" w:hAnsi="Times New Roman" w:eastAsia="宋体" w:cs="Times New Roman"/>
                <w:color w:val="auto"/>
                <w:sz w:val="24"/>
                <w:highlight w:val="none"/>
              </w:rPr>
              <w:t>本项目有组织废气</w:t>
            </w:r>
            <w:r>
              <w:rPr>
                <w:rFonts w:hint="default" w:ascii="Times New Roman" w:hAnsi="Times New Roman" w:eastAsia="宋体" w:cs="Times New Roman"/>
                <w:color w:val="auto"/>
                <w:sz w:val="24"/>
                <w:highlight w:val="none"/>
                <w:lang w:val="en-US" w:eastAsia="zh-CN"/>
              </w:rPr>
              <w:t>产生源强</w:t>
            </w:r>
            <w:r>
              <w:rPr>
                <w:rFonts w:hint="default" w:ascii="Times New Roman" w:hAnsi="Times New Roman" w:eastAsia="宋体" w:cs="Times New Roman"/>
                <w:color w:val="auto"/>
                <w:sz w:val="24"/>
                <w:highlight w:val="none"/>
              </w:rPr>
              <w:t>见下表</w:t>
            </w:r>
            <w:r>
              <w:rPr>
                <w:rFonts w:hint="default" w:ascii="Times New Roman" w:hAnsi="Times New Roman" w:eastAsia="宋体" w:cs="Times New Roman"/>
                <w:color w:val="auto"/>
                <w:sz w:val="24"/>
                <w:highlight w:val="none"/>
                <w:lang w:val="en-US" w:eastAsia="zh-CN"/>
              </w:rPr>
              <w:t>4</w:t>
            </w:r>
            <w:r>
              <w:rPr>
                <w:rFonts w:hint="eastAsia" w:ascii="Times New Roman" w:hAnsi="Times New Roman" w:eastAsia="宋体" w:cs="Times New Roman"/>
                <w:color w:val="auto"/>
                <w:sz w:val="24"/>
                <w:highlight w:val="none"/>
                <w:lang w:val="en-US" w:eastAsia="zh-CN"/>
              </w:rPr>
              <w:t>-2。</w:t>
            </w:r>
          </w:p>
          <w:p w14:paraId="6EE9DC72">
            <w:pPr>
              <w:keepNext w:val="0"/>
              <w:keepLines w:val="0"/>
              <w:suppressLineNumbers w:val="0"/>
              <w:spacing w:before="0" w:beforeAutospacing="0" w:after="0" w:afterAutospacing="0" w:line="360" w:lineRule="auto"/>
              <w:ind w:left="0" w:right="0" w:firstLine="482" w:firstLineChars="200"/>
              <w:jc w:val="center"/>
              <w:rPr>
                <w:rFonts w:hint="default" w:ascii="Times New Roman" w:hAnsi="Times New Roman" w:eastAsia="宋体" w:cs="Times New Roman"/>
                <w:b/>
                <w:bCs/>
                <w:color w:val="auto"/>
                <w:sz w:val="24"/>
                <w:szCs w:val="36"/>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表4-</w:t>
            </w:r>
            <w:r>
              <w:rPr>
                <w:rFonts w:hint="eastAsia" w:ascii="Times New Roman" w:hAnsi="Times New Roman" w:eastAsia="宋体" w:cs="Times New Roman"/>
                <w:b/>
                <w:bCs/>
                <w:color w:val="auto"/>
                <w:kern w:val="2"/>
                <w:sz w:val="24"/>
                <w:szCs w:val="24"/>
                <w:highlight w:val="none"/>
                <w:lang w:val="en-US" w:eastAsia="zh-CN" w:bidi="ar-SA"/>
              </w:rPr>
              <w:t xml:space="preserve">2  </w:t>
            </w:r>
            <w:r>
              <w:rPr>
                <w:rFonts w:hint="eastAsia" w:ascii="Times New Roman" w:hAnsi="Times New Roman" w:eastAsia="宋体" w:cs="Times New Roman"/>
                <w:b/>
                <w:bCs/>
                <w:color w:val="auto"/>
                <w:sz w:val="24"/>
                <w:szCs w:val="36"/>
                <w:highlight w:val="none"/>
                <w:lang w:val="en-US" w:eastAsia="zh-CN"/>
              </w:rPr>
              <w:t>本项目</w:t>
            </w:r>
            <w:r>
              <w:rPr>
                <w:rFonts w:hint="default" w:ascii="Times New Roman" w:hAnsi="Times New Roman" w:eastAsia="宋体" w:cs="Times New Roman"/>
                <w:b/>
                <w:bCs/>
                <w:color w:val="auto"/>
                <w:sz w:val="24"/>
                <w:szCs w:val="36"/>
                <w:highlight w:val="none"/>
                <w:lang w:val="en-US" w:eastAsia="zh-CN"/>
              </w:rPr>
              <w:t>有组织产生废气源强统计表</w:t>
            </w:r>
          </w:p>
          <w:tbl>
            <w:tblPr>
              <w:tblStyle w:val="2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
              <w:gridCol w:w="479"/>
              <w:gridCol w:w="431"/>
              <w:gridCol w:w="831"/>
              <w:gridCol w:w="1069"/>
              <w:gridCol w:w="766"/>
              <w:gridCol w:w="629"/>
              <w:gridCol w:w="700"/>
              <w:gridCol w:w="1100"/>
              <w:gridCol w:w="475"/>
              <w:gridCol w:w="766"/>
              <w:gridCol w:w="685"/>
              <w:gridCol w:w="700"/>
              <w:gridCol w:w="535"/>
            </w:tblGrid>
            <w:tr w14:paraId="2354CE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66" w:hRule="atLeast"/>
                <w:jc w:val="center"/>
              </w:trPr>
              <w:tc>
                <w:tcPr>
                  <w:tcW w:w="921" w:type="dxa"/>
                  <w:gridSpan w:val="3"/>
                  <w:vMerge w:val="restart"/>
                  <w:tcBorders>
                    <w:bottom w:val="single" w:color="auto" w:sz="4" w:space="0"/>
                    <w:right w:val="single" w:color="auto" w:sz="4" w:space="0"/>
                  </w:tcBorders>
                  <w:noWrap w:val="0"/>
                  <w:vAlign w:val="center"/>
                </w:tcPr>
                <w:p w14:paraId="3A84C981">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污染物</w:t>
                  </w:r>
                </w:p>
              </w:tc>
              <w:tc>
                <w:tcPr>
                  <w:tcW w:w="831" w:type="dxa"/>
                  <w:vMerge w:val="restart"/>
                  <w:tcBorders>
                    <w:left w:val="single" w:color="auto" w:sz="4" w:space="0"/>
                    <w:bottom w:val="single" w:color="auto" w:sz="4" w:space="0"/>
                    <w:right w:val="single" w:color="auto" w:sz="4" w:space="0"/>
                  </w:tcBorders>
                  <w:noWrap w:val="0"/>
                  <w:vAlign w:val="center"/>
                </w:tcPr>
                <w:p w14:paraId="2E406774">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排气量(m</w:t>
                  </w:r>
                  <w:r>
                    <w:rPr>
                      <w:rFonts w:hint="default" w:ascii="Times New Roman" w:hAnsi="Times New Roman" w:eastAsia="宋体" w:cs="Times New Roman"/>
                      <w:b/>
                      <w:color w:val="auto"/>
                      <w:sz w:val="18"/>
                      <w:szCs w:val="18"/>
                      <w:highlight w:val="none"/>
                      <w:vertAlign w:val="superscript"/>
                    </w:rPr>
                    <w:t>3</w:t>
                  </w:r>
                  <w:r>
                    <w:rPr>
                      <w:rFonts w:hint="default" w:ascii="Times New Roman" w:hAnsi="Times New Roman" w:eastAsia="宋体" w:cs="Times New Roman"/>
                      <w:b/>
                      <w:color w:val="auto"/>
                      <w:sz w:val="18"/>
                      <w:szCs w:val="18"/>
                      <w:highlight w:val="none"/>
                    </w:rPr>
                    <w:t>/h)</w:t>
                  </w:r>
                </w:p>
              </w:tc>
              <w:tc>
                <w:tcPr>
                  <w:tcW w:w="1069" w:type="dxa"/>
                  <w:vMerge w:val="restart"/>
                  <w:tcBorders>
                    <w:left w:val="single" w:color="auto" w:sz="4" w:space="0"/>
                    <w:bottom w:val="single" w:color="auto" w:sz="4" w:space="0"/>
                    <w:right w:val="single" w:color="auto" w:sz="4" w:space="0"/>
                  </w:tcBorders>
                  <w:noWrap w:val="0"/>
                  <w:vAlign w:val="center"/>
                </w:tcPr>
                <w:p w14:paraId="1E9E65CE">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auto"/>
                      <w:sz w:val="18"/>
                      <w:szCs w:val="18"/>
                      <w:highlight w:val="none"/>
                      <w:lang w:val="en-US" w:eastAsia="zh-CN"/>
                    </w:rPr>
                  </w:pPr>
                  <w:r>
                    <w:rPr>
                      <w:rFonts w:hint="eastAsia" w:ascii="Times New Roman" w:hAnsi="Times New Roman" w:eastAsia="宋体" w:cs="Times New Roman"/>
                      <w:b/>
                      <w:color w:val="auto"/>
                      <w:sz w:val="18"/>
                      <w:szCs w:val="18"/>
                      <w:highlight w:val="none"/>
                      <w:lang w:val="en-US" w:eastAsia="zh-CN"/>
                    </w:rPr>
                    <w:t>工作时长（h/a）</w:t>
                  </w:r>
                </w:p>
              </w:tc>
              <w:tc>
                <w:tcPr>
                  <w:tcW w:w="2095" w:type="dxa"/>
                  <w:gridSpan w:val="3"/>
                  <w:tcBorders>
                    <w:left w:val="single" w:color="auto" w:sz="4" w:space="0"/>
                    <w:bottom w:val="single" w:color="auto" w:sz="4" w:space="0"/>
                    <w:right w:val="single" w:color="auto" w:sz="4" w:space="0"/>
                  </w:tcBorders>
                  <w:noWrap w:val="0"/>
                  <w:vAlign w:val="center"/>
                </w:tcPr>
                <w:p w14:paraId="57DE6F8A">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产生情况</w:t>
                  </w:r>
                </w:p>
              </w:tc>
              <w:tc>
                <w:tcPr>
                  <w:tcW w:w="1100" w:type="dxa"/>
                  <w:vMerge w:val="restart"/>
                  <w:tcBorders>
                    <w:left w:val="single" w:color="auto" w:sz="4" w:space="0"/>
                    <w:bottom w:val="single" w:color="auto" w:sz="4" w:space="0"/>
                    <w:right w:val="single" w:color="auto" w:sz="4" w:space="0"/>
                  </w:tcBorders>
                  <w:noWrap w:val="0"/>
                  <w:vAlign w:val="center"/>
                </w:tcPr>
                <w:p w14:paraId="20015279">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处理方式</w:t>
                  </w:r>
                </w:p>
              </w:tc>
              <w:tc>
                <w:tcPr>
                  <w:tcW w:w="475" w:type="dxa"/>
                  <w:vMerge w:val="restart"/>
                  <w:tcBorders>
                    <w:left w:val="single" w:color="auto" w:sz="4" w:space="0"/>
                    <w:bottom w:val="single" w:color="auto" w:sz="4" w:space="0"/>
                    <w:right w:val="single" w:color="auto" w:sz="4" w:space="0"/>
                  </w:tcBorders>
                  <w:noWrap w:val="0"/>
                  <w:vAlign w:val="center"/>
                </w:tcPr>
                <w:p w14:paraId="4DF8A495">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去除率</w:t>
                  </w:r>
                </w:p>
              </w:tc>
              <w:tc>
                <w:tcPr>
                  <w:tcW w:w="2151" w:type="dxa"/>
                  <w:gridSpan w:val="3"/>
                  <w:tcBorders>
                    <w:left w:val="single" w:color="auto" w:sz="4" w:space="0"/>
                    <w:bottom w:val="single" w:color="auto" w:sz="4" w:space="0"/>
                    <w:right w:val="single" w:color="auto" w:sz="4" w:space="0"/>
                  </w:tcBorders>
                  <w:noWrap w:val="0"/>
                  <w:vAlign w:val="center"/>
                </w:tcPr>
                <w:p w14:paraId="4CFC6AA5">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排放情况</w:t>
                  </w:r>
                </w:p>
              </w:tc>
              <w:tc>
                <w:tcPr>
                  <w:tcW w:w="535" w:type="dxa"/>
                  <w:vMerge w:val="restart"/>
                  <w:tcBorders>
                    <w:left w:val="single" w:color="auto" w:sz="4" w:space="0"/>
                    <w:bottom w:val="single" w:color="auto" w:sz="4" w:space="0"/>
                  </w:tcBorders>
                  <w:noWrap w:val="0"/>
                  <w:vAlign w:val="center"/>
                </w:tcPr>
                <w:p w14:paraId="08DAD406">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排放去向</w:t>
                  </w:r>
                </w:p>
              </w:tc>
            </w:tr>
            <w:tr w14:paraId="0848CB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20" w:hRule="atLeast"/>
                <w:jc w:val="center"/>
              </w:trPr>
              <w:tc>
                <w:tcPr>
                  <w:tcW w:w="921" w:type="dxa"/>
                  <w:gridSpan w:val="3"/>
                  <w:vMerge w:val="continue"/>
                  <w:tcBorders>
                    <w:top w:val="single" w:color="auto" w:sz="4" w:space="0"/>
                    <w:bottom w:val="single" w:color="auto" w:sz="4" w:space="0"/>
                    <w:right w:val="single" w:color="auto" w:sz="4" w:space="0"/>
                  </w:tcBorders>
                  <w:noWrap w:val="0"/>
                  <w:vAlign w:val="center"/>
                </w:tcPr>
                <w:p w14:paraId="5F1031D4">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18"/>
                      <w:szCs w:val="18"/>
                      <w:highlight w:val="none"/>
                    </w:rPr>
                  </w:pPr>
                </w:p>
              </w:tc>
              <w:tc>
                <w:tcPr>
                  <w:tcW w:w="831" w:type="dxa"/>
                  <w:vMerge w:val="continue"/>
                  <w:tcBorders>
                    <w:top w:val="single" w:color="auto" w:sz="4" w:space="0"/>
                    <w:left w:val="single" w:color="auto" w:sz="4" w:space="0"/>
                    <w:bottom w:val="single" w:color="auto" w:sz="4" w:space="0"/>
                    <w:right w:val="single" w:color="auto" w:sz="4" w:space="0"/>
                  </w:tcBorders>
                  <w:noWrap w:val="0"/>
                  <w:vAlign w:val="center"/>
                </w:tcPr>
                <w:p w14:paraId="6C78172F">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18"/>
                      <w:szCs w:val="18"/>
                      <w:highlight w:val="none"/>
                    </w:rPr>
                  </w:pPr>
                </w:p>
              </w:tc>
              <w:tc>
                <w:tcPr>
                  <w:tcW w:w="1069" w:type="dxa"/>
                  <w:vMerge w:val="continue"/>
                  <w:tcBorders>
                    <w:top w:val="single" w:color="auto" w:sz="4" w:space="0"/>
                    <w:left w:val="single" w:color="auto" w:sz="4" w:space="0"/>
                    <w:bottom w:val="single" w:color="auto" w:sz="4" w:space="0"/>
                    <w:right w:val="single" w:color="auto" w:sz="4" w:space="0"/>
                  </w:tcBorders>
                  <w:noWrap w:val="0"/>
                  <w:vAlign w:val="center"/>
                </w:tcPr>
                <w:p w14:paraId="307A5FDB">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18"/>
                      <w:szCs w:val="18"/>
                      <w:highlight w:val="none"/>
                    </w:rPr>
                  </w:pPr>
                </w:p>
              </w:tc>
              <w:tc>
                <w:tcPr>
                  <w:tcW w:w="766" w:type="dxa"/>
                  <w:tcBorders>
                    <w:top w:val="single" w:color="auto" w:sz="4" w:space="0"/>
                    <w:left w:val="single" w:color="auto" w:sz="4" w:space="0"/>
                    <w:bottom w:val="single" w:color="auto" w:sz="4" w:space="0"/>
                    <w:right w:val="single" w:color="auto" w:sz="4" w:space="0"/>
                  </w:tcBorders>
                  <w:noWrap w:val="0"/>
                  <w:vAlign w:val="center"/>
                </w:tcPr>
                <w:p w14:paraId="74B3ADEB">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
                      <w:bCs/>
                      <w:color w:val="auto"/>
                      <w:sz w:val="18"/>
                      <w:szCs w:val="18"/>
                      <w:highlight w:val="none"/>
                    </w:rPr>
                    <w:t>浓度</w:t>
                  </w:r>
                  <w:r>
                    <w:rPr>
                      <w:rFonts w:hint="default" w:ascii="Times New Roman" w:hAnsi="Times New Roman" w:eastAsia="宋体" w:cs="Times New Roman"/>
                      <w:b/>
                      <w:bCs/>
                      <w:color w:val="auto"/>
                      <w:sz w:val="18"/>
                      <w:szCs w:val="18"/>
                      <w:highlight w:val="none"/>
                      <w:lang w:val="en-US" w:eastAsia="zh-CN"/>
                    </w:rPr>
                    <w:t>(</w:t>
                  </w:r>
                  <w:r>
                    <w:rPr>
                      <w:rFonts w:hint="default" w:ascii="Times New Roman" w:hAnsi="Times New Roman" w:eastAsia="宋体" w:cs="Times New Roman"/>
                      <w:b/>
                      <w:bCs/>
                      <w:color w:val="auto"/>
                      <w:sz w:val="18"/>
                      <w:szCs w:val="18"/>
                      <w:highlight w:val="none"/>
                    </w:rPr>
                    <w:t>mg/m</w:t>
                  </w:r>
                  <w:r>
                    <w:rPr>
                      <w:rFonts w:hint="default" w:ascii="Times New Roman" w:hAnsi="Times New Roman" w:eastAsia="宋体" w:cs="Times New Roman"/>
                      <w:b/>
                      <w:bCs/>
                      <w:color w:val="auto"/>
                      <w:sz w:val="18"/>
                      <w:szCs w:val="18"/>
                      <w:highlight w:val="none"/>
                      <w:vertAlign w:val="superscript"/>
                    </w:rPr>
                    <w:t>3</w:t>
                  </w:r>
                  <w:r>
                    <w:rPr>
                      <w:rFonts w:hint="default" w:ascii="Times New Roman" w:hAnsi="Times New Roman" w:eastAsia="宋体" w:cs="Times New Roman"/>
                      <w:b/>
                      <w:bCs/>
                      <w:color w:val="auto"/>
                      <w:sz w:val="18"/>
                      <w:szCs w:val="18"/>
                      <w:highlight w:val="none"/>
                      <w:lang w:val="en-US" w:eastAsia="zh-CN"/>
                    </w:rPr>
                    <w:t>)</w:t>
                  </w:r>
                </w:p>
              </w:tc>
              <w:tc>
                <w:tcPr>
                  <w:tcW w:w="629" w:type="dxa"/>
                  <w:tcBorders>
                    <w:top w:val="single" w:color="auto" w:sz="4" w:space="0"/>
                    <w:left w:val="single" w:color="auto" w:sz="4" w:space="0"/>
                    <w:bottom w:val="single" w:color="auto" w:sz="4" w:space="0"/>
                    <w:right w:val="single" w:color="auto" w:sz="4" w:space="0"/>
                  </w:tcBorders>
                  <w:noWrap w:val="0"/>
                  <w:vAlign w:val="center"/>
                </w:tcPr>
                <w:p w14:paraId="1AE6634B">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
                      <w:bCs/>
                      <w:color w:val="auto"/>
                      <w:sz w:val="18"/>
                      <w:szCs w:val="18"/>
                      <w:highlight w:val="none"/>
                    </w:rPr>
                    <w:t>速率</w:t>
                  </w:r>
                  <w:r>
                    <w:rPr>
                      <w:rFonts w:hint="default" w:ascii="Times New Roman" w:hAnsi="Times New Roman" w:eastAsia="宋体" w:cs="Times New Roman"/>
                      <w:b/>
                      <w:bCs/>
                      <w:color w:val="auto"/>
                      <w:sz w:val="18"/>
                      <w:szCs w:val="18"/>
                      <w:highlight w:val="none"/>
                      <w:lang w:val="en-US" w:eastAsia="zh-CN"/>
                    </w:rPr>
                    <w:t>(</w:t>
                  </w:r>
                  <w:r>
                    <w:rPr>
                      <w:rFonts w:hint="default" w:ascii="Times New Roman" w:hAnsi="Times New Roman" w:eastAsia="宋体" w:cs="Times New Roman"/>
                      <w:b/>
                      <w:bCs/>
                      <w:color w:val="auto"/>
                      <w:sz w:val="18"/>
                      <w:szCs w:val="18"/>
                      <w:highlight w:val="none"/>
                    </w:rPr>
                    <w:t>kg/h</w:t>
                  </w:r>
                  <w:r>
                    <w:rPr>
                      <w:rFonts w:hint="default" w:ascii="Times New Roman" w:hAnsi="Times New Roman" w:eastAsia="宋体" w:cs="Times New Roman"/>
                      <w:b/>
                      <w:bCs/>
                      <w:color w:val="auto"/>
                      <w:sz w:val="18"/>
                      <w:szCs w:val="18"/>
                      <w:highlight w:val="none"/>
                      <w:lang w:val="en-US" w:eastAsia="zh-CN"/>
                    </w:rPr>
                    <w:t>)</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3A872AAB">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b/>
                      <w:bCs/>
                      <w:color w:val="auto"/>
                      <w:sz w:val="18"/>
                      <w:szCs w:val="18"/>
                      <w:highlight w:val="none"/>
                      <w:lang w:val="en-US" w:eastAsia="zh-CN"/>
                    </w:rPr>
                    <w:t>产生</w:t>
                  </w:r>
                  <w:r>
                    <w:rPr>
                      <w:rFonts w:hint="default" w:ascii="Times New Roman" w:hAnsi="Times New Roman" w:eastAsia="宋体" w:cs="Times New Roman"/>
                      <w:b/>
                      <w:bCs/>
                      <w:color w:val="auto"/>
                      <w:sz w:val="18"/>
                      <w:szCs w:val="18"/>
                      <w:highlight w:val="none"/>
                    </w:rPr>
                    <w:t>量</w:t>
                  </w:r>
                  <w:r>
                    <w:rPr>
                      <w:rFonts w:hint="default" w:ascii="Times New Roman" w:hAnsi="Times New Roman" w:eastAsia="宋体" w:cs="Times New Roman"/>
                      <w:b/>
                      <w:bCs/>
                      <w:color w:val="auto"/>
                      <w:sz w:val="18"/>
                      <w:szCs w:val="18"/>
                      <w:highlight w:val="none"/>
                      <w:lang w:val="en-US" w:eastAsia="zh-CN"/>
                    </w:rPr>
                    <w:t>(</w:t>
                  </w:r>
                  <w:r>
                    <w:rPr>
                      <w:rFonts w:hint="default" w:ascii="Times New Roman" w:hAnsi="Times New Roman" w:eastAsia="宋体" w:cs="Times New Roman"/>
                      <w:b/>
                      <w:bCs/>
                      <w:color w:val="auto"/>
                      <w:sz w:val="18"/>
                      <w:szCs w:val="18"/>
                      <w:highlight w:val="none"/>
                    </w:rPr>
                    <w:t>t/a</w:t>
                  </w:r>
                  <w:r>
                    <w:rPr>
                      <w:rFonts w:hint="default" w:ascii="Times New Roman" w:hAnsi="Times New Roman" w:eastAsia="宋体" w:cs="Times New Roman"/>
                      <w:b/>
                      <w:bCs/>
                      <w:color w:val="auto"/>
                      <w:sz w:val="18"/>
                      <w:szCs w:val="18"/>
                      <w:highlight w:val="none"/>
                      <w:lang w:val="en-US" w:eastAsia="zh-CN"/>
                    </w:rPr>
                    <w:t>)</w:t>
                  </w:r>
                </w:p>
              </w:tc>
              <w:tc>
                <w:tcPr>
                  <w:tcW w:w="1100" w:type="dxa"/>
                  <w:vMerge w:val="continue"/>
                  <w:tcBorders>
                    <w:top w:val="single" w:color="auto" w:sz="4" w:space="0"/>
                    <w:left w:val="single" w:color="auto" w:sz="4" w:space="0"/>
                    <w:bottom w:val="single" w:color="auto" w:sz="4" w:space="0"/>
                    <w:right w:val="single" w:color="auto" w:sz="4" w:space="0"/>
                  </w:tcBorders>
                  <w:noWrap w:val="0"/>
                  <w:vAlign w:val="center"/>
                </w:tcPr>
                <w:p w14:paraId="014BFBC1">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18"/>
                      <w:szCs w:val="18"/>
                      <w:highlight w:val="none"/>
                    </w:rPr>
                  </w:pPr>
                </w:p>
              </w:tc>
              <w:tc>
                <w:tcPr>
                  <w:tcW w:w="475" w:type="dxa"/>
                  <w:vMerge w:val="continue"/>
                  <w:tcBorders>
                    <w:top w:val="single" w:color="auto" w:sz="4" w:space="0"/>
                    <w:left w:val="single" w:color="auto" w:sz="4" w:space="0"/>
                    <w:bottom w:val="single" w:color="auto" w:sz="4" w:space="0"/>
                    <w:right w:val="single" w:color="auto" w:sz="4" w:space="0"/>
                  </w:tcBorders>
                  <w:noWrap w:val="0"/>
                  <w:vAlign w:val="center"/>
                </w:tcPr>
                <w:p w14:paraId="2FB2A796">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18"/>
                      <w:szCs w:val="18"/>
                      <w:highlight w:val="none"/>
                    </w:rPr>
                  </w:pPr>
                </w:p>
              </w:tc>
              <w:tc>
                <w:tcPr>
                  <w:tcW w:w="766" w:type="dxa"/>
                  <w:tcBorders>
                    <w:top w:val="single" w:color="auto" w:sz="4" w:space="0"/>
                    <w:left w:val="single" w:color="auto" w:sz="4" w:space="0"/>
                    <w:bottom w:val="single" w:color="auto" w:sz="4" w:space="0"/>
                    <w:right w:val="single" w:color="auto" w:sz="4" w:space="0"/>
                  </w:tcBorders>
                  <w:noWrap w:val="0"/>
                  <w:vAlign w:val="center"/>
                </w:tcPr>
                <w:p w14:paraId="756AD48D">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b/>
                      <w:bCs/>
                      <w:color w:val="auto"/>
                      <w:sz w:val="18"/>
                      <w:szCs w:val="18"/>
                      <w:highlight w:val="none"/>
                    </w:rPr>
                    <w:t>浓度</w:t>
                  </w:r>
                  <w:r>
                    <w:rPr>
                      <w:rFonts w:hint="default" w:ascii="Times New Roman" w:hAnsi="Times New Roman" w:eastAsia="宋体" w:cs="Times New Roman"/>
                      <w:b/>
                      <w:bCs/>
                      <w:color w:val="auto"/>
                      <w:sz w:val="18"/>
                      <w:szCs w:val="18"/>
                      <w:highlight w:val="none"/>
                      <w:lang w:val="en-US" w:eastAsia="zh-CN"/>
                    </w:rPr>
                    <w:t>(</w:t>
                  </w:r>
                  <w:r>
                    <w:rPr>
                      <w:rFonts w:hint="default" w:ascii="Times New Roman" w:hAnsi="Times New Roman" w:eastAsia="宋体" w:cs="Times New Roman"/>
                      <w:b/>
                      <w:bCs/>
                      <w:color w:val="auto"/>
                      <w:sz w:val="18"/>
                      <w:szCs w:val="18"/>
                      <w:highlight w:val="none"/>
                    </w:rPr>
                    <w:t>mg/m</w:t>
                  </w:r>
                  <w:r>
                    <w:rPr>
                      <w:rFonts w:hint="default" w:ascii="Times New Roman" w:hAnsi="Times New Roman" w:eastAsia="宋体" w:cs="Times New Roman"/>
                      <w:b/>
                      <w:bCs/>
                      <w:color w:val="auto"/>
                      <w:sz w:val="18"/>
                      <w:szCs w:val="18"/>
                      <w:highlight w:val="none"/>
                      <w:vertAlign w:val="superscript"/>
                    </w:rPr>
                    <w:t>3</w:t>
                  </w:r>
                  <w:r>
                    <w:rPr>
                      <w:rFonts w:hint="default" w:ascii="Times New Roman" w:hAnsi="Times New Roman" w:eastAsia="宋体" w:cs="Times New Roman"/>
                      <w:b/>
                      <w:bCs/>
                      <w:color w:val="auto"/>
                      <w:sz w:val="18"/>
                      <w:szCs w:val="18"/>
                      <w:highlight w:val="none"/>
                      <w:lang w:val="en-US" w:eastAsia="zh-CN"/>
                    </w:rPr>
                    <w:t>)</w:t>
                  </w:r>
                </w:p>
              </w:tc>
              <w:tc>
                <w:tcPr>
                  <w:tcW w:w="685" w:type="dxa"/>
                  <w:tcBorders>
                    <w:top w:val="single" w:color="auto" w:sz="4" w:space="0"/>
                    <w:left w:val="single" w:color="auto" w:sz="4" w:space="0"/>
                    <w:bottom w:val="single" w:color="auto" w:sz="4" w:space="0"/>
                    <w:right w:val="single" w:color="auto" w:sz="4" w:space="0"/>
                  </w:tcBorders>
                  <w:noWrap w:val="0"/>
                  <w:vAlign w:val="center"/>
                </w:tcPr>
                <w:p w14:paraId="147F544B">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b/>
                      <w:bCs/>
                      <w:color w:val="auto"/>
                      <w:sz w:val="18"/>
                      <w:szCs w:val="18"/>
                      <w:highlight w:val="none"/>
                    </w:rPr>
                    <w:t>速率</w:t>
                  </w:r>
                  <w:r>
                    <w:rPr>
                      <w:rFonts w:hint="default" w:ascii="Times New Roman" w:hAnsi="Times New Roman" w:eastAsia="宋体" w:cs="Times New Roman"/>
                      <w:b/>
                      <w:bCs/>
                      <w:color w:val="auto"/>
                      <w:sz w:val="18"/>
                      <w:szCs w:val="18"/>
                      <w:highlight w:val="none"/>
                      <w:lang w:val="en-US" w:eastAsia="zh-CN"/>
                    </w:rPr>
                    <w:t>(</w:t>
                  </w:r>
                  <w:r>
                    <w:rPr>
                      <w:rFonts w:hint="default" w:ascii="Times New Roman" w:hAnsi="Times New Roman" w:eastAsia="宋体" w:cs="Times New Roman"/>
                      <w:b/>
                      <w:bCs/>
                      <w:color w:val="auto"/>
                      <w:sz w:val="18"/>
                      <w:szCs w:val="18"/>
                      <w:highlight w:val="none"/>
                    </w:rPr>
                    <w:t>kg/h</w:t>
                  </w:r>
                  <w:r>
                    <w:rPr>
                      <w:rFonts w:hint="default" w:ascii="Times New Roman" w:hAnsi="Times New Roman" w:eastAsia="宋体" w:cs="Times New Roman"/>
                      <w:b/>
                      <w:bCs/>
                      <w:color w:val="auto"/>
                      <w:sz w:val="18"/>
                      <w:szCs w:val="18"/>
                      <w:highlight w:val="none"/>
                      <w:lang w:val="en-US" w:eastAsia="zh-CN"/>
                    </w:rPr>
                    <w:t>)</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21A46925">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b/>
                      <w:bCs/>
                      <w:color w:val="auto"/>
                      <w:sz w:val="18"/>
                      <w:szCs w:val="18"/>
                      <w:highlight w:val="none"/>
                    </w:rPr>
                    <w:t>排放量</w:t>
                  </w:r>
                  <w:r>
                    <w:rPr>
                      <w:rFonts w:hint="default" w:ascii="Times New Roman" w:hAnsi="Times New Roman" w:eastAsia="宋体" w:cs="Times New Roman"/>
                      <w:b/>
                      <w:bCs/>
                      <w:color w:val="auto"/>
                      <w:sz w:val="18"/>
                      <w:szCs w:val="18"/>
                      <w:highlight w:val="none"/>
                      <w:lang w:val="en-US" w:eastAsia="zh-CN"/>
                    </w:rPr>
                    <w:t>(</w:t>
                  </w:r>
                  <w:r>
                    <w:rPr>
                      <w:rFonts w:hint="default" w:ascii="Times New Roman" w:hAnsi="Times New Roman" w:eastAsia="宋体" w:cs="Times New Roman"/>
                      <w:b/>
                      <w:bCs/>
                      <w:color w:val="auto"/>
                      <w:sz w:val="18"/>
                      <w:szCs w:val="18"/>
                      <w:highlight w:val="none"/>
                    </w:rPr>
                    <w:t>t/a</w:t>
                  </w:r>
                  <w:r>
                    <w:rPr>
                      <w:rFonts w:hint="default" w:ascii="Times New Roman" w:hAnsi="Times New Roman" w:eastAsia="宋体" w:cs="Times New Roman"/>
                      <w:b/>
                      <w:bCs/>
                      <w:color w:val="auto"/>
                      <w:sz w:val="18"/>
                      <w:szCs w:val="18"/>
                      <w:highlight w:val="none"/>
                      <w:lang w:val="en-US" w:eastAsia="zh-CN"/>
                    </w:rPr>
                    <w:t>)</w:t>
                  </w:r>
                </w:p>
              </w:tc>
              <w:tc>
                <w:tcPr>
                  <w:tcW w:w="535" w:type="dxa"/>
                  <w:vMerge w:val="continue"/>
                  <w:tcBorders>
                    <w:top w:val="single" w:color="auto" w:sz="4" w:space="0"/>
                    <w:left w:val="single" w:color="auto" w:sz="4" w:space="0"/>
                    <w:bottom w:val="single" w:color="auto" w:sz="4" w:space="0"/>
                  </w:tcBorders>
                  <w:noWrap w:val="0"/>
                  <w:vAlign w:val="center"/>
                </w:tcPr>
                <w:p w14:paraId="2B8F55A3">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bCs/>
                      <w:color w:val="auto"/>
                      <w:sz w:val="18"/>
                      <w:szCs w:val="18"/>
                      <w:highlight w:val="none"/>
                    </w:rPr>
                  </w:pPr>
                </w:p>
              </w:tc>
            </w:tr>
            <w:tr w14:paraId="3D4BBF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173" w:hRule="atLeast"/>
                <w:jc w:val="center"/>
              </w:trPr>
              <w:tc>
                <w:tcPr>
                  <w:tcW w:w="11" w:type="dxa"/>
                  <w:tcBorders>
                    <w:top w:val="single" w:color="auto" w:sz="4" w:space="0"/>
                    <w:bottom w:val="single" w:color="auto" w:sz="4" w:space="0"/>
                    <w:right w:val="single" w:color="auto" w:sz="4" w:space="0"/>
                  </w:tcBorders>
                  <w:noWrap w:val="0"/>
                  <w:vAlign w:val="center"/>
                </w:tcPr>
                <w:p w14:paraId="03B7D690">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cs="Times New Roman"/>
                      <w:color w:val="auto"/>
                      <w:sz w:val="18"/>
                      <w:szCs w:val="18"/>
                      <w:highlight w:val="none"/>
                      <w:lang w:eastAsia="zh-CN"/>
                    </w:rPr>
                  </w:pPr>
                </w:p>
              </w:tc>
              <w:tc>
                <w:tcPr>
                  <w:tcW w:w="910" w:type="dxa"/>
                  <w:gridSpan w:val="2"/>
                  <w:tcBorders>
                    <w:top w:val="single" w:color="auto" w:sz="4" w:space="0"/>
                    <w:left w:val="single" w:color="auto" w:sz="4" w:space="0"/>
                    <w:bottom w:val="single" w:color="auto" w:sz="4" w:space="0"/>
                    <w:right w:val="single" w:color="auto" w:sz="4" w:space="0"/>
                  </w:tcBorders>
                  <w:noWrap w:val="0"/>
                  <w:vAlign w:val="center"/>
                </w:tcPr>
                <w:p w14:paraId="2EAEF5B1">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b w:val="0"/>
                      <w:bCs w:val="0"/>
                      <w:color w:val="auto"/>
                      <w:sz w:val="18"/>
                      <w:szCs w:val="18"/>
                      <w:highlight w:val="none"/>
                      <w:lang w:eastAsia="zh-CN"/>
                    </w:rPr>
                    <w:t>非甲烷总烃</w:t>
                  </w:r>
                </w:p>
              </w:tc>
              <w:tc>
                <w:tcPr>
                  <w:tcW w:w="831" w:type="dxa"/>
                  <w:tcBorders>
                    <w:top w:val="single" w:color="auto" w:sz="4" w:space="0"/>
                    <w:left w:val="single" w:color="auto" w:sz="4" w:space="0"/>
                    <w:bottom w:val="single" w:color="auto" w:sz="4" w:space="0"/>
                    <w:right w:val="single" w:color="auto" w:sz="4" w:space="0"/>
                  </w:tcBorders>
                  <w:noWrap w:val="0"/>
                  <w:vAlign w:val="center"/>
                </w:tcPr>
                <w:p w14:paraId="0E1801C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2600</w:t>
                  </w:r>
                </w:p>
              </w:tc>
              <w:tc>
                <w:tcPr>
                  <w:tcW w:w="1069" w:type="dxa"/>
                  <w:tcBorders>
                    <w:top w:val="single" w:color="auto" w:sz="4" w:space="0"/>
                    <w:left w:val="single" w:color="auto" w:sz="4" w:space="0"/>
                    <w:bottom w:val="single" w:color="auto" w:sz="4" w:space="0"/>
                    <w:right w:val="single" w:color="auto" w:sz="4" w:space="0"/>
                  </w:tcBorders>
                  <w:noWrap w:val="0"/>
                  <w:vAlign w:val="center"/>
                </w:tcPr>
                <w:p w14:paraId="10AE53C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2000</w:t>
                  </w:r>
                </w:p>
              </w:tc>
              <w:tc>
                <w:tcPr>
                  <w:tcW w:w="766" w:type="dxa"/>
                  <w:tcBorders>
                    <w:top w:val="single" w:color="auto" w:sz="4" w:space="0"/>
                    <w:left w:val="single" w:color="auto" w:sz="4" w:space="0"/>
                    <w:bottom w:val="single" w:color="auto" w:sz="4" w:space="0"/>
                    <w:right w:val="single" w:color="auto" w:sz="4" w:space="0"/>
                  </w:tcBorders>
                  <w:noWrap w:val="0"/>
                  <w:vAlign w:val="center"/>
                </w:tcPr>
                <w:p w14:paraId="5DCE25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等线" w:cs="Times New Roman"/>
                      <w:i w:val="0"/>
                      <w:iCs w:val="0"/>
                      <w:color w:val="000000"/>
                      <w:kern w:val="0"/>
                      <w:sz w:val="18"/>
                      <w:szCs w:val="18"/>
                      <w:u w:val="none"/>
                      <w:lang w:val="en-US" w:eastAsia="zh-CN" w:bidi="ar"/>
                    </w:rPr>
                    <w:t>8.758</w:t>
                  </w:r>
                </w:p>
              </w:tc>
              <w:tc>
                <w:tcPr>
                  <w:tcW w:w="629" w:type="dxa"/>
                  <w:tcBorders>
                    <w:top w:val="single" w:color="auto" w:sz="4" w:space="0"/>
                    <w:left w:val="single" w:color="auto" w:sz="4" w:space="0"/>
                    <w:bottom w:val="single" w:color="auto" w:sz="4" w:space="0"/>
                    <w:right w:val="single" w:color="auto" w:sz="4" w:space="0"/>
                  </w:tcBorders>
                  <w:noWrap w:val="0"/>
                  <w:vAlign w:val="center"/>
                </w:tcPr>
                <w:p w14:paraId="200B14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等线" w:cs="Times New Roman"/>
                      <w:i w:val="0"/>
                      <w:iCs w:val="0"/>
                      <w:color w:val="000000"/>
                      <w:kern w:val="0"/>
                      <w:sz w:val="18"/>
                      <w:szCs w:val="18"/>
                      <w:u w:val="none"/>
                      <w:lang w:val="en-US" w:eastAsia="zh-CN" w:bidi="ar"/>
                    </w:rPr>
                    <w:t>0.0227</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04360B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等线" w:cs="Times New Roman"/>
                      <w:i w:val="0"/>
                      <w:iCs w:val="0"/>
                      <w:color w:val="000000"/>
                      <w:kern w:val="0"/>
                      <w:sz w:val="18"/>
                      <w:szCs w:val="18"/>
                      <w:u w:val="none"/>
                      <w:lang w:val="en-US" w:eastAsia="zh-CN" w:bidi="ar"/>
                    </w:rPr>
                    <w:t>0.0455</w:t>
                  </w:r>
                </w:p>
              </w:tc>
              <w:tc>
                <w:tcPr>
                  <w:tcW w:w="1100" w:type="dxa"/>
                  <w:vMerge w:val="restart"/>
                  <w:tcBorders>
                    <w:top w:val="single" w:color="auto" w:sz="4" w:space="0"/>
                    <w:left w:val="single" w:color="auto" w:sz="4" w:space="0"/>
                    <w:right w:val="single" w:color="auto" w:sz="4" w:space="0"/>
                  </w:tcBorders>
                  <w:noWrap w:val="0"/>
                  <w:vAlign w:val="center"/>
                </w:tcPr>
                <w:p w14:paraId="12F22E8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二级活性炭吸附装置</w:t>
                  </w:r>
                </w:p>
              </w:tc>
              <w:tc>
                <w:tcPr>
                  <w:tcW w:w="475" w:type="dxa"/>
                  <w:tcBorders>
                    <w:top w:val="single" w:color="auto" w:sz="4" w:space="0"/>
                    <w:left w:val="single" w:color="auto" w:sz="4" w:space="0"/>
                    <w:bottom w:val="single" w:color="auto" w:sz="4" w:space="0"/>
                    <w:right w:val="single" w:color="auto" w:sz="4" w:space="0"/>
                  </w:tcBorders>
                  <w:noWrap w:val="0"/>
                  <w:vAlign w:val="center"/>
                </w:tcPr>
                <w:p w14:paraId="632BF3D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90</w:t>
                  </w:r>
                  <w:r>
                    <w:rPr>
                      <w:rFonts w:hint="default" w:ascii="Times New Roman" w:hAnsi="Times New Roman" w:eastAsia="宋体" w:cs="Times New Roman"/>
                      <w:color w:val="auto"/>
                      <w:sz w:val="18"/>
                      <w:szCs w:val="18"/>
                      <w:highlight w:val="none"/>
                      <w:lang w:val="en-US" w:eastAsia="zh-CN"/>
                    </w:rPr>
                    <w:t>%</w:t>
                  </w:r>
                </w:p>
              </w:tc>
              <w:tc>
                <w:tcPr>
                  <w:tcW w:w="766" w:type="dxa"/>
                  <w:tcBorders>
                    <w:top w:val="single" w:color="auto" w:sz="4" w:space="0"/>
                    <w:left w:val="single" w:color="auto" w:sz="4" w:space="0"/>
                    <w:bottom w:val="single" w:color="auto" w:sz="4" w:space="0"/>
                    <w:right w:val="single" w:color="auto" w:sz="4" w:space="0"/>
                  </w:tcBorders>
                  <w:noWrap w:val="0"/>
                  <w:vAlign w:val="center"/>
                </w:tcPr>
                <w:p w14:paraId="1EDD20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等线" w:cs="Times New Roman"/>
                      <w:i w:val="0"/>
                      <w:iCs w:val="0"/>
                      <w:color w:val="000000"/>
                      <w:kern w:val="0"/>
                      <w:sz w:val="18"/>
                      <w:szCs w:val="18"/>
                      <w:u w:val="none"/>
                      <w:lang w:val="en-US" w:eastAsia="zh-CN" w:bidi="ar"/>
                    </w:rPr>
                    <w:t>0.8758</w:t>
                  </w:r>
                </w:p>
              </w:tc>
              <w:tc>
                <w:tcPr>
                  <w:tcW w:w="685" w:type="dxa"/>
                  <w:tcBorders>
                    <w:top w:val="single" w:color="auto" w:sz="4" w:space="0"/>
                    <w:left w:val="single" w:color="auto" w:sz="4" w:space="0"/>
                    <w:bottom w:val="single" w:color="auto" w:sz="4" w:space="0"/>
                    <w:right w:val="single" w:color="auto" w:sz="4" w:space="0"/>
                  </w:tcBorders>
                  <w:noWrap w:val="0"/>
                  <w:vAlign w:val="center"/>
                </w:tcPr>
                <w:p w14:paraId="10DA45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等线" w:cs="Times New Roman"/>
                      <w:i w:val="0"/>
                      <w:iCs w:val="0"/>
                      <w:color w:val="000000"/>
                      <w:kern w:val="0"/>
                      <w:sz w:val="18"/>
                      <w:szCs w:val="18"/>
                      <w:u w:val="none"/>
                      <w:lang w:val="en-US" w:eastAsia="zh-CN" w:bidi="ar"/>
                    </w:rPr>
                    <w:t>0.002</w:t>
                  </w:r>
                  <w:r>
                    <w:rPr>
                      <w:rFonts w:hint="eastAsia" w:eastAsia="等线" w:cs="Times New Roman"/>
                      <w:i w:val="0"/>
                      <w:iCs w:val="0"/>
                      <w:color w:val="000000"/>
                      <w:kern w:val="0"/>
                      <w:sz w:val="18"/>
                      <w:szCs w:val="18"/>
                      <w:u w:val="none"/>
                      <w:lang w:val="en-US" w:eastAsia="zh-CN" w:bidi="ar"/>
                    </w:rPr>
                    <w:t>3</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5ADA13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等线" w:cs="Times New Roman"/>
                      <w:i w:val="0"/>
                      <w:iCs w:val="0"/>
                      <w:color w:val="000000"/>
                      <w:kern w:val="0"/>
                      <w:sz w:val="18"/>
                      <w:szCs w:val="18"/>
                      <w:u w:val="none"/>
                      <w:lang w:val="en-US" w:eastAsia="zh-CN" w:bidi="ar"/>
                    </w:rPr>
                    <w:t>0.0045</w:t>
                  </w:r>
                </w:p>
              </w:tc>
              <w:tc>
                <w:tcPr>
                  <w:tcW w:w="535" w:type="dxa"/>
                  <w:vMerge w:val="restart"/>
                  <w:tcBorders>
                    <w:top w:val="single" w:color="auto" w:sz="4" w:space="0"/>
                    <w:left w:val="single" w:color="auto" w:sz="4" w:space="0"/>
                  </w:tcBorders>
                  <w:noWrap w:val="0"/>
                  <w:vAlign w:val="center"/>
                </w:tcPr>
                <w:p w14:paraId="6D0269E2">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一根15米高排气筒FQ01</w:t>
                  </w:r>
                </w:p>
              </w:tc>
            </w:tr>
            <w:tr w14:paraId="18CBDE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178" w:hRule="atLeast"/>
                <w:jc w:val="center"/>
              </w:trPr>
              <w:tc>
                <w:tcPr>
                  <w:tcW w:w="11" w:type="dxa"/>
                  <w:tcBorders>
                    <w:top w:val="single" w:color="auto" w:sz="4" w:space="0"/>
                    <w:bottom w:val="single" w:color="auto" w:sz="4" w:space="0"/>
                    <w:right w:val="single" w:color="auto" w:sz="4" w:space="0"/>
                  </w:tcBorders>
                  <w:noWrap w:val="0"/>
                  <w:vAlign w:val="center"/>
                </w:tcPr>
                <w:p w14:paraId="6DBD8A16">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79" w:type="dxa"/>
                  <w:tcBorders>
                    <w:top w:val="single" w:color="auto" w:sz="4" w:space="0"/>
                    <w:left w:val="single" w:color="auto" w:sz="4" w:space="0"/>
                    <w:bottom w:val="single" w:color="auto" w:sz="4" w:space="0"/>
                    <w:right w:val="single" w:color="000000" w:sz="2" w:space="0"/>
                  </w:tcBorders>
                  <w:noWrap w:val="0"/>
                  <w:vAlign w:val="center"/>
                </w:tcPr>
                <w:p w14:paraId="53A56CB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包括</w:t>
                  </w:r>
                </w:p>
              </w:tc>
              <w:tc>
                <w:tcPr>
                  <w:tcW w:w="431" w:type="dxa"/>
                  <w:tcBorders>
                    <w:top w:val="single" w:color="auto" w:sz="4" w:space="0"/>
                    <w:left w:val="single" w:color="000000" w:sz="2" w:space="0"/>
                    <w:bottom w:val="single" w:color="auto" w:sz="4" w:space="0"/>
                    <w:right w:val="single" w:color="auto" w:sz="4" w:space="0"/>
                  </w:tcBorders>
                  <w:noWrap w:val="0"/>
                  <w:vAlign w:val="center"/>
                </w:tcPr>
                <w:p w14:paraId="17CF0AD2">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甲醇</w:t>
                  </w:r>
                </w:p>
              </w:tc>
              <w:tc>
                <w:tcPr>
                  <w:tcW w:w="831" w:type="dxa"/>
                  <w:tcBorders>
                    <w:top w:val="single" w:color="auto" w:sz="4" w:space="0"/>
                    <w:left w:val="single" w:color="auto" w:sz="4" w:space="0"/>
                    <w:bottom w:val="single" w:color="auto" w:sz="4" w:space="0"/>
                    <w:right w:val="single" w:color="auto" w:sz="4" w:space="0"/>
                  </w:tcBorders>
                  <w:noWrap w:val="0"/>
                  <w:vAlign w:val="center"/>
                </w:tcPr>
                <w:p w14:paraId="4014455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2600</w:t>
                  </w:r>
                </w:p>
              </w:tc>
              <w:tc>
                <w:tcPr>
                  <w:tcW w:w="1069" w:type="dxa"/>
                  <w:tcBorders>
                    <w:top w:val="single" w:color="auto" w:sz="4" w:space="0"/>
                    <w:left w:val="single" w:color="auto" w:sz="4" w:space="0"/>
                    <w:bottom w:val="single" w:color="auto" w:sz="4" w:space="0"/>
                    <w:right w:val="single" w:color="auto" w:sz="4" w:space="0"/>
                  </w:tcBorders>
                  <w:noWrap w:val="0"/>
                  <w:vAlign w:val="center"/>
                </w:tcPr>
                <w:p w14:paraId="12827D4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2000</w:t>
                  </w:r>
                </w:p>
              </w:tc>
              <w:tc>
                <w:tcPr>
                  <w:tcW w:w="766" w:type="dxa"/>
                  <w:tcBorders>
                    <w:top w:val="single" w:color="auto" w:sz="4" w:space="0"/>
                    <w:left w:val="single" w:color="auto" w:sz="4" w:space="0"/>
                    <w:bottom w:val="single" w:color="auto" w:sz="4" w:space="0"/>
                    <w:right w:val="single" w:color="auto" w:sz="4" w:space="0"/>
                  </w:tcBorders>
                  <w:noWrap w:val="0"/>
                  <w:vAlign w:val="center"/>
                </w:tcPr>
                <w:p w14:paraId="36C243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等线" w:cs="Times New Roman"/>
                      <w:i w:val="0"/>
                      <w:iCs w:val="0"/>
                      <w:color w:val="000000"/>
                      <w:kern w:val="0"/>
                      <w:sz w:val="18"/>
                      <w:szCs w:val="18"/>
                      <w:u w:val="none"/>
                      <w:lang w:val="en-US" w:eastAsia="zh-CN" w:bidi="ar"/>
                    </w:rPr>
                    <w:t>0.5773</w:t>
                  </w:r>
                </w:p>
              </w:tc>
              <w:tc>
                <w:tcPr>
                  <w:tcW w:w="629" w:type="dxa"/>
                  <w:tcBorders>
                    <w:top w:val="single" w:color="auto" w:sz="4" w:space="0"/>
                    <w:left w:val="single" w:color="auto" w:sz="4" w:space="0"/>
                    <w:bottom w:val="single" w:color="auto" w:sz="4" w:space="0"/>
                    <w:right w:val="single" w:color="auto" w:sz="4" w:space="0"/>
                  </w:tcBorders>
                  <w:noWrap w:val="0"/>
                  <w:vAlign w:val="center"/>
                </w:tcPr>
                <w:p w14:paraId="724417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等线" w:cs="Times New Roman"/>
                      <w:i w:val="0"/>
                      <w:iCs w:val="0"/>
                      <w:color w:val="000000"/>
                      <w:kern w:val="0"/>
                      <w:sz w:val="18"/>
                      <w:szCs w:val="18"/>
                      <w:u w:val="none"/>
                      <w:lang w:val="en-US" w:eastAsia="zh-CN" w:bidi="ar"/>
                    </w:rPr>
                    <w:t>0.0015</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21CFC2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等线" w:cs="Times New Roman"/>
                      <w:i w:val="0"/>
                      <w:iCs w:val="0"/>
                      <w:color w:val="000000"/>
                      <w:kern w:val="0"/>
                      <w:sz w:val="18"/>
                      <w:szCs w:val="18"/>
                      <w:u w:val="none"/>
                      <w:lang w:val="en-US" w:eastAsia="zh-CN" w:bidi="ar"/>
                    </w:rPr>
                    <w:t>0.003</w:t>
                  </w:r>
                  <w:r>
                    <w:rPr>
                      <w:rFonts w:hint="eastAsia" w:eastAsia="等线" w:cs="Times New Roman"/>
                      <w:i w:val="0"/>
                      <w:iCs w:val="0"/>
                      <w:color w:val="000000"/>
                      <w:kern w:val="0"/>
                      <w:sz w:val="18"/>
                      <w:szCs w:val="18"/>
                      <w:u w:val="none"/>
                      <w:lang w:val="en-US" w:eastAsia="zh-CN" w:bidi="ar"/>
                    </w:rPr>
                    <w:t>0</w:t>
                  </w:r>
                </w:p>
              </w:tc>
              <w:tc>
                <w:tcPr>
                  <w:tcW w:w="1100" w:type="dxa"/>
                  <w:vMerge w:val="continue"/>
                  <w:tcBorders>
                    <w:left w:val="single" w:color="auto" w:sz="4" w:space="0"/>
                    <w:bottom w:val="single" w:color="auto" w:sz="4" w:space="0"/>
                    <w:right w:val="single" w:color="auto" w:sz="4" w:space="0"/>
                  </w:tcBorders>
                  <w:noWrap w:val="0"/>
                  <w:vAlign w:val="center"/>
                </w:tcPr>
                <w:p w14:paraId="7D215BF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p>
              </w:tc>
              <w:tc>
                <w:tcPr>
                  <w:tcW w:w="475" w:type="dxa"/>
                  <w:tcBorders>
                    <w:top w:val="single" w:color="auto" w:sz="4" w:space="0"/>
                    <w:left w:val="single" w:color="auto" w:sz="4" w:space="0"/>
                    <w:bottom w:val="single" w:color="auto" w:sz="4" w:space="0"/>
                    <w:right w:val="single" w:color="auto" w:sz="4" w:space="0"/>
                  </w:tcBorders>
                  <w:noWrap w:val="0"/>
                  <w:vAlign w:val="center"/>
                </w:tcPr>
                <w:p w14:paraId="6BC6BFB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90</w:t>
                  </w:r>
                  <w:r>
                    <w:rPr>
                      <w:rFonts w:hint="default" w:ascii="Times New Roman" w:hAnsi="Times New Roman" w:eastAsia="宋体" w:cs="Times New Roman"/>
                      <w:color w:val="auto"/>
                      <w:sz w:val="18"/>
                      <w:szCs w:val="18"/>
                      <w:highlight w:val="none"/>
                      <w:lang w:val="en-US" w:eastAsia="zh-CN"/>
                    </w:rPr>
                    <w:t>%</w:t>
                  </w:r>
                </w:p>
              </w:tc>
              <w:tc>
                <w:tcPr>
                  <w:tcW w:w="766" w:type="dxa"/>
                  <w:tcBorders>
                    <w:top w:val="single" w:color="auto" w:sz="4" w:space="0"/>
                    <w:left w:val="single" w:color="auto" w:sz="4" w:space="0"/>
                    <w:bottom w:val="single" w:color="auto" w:sz="4" w:space="0"/>
                    <w:right w:val="single" w:color="auto" w:sz="4" w:space="0"/>
                  </w:tcBorders>
                  <w:noWrap w:val="0"/>
                  <w:vAlign w:val="center"/>
                </w:tcPr>
                <w:p w14:paraId="445978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等线" w:cs="Times New Roman"/>
                      <w:i w:val="0"/>
                      <w:iCs w:val="0"/>
                      <w:color w:val="000000"/>
                      <w:kern w:val="0"/>
                      <w:sz w:val="18"/>
                      <w:szCs w:val="18"/>
                      <w:u w:val="none"/>
                      <w:lang w:val="en-US" w:eastAsia="zh-CN" w:bidi="ar"/>
                    </w:rPr>
                    <w:t>0.0577</w:t>
                  </w:r>
                </w:p>
              </w:tc>
              <w:tc>
                <w:tcPr>
                  <w:tcW w:w="685" w:type="dxa"/>
                  <w:tcBorders>
                    <w:top w:val="single" w:color="auto" w:sz="4" w:space="0"/>
                    <w:left w:val="single" w:color="auto" w:sz="4" w:space="0"/>
                    <w:bottom w:val="single" w:color="auto" w:sz="4" w:space="0"/>
                    <w:right w:val="single" w:color="auto" w:sz="4" w:space="0"/>
                  </w:tcBorders>
                  <w:noWrap w:val="0"/>
                  <w:vAlign w:val="center"/>
                </w:tcPr>
                <w:p w14:paraId="2EB272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等线" w:cs="Times New Roman"/>
                      <w:i w:val="0"/>
                      <w:iCs w:val="0"/>
                      <w:color w:val="000000"/>
                      <w:kern w:val="0"/>
                      <w:sz w:val="18"/>
                      <w:szCs w:val="18"/>
                      <w:u w:val="none"/>
                      <w:lang w:val="en-US" w:eastAsia="zh-CN" w:bidi="ar"/>
                    </w:rPr>
                    <w:t>0.0001</w:t>
                  </w:r>
                  <w:r>
                    <w:rPr>
                      <w:rFonts w:hint="eastAsia" w:eastAsia="等线" w:cs="Times New Roman"/>
                      <w:i w:val="0"/>
                      <w:iCs w:val="0"/>
                      <w:color w:val="000000"/>
                      <w:kern w:val="0"/>
                      <w:sz w:val="18"/>
                      <w:szCs w:val="18"/>
                      <w:u w:val="none"/>
                      <w:lang w:val="en-US" w:eastAsia="zh-CN" w:bidi="ar"/>
                    </w:rPr>
                    <w:t>5</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09421C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等线" w:cs="Times New Roman"/>
                      <w:i w:val="0"/>
                      <w:iCs w:val="0"/>
                      <w:color w:val="000000"/>
                      <w:kern w:val="0"/>
                      <w:sz w:val="18"/>
                      <w:szCs w:val="18"/>
                      <w:u w:val="none"/>
                      <w:lang w:val="en-US" w:eastAsia="zh-CN" w:bidi="ar"/>
                    </w:rPr>
                    <w:t>0.0003</w:t>
                  </w:r>
                </w:p>
              </w:tc>
              <w:tc>
                <w:tcPr>
                  <w:tcW w:w="535" w:type="dxa"/>
                  <w:vMerge w:val="continue"/>
                  <w:tcBorders>
                    <w:left w:val="single" w:color="auto" w:sz="4" w:space="0"/>
                    <w:bottom w:val="single" w:color="auto" w:sz="4" w:space="0"/>
                  </w:tcBorders>
                  <w:noWrap w:val="0"/>
                  <w:vAlign w:val="center"/>
                </w:tcPr>
                <w:p w14:paraId="305E0936">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p>
              </w:tc>
            </w:tr>
          </w:tbl>
          <w:p w14:paraId="6FF0394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olor w:val="auto"/>
                <w:vertAlign w:val="baseline"/>
              </w:rPr>
            </w:pPr>
          </w:p>
          <w:tbl>
            <w:tblPr>
              <w:tblStyle w:val="2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396"/>
              <w:gridCol w:w="396"/>
              <w:gridCol w:w="1632"/>
              <w:gridCol w:w="777"/>
              <w:gridCol w:w="1065"/>
              <w:gridCol w:w="818"/>
              <w:gridCol w:w="627"/>
              <w:gridCol w:w="1837"/>
              <w:gridCol w:w="802"/>
            </w:tblGrid>
            <w:tr w14:paraId="4A1AA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442" w:type="pct"/>
                  <w:tcBorders>
                    <w:top w:val="single" w:color="auto" w:sz="12" w:space="0"/>
                    <w:right w:val="single" w:color="auto" w:sz="4" w:space="0"/>
                  </w:tcBorders>
                  <w:vAlign w:val="center"/>
                </w:tcPr>
                <w:p w14:paraId="1EC0853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b/>
                      <w:bCs/>
                      <w:color w:val="auto"/>
                      <w:sz w:val="18"/>
                      <w:vertAlign w:val="baseline"/>
                      <w:lang w:val="en-US" w:eastAsia="zh-CN"/>
                    </w:rPr>
                  </w:pPr>
                  <w:r>
                    <w:rPr>
                      <w:rFonts w:hint="eastAsia" w:ascii="Times New Roman" w:hAnsi="Times New Roman" w:eastAsia="宋体"/>
                      <w:b/>
                      <w:bCs/>
                      <w:color w:val="auto"/>
                      <w:sz w:val="18"/>
                      <w:vertAlign w:val="baseline"/>
                      <w:lang w:val="en-US" w:eastAsia="zh-CN"/>
                    </w:rPr>
                    <w:t>污染源</w:t>
                  </w:r>
                </w:p>
              </w:tc>
              <w:tc>
                <w:tcPr>
                  <w:tcW w:w="432" w:type="pct"/>
                  <w:gridSpan w:val="2"/>
                  <w:tcBorders>
                    <w:top w:val="single" w:color="auto" w:sz="12" w:space="0"/>
                    <w:left w:val="single" w:color="auto" w:sz="4" w:space="0"/>
                    <w:right w:val="single" w:color="auto" w:sz="4" w:space="0"/>
                  </w:tcBorders>
                  <w:vAlign w:val="center"/>
                </w:tcPr>
                <w:p w14:paraId="296685F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b/>
                      <w:bCs/>
                      <w:color w:val="auto"/>
                      <w:sz w:val="18"/>
                      <w:vertAlign w:val="baseline"/>
                      <w:lang w:val="en-US" w:eastAsia="zh-CN"/>
                    </w:rPr>
                  </w:pPr>
                  <w:r>
                    <w:rPr>
                      <w:rFonts w:hint="eastAsia" w:ascii="Times New Roman" w:hAnsi="Times New Roman" w:eastAsia="宋体"/>
                      <w:b/>
                      <w:bCs/>
                      <w:color w:val="auto"/>
                      <w:sz w:val="18"/>
                      <w:vertAlign w:val="baseline"/>
                      <w:lang w:val="en-US" w:eastAsia="zh-CN"/>
                    </w:rPr>
                    <w:t>污染因子</w:t>
                  </w:r>
                </w:p>
              </w:tc>
              <w:tc>
                <w:tcPr>
                  <w:tcW w:w="890" w:type="pct"/>
                  <w:tcBorders>
                    <w:top w:val="single" w:color="auto" w:sz="12" w:space="0"/>
                    <w:left w:val="single" w:color="auto" w:sz="4" w:space="0"/>
                    <w:right w:val="single" w:color="auto" w:sz="4" w:space="0"/>
                  </w:tcBorders>
                  <w:vAlign w:val="center"/>
                </w:tcPr>
                <w:p w14:paraId="54F31A8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b/>
                      <w:bCs/>
                      <w:color w:val="auto"/>
                      <w:sz w:val="18"/>
                      <w:vertAlign w:val="baseline"/>
                      <w:lang w:val="en-US" w:eastAsia="zh-CN"/>
                    </w:rPr>
                  </w:pPr>
                  <w:r>
                    <w:rPr>
                      <w:rFonts w:hint="eastAsia" w:ascii="Times New Roman" w:hAnsi="Times New Roman" w:eastAsia="宋体"/>
                      <w:b/>
                      <w:bCs/>
                      <w:color w:val="auto"/>
                      <w:sz w:val="18"/>
                      <w:vertAlign w:val="baseline"/>
                      <w:lang w:val="en-US" w:eastAsia="zh-CN"/>
                    </w:rPr>
                    <w:t>治理设施</w:t>
                  </w:r>
                </w:p>
              </w:tc>
              <w:tc>
                <w:tcPr>
                  <w:tcW w:w="424" w:type="pct"/>
                  <w:tcBorders>
                    <w:top w:val="single" w:color="auto" w:sz="12" w:space="0"/>
                    <w:left w:val="single" w:color="auto" w:sz="4" w:space="0"/>
                    <w:right w:val="single" w:color="auto" w:sz="4" w:space="0"/>
                  </w:tcBorders>
                  <w:vAlign w:val="center"/>
                </w:tcPr>
                <w:p w14:paraId="6F2CFF9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b/>
                      <w:bCs/>
                      <w:color w:val="auto"/>
                      <w:sz w:val="18"/>
                      <w:vertAlign w:val="baseline"/>
                      <w:lang w:val="en-US" w:eastAsia="zh-CN"/>
                    </w:rPr>
                  </w:pPr>
                  <w:r>
                    <w:rPr>
                      <w:rFonts w:hint="eastAsia" w:ascii="Times New Roman" w:hAnsi="Times New Roman" w:eastAsia="宋体"/>
                      <w:b/>
                      <w:bCs/>
                      <w:color w:val="auto"/>
                      <w:sz w:val="18"/>
                      <w:vertAlign w:val="baseline"/>
                      <w:lang w:val="en-US" w:eastAsia="zh-CN"/>
                    </w:rPr>
                    <w:t>处理效率</w:t>
                  </w:r>
                </w:p>
              </w:tc>
              <w:tc>
                <w:tcPr>
                  <w:tcW w:w="581" w:type="pct"/>
                  <w:tcBorders>
                    <w:top w:val="single" w:color="auto" w:sz="12" w:space="0"/>
                    <w:left w:val="single" w:color="auto" w:sz="4" w:space="0"/>
                    <w:right w:val="single" w:color="auto" w:sz="4" w:space="0"/>
                  </w:tcBorders>
                  <w:vAlign w:val="center"/>
                </w:tcPr>
                <w:p w14:paraId="7DC7A17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b/>
                      <w:bCs/>
                      <w:color w:val="auto"/>
                      <w:sz w:val="18"/>
                      <w:vertAlign w:val="baseline"/>
                      <w:lang w:val="en-US" w:eastAsia="zh-CN"/>
                    </w:rPr>
                  </w:pPr>
                  <w:r>
                    <w:rPr>
                      <w:rFonts w:hint="eastAsia" w:ascii="Times New Roman" w:hAnsi="Times New Roman" w:eastAsia="宋体"/>
                      <w:b/>
                      <w:bCs/>
                      <w:color w:val="auto"/>
                      <w:sz w:val="18"/>
                      <w:vertAlign w:val="baseline"/>
                      <w:lang w:val="en-US" w:eastAsia="zh-CN"/>
                    </w:rPr>
                    <w:t>风量（Nm</w:t>
                  </w:r>
                  <w:r>
                    <w:rPr>
                      <w:rFonts w:hint="eastAsia" w:ascii="Times New Roman" w:hAnsi="Times New Roman" w:eastAsia="宋体"/>
                      <w:b/>
                      <w:bCs/>
                      <w:color w:val="auto"/>
                      <w:sz w:val="18"/>
                      <w:vertAlign w:val="superscript"/>
                      <w:lang w:val="en-US" w:eastAsia="zh-CN"/>
                    </w:rPr>
                    <w:t>3</w:t>
                  </w:r>
                  <w:r>
                    <w:rPr>
                      <w:rFonts w:hint="eastAsia" w:ascii="Times New Roman" w:hAnsi="Times New Roman" w:eastAsia="宋体"/>
                      <w:b/>
                      <w:bCs/>
                      <w:color w:val="auto"/>
                      <w:sz w:val="18"/>
                      <w:vertAlign w:val="baseline"/>
                      <w:lang w:val="en-US" w:eastAsia="zh-CN"/>
                    </w:rPr>
                    <w:t>/h）</w:t>
                  </w:r>
                </w:p>
              </w:tc>
              <w:tc>
                <w:tcPr>
                  <w:tcW w:w="446" w:type="pct"/>
                  <w:tcBorders>
                    <w:top w:val="single" w:color="auto" w:sz="12" w:space="0"/>
                    <w:left w:val="single" w:color="auto" w:sz="4" w:space="0"/>
                    <w:right w:val="single" w:color="auto" w:sz="4" w:space="0"/>
                  </w:tcBorders>
                  <w:vAlign w:val="center"/>
                </w:tcPr>
                <w:p w14:paraId="3885E32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b/>
                      <w:bCs/>
                      <w:color w:val="auto"/>
                      <w:sz w:val="18"/>
                      <w:vertAlign w:val="baseline"/>
                      <w:lang w:val="en-US" w:eastAsia="zh-CN"/>
                    </w:rPr>
                  </w:pPr>
                  <w:r>
                    <w:rPr>
                      <w:rFonts w:hint="eastAsia" w:ascii="Times New Roman" w:hAnsi="Times New Roman" w:eastAsia="宋体"/>
                      <w:b/>
                      <w:bCs/>
                      <w:color w:val="auto"/>
                      <w:sz w:val="18"/>
                      <w:vertAlign w:val="baseline"/>
                      <w:lang w:val="en-US" w:eastAsia="zh-CN"/>
                    </w:rPr>
                    <w:t>年运行时间（h/a）</w:t>
                  </w:r>
                </w:p>
              </w:tc>
              <w:tc>
                <w:tcPr>
                  <w:tcW w:w="342" w:type="pct"/>
                  <w:tcBorders>
                    <w:top w:val="single" w:color="auto" w:sz="12" w:space="0"/>
                    <w:left w:val="single" w:color="auto" w:sz="4" w:space="0"/>
                    <w:right w:val="single" w:color="auto" w:sz="4" w:space="0"/>
                  </w:tcBorders>
                  <w:vAlign w:val="center"/>
                </w:tcPr>
                <w:p w14:paraId="04C4BB2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b/>
                      <w:bCs/>
                      <w:color w:val="auto"/>
                      <w:sz w:val="18"/>
                      <w:vertAlign w:val="baseline"/>
                      <w:lang w:val="en-US" w:eastAsia="zh-CN"/>
                    </w:rPr>
                  </w:pPr>
                  <w:r>
                    <w:rPr>
                      <w:rFonts w:hint="eastAsia" w:ascii="Times New Roman" w:hAnsi="Times New Roman" w:eastAsia="宋体"/>
                      <w:b/>
                      <w:bCs/>
                      <w:color w:val="auto"/>
                      <w:sz w:val="18"/>
                      <w:vertAlign w:val="baseline"/>
                      <w:lang w:val="en-US" w:eastAsia="zh-CN"/>
                    </w:rPr>
                    <w:t>排放口</w:t>
                  </w:r>
                </w:p>
              </w:tc>
              <w:tc>
                <w:tcPr>
                  <w:tcW w:w="1002" w:type="pct"/>
                  <w:tcBorders>
                    <w:top w:val="single" w:color="auto" w:sz="12" w:space="0"/>
                    <w:left w:val="single" w:color="auto" w:sz="4" w:space="0"/>
                    <w:right w:val="single" w:color="auto" w:sz="4" w:space="0"/>
                  </w:tcBorders>
                  <w:vAlign w:val="center"/>
                </w:tcPr>
                <w:p w14:paraId="39460F0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b/>
                      <w:bCs/>
                      <w:color w:val="auto"/>
                      <w:sz w:val="18"/>
                      <w:vertAlign w:val="baseline"/>
                      <w:lang w:val="en-US" w:eastAsia="zh-CN"/>
                    </w:rPr>
                  </w:pPr>
                  <w:r>
                    <w:rPr>
                      <w:rFonts w:hint="eastAsia" w:ascii="Times New Roman" w:hAnsi="Times New Roman" w:eastAsia="宋体"/>
                      <w:b/>
                      <w:bCs/>
                      <w:color w:val="auto"/>
                      <w:sz w:val="18"/>
                      <w:vertAlign w:val="baseline"/>
                      <w:lang w:val="en-US" w:eastAsia="zh-CN"/>
                    </w:rPr>
                    <w:t>执行标准</w:t>
                  </w:r>
                </w:p>
              </w:tc>
              <w:tc>
                <w:tcPr>
                  <w:tcW w:w="437" w:type="pct"/>
                  <w:tcBorders>
                    <w:top w:val="single" w:color="auto" w:sz="12" w:space="0"/>
                    <w:left w:val="single" w:color="auto" w:sz="4" w:space="0"/>
                    <w:right w:val="single" w:color="auto" w:sz="4" w:space="0"/>
                  </w:tcBorders>
                  <w:vAlign w:val="center"/>
                </w:tcPr>
                <w:p w14:paraId="183A875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b/>
                      <w:bCs/>
                      <w:color w:val="auto"/>
                      <w:sz w:val="18"/>
                      <w:vertAlign w:val="baseline"/>
                      <w:lang w:val="en-US" w:eastAsia="zh-CN"/>
                    </w:rPr>
                  </w:pPr>
                  <w:r>
                    <w:rPr>
                      <w:rFonts w:hint="eastAsia" w:ascii="Times New Roman" w:hAnsi="Times New Roman" w:eastAsia="宋体"/>
                      <w:b/>
                      <w:bCs/>
                      <w:color w:val="auto"/>
                      <w:sz w:val="18"/>
                      <w:vertAlign w:val="baseline"/>
                      <w:lang w:val="en-US" w:eastAsia="zh-CN"/>
                    </w:rPr>
                    <w:t>排放量(t/a)</w:t>
                  </w:r>
                </w:p>
              </w:tc>
            </w:tr>
            <w:tr w14:paraId="7ADD5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442" w:type="pct"/>
                  <w:vMerge w:val="restart"/>
                  <w:tcBorders>
                    <w:left w:val="single" w:color="auto" w:sz="4" w:space="0"/>
                    <w:right w:val="single" w:color="auto" w:sz="4" w:space="0"/>
                  </w:tcBorders>
                  <w:vAlign w:val="center"/>
                </w:tcPr>
                <w:p w14:paraId="6B190B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olor w:val="auto"/>
                      <w:sz w:val="18"/>
                      <w:vertAlign w:val="baseline"/>
                      <w:lang w:val="en-US" w:eastAsia="zh-CN"/>
                    </w:rPr>
                  </w:pPr>
                  <w:r>
                    <w:rPr>
                      <w:rFonts w:hint="eastAsia"/>
                      <w:color w:val="auto"/>
                      <w:sz w:val="18"/>
                      <w:vertAlign w:val="baseline"/>
                      <w:lang w:val="en-US" w:eastAsia="zh-CN"/>
                    </w:rPr>
                    <w:t>实验过程中原料挥发</w:t>
                  </w:r>
                </w:p>
              </w:tc>
              <w:tc>
                <w:tcPr>
                  <w:tcW w:w="432" w:type="pct"/>
                  <w:gridSpan w:val="2"/>
                  <w:tcBorders>
                    <w:left w:val="single" w:color="auto" w:sz="4" w:space="0"/>
                    <w:bottom w:val="single" w:color="000000" w:sz="2" w:space="0"/>
                    <w:right w:val="single" w:color="auto" w:sz="4" w:space="0"/>
                  </w:tcBorders>
                  <w:vAlign w:val="center"/>
                </w:tcPr>
                <w:p w14:paraId="25A1BBC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18"/>
                      <w:vertAlign w:val="baseline"/>
                      <w:lang w:val="en-US" w:eastAsia="zh-CN"/>
                    </w:rPr>
                  </w:pPr>
                  <w:r>
                    <w:rPr>
                      <w:rFonts w:hint="eastAsia" w:ascii="Times New Roman" w:hAnsi="Times New Roman" w:eastAsia="宋体"/>
                      <w:color w:val="auto"/>
                      <w:sz w:val="18"/>
                      <w:vertAlign w:val="baseline"/>
                      <w:lang w:val="en-US" w:eastAsia="zh-CN"/>
                    </w:rPr>
                    <w:t>非甲烷总烃</w:t>
                  </w:r>
                </w:p>
              </w:tc>
              <w:tc>
                <w:tcPr>
                  <w:tcW w:w="890" w:type="pct"/>
                  <w:vMerge w:val="restart"/>
                  <w:tcBorders>
                    <w:left w:val="single" w:color="auto" w:sz="4" w:space="0"/>
                    <w:right w:val="single" w:color="auto" w:sz="4" w:space="0"/>
                  </w:tcBorders>
                  <w:vAlign w:val="center"/>
                </w:tcPr>
                <w:p w14:paraId="080A995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18"/>
                      <w:vertAlign w:val="baseline"/>
                      <w:lang w:val="en-US" w:eastAsia="zh-CN"/>
                    </w:rPr>
                  </w:pPr>
                  <w:r>
                    <w:rPr>
                      <w:rFonts w:hint="eastAsia"/>
                      <w:color w:val="auto"/>
                      <w:sz w:val="18"/>
                      <w:vertAlign w:val="baseline"/>
                      <w:lang w:val="en-US" w:eastAsia="zh-CN"/>
                    </w:rPr>
                    <w:t>二级活性炭吸附装置</w:t>
                  </w:r>
                </w:p>
              </w:tc>
              <w:tc>
                <w:tcPr>
                  <w:tcW w:w="424" w:type="pct"/>
                  <w:vMerge w:val="restart"/>
                  <w:tcBorders>
                    <w:left w:val="single" w:color="auto" w:sz="4" w:space="0"/>
                    <w:right w:val="single" w:color="auto" w:sz="4" w:space="0"/>
                  </w:tcBorders>
                  <w:vAlign w:val="center"/>
                </w:tcPr>
                <w:p w14:paraId="4323D12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18"/>
                      <w:vertAlign w:val="baseline"/>
                      <w:lang w:val="en-US" w:eastAsia="zh-CN"/>
                    </w:rPr>
                  </w:pPr>
                  <w:r>
                    <w:rPr>
                      <w:rFonts w:hint="eastAsia" w:ascii="Times New Roman" w:hAnsi="Times New Roman" w:eastAsia="宋体"/>
                      <w:color w:val="auto"/>
                      <w:sz w:val="18"/>
                      <w:vertAlign w:val="baseline"/>
                      <w:lang w:val="en-US" w:eastAsia="zh-CN"/>
                    </w:rPr>
                    <w:t>90%</w:t>
                  </w:r>
                </w:p>
              </w:tc>
              <w:tc>
                <w:tcPr>
                  <w:tcW w:w="581" w:type="pct"/>
                  <w:vMerge w:val="restart"/>
                  <w:tcBorders>
                    <w:left w:val="single" w:color="auto" w:sz="4" w:space="0"/>
                    <w:right w:val="single" w:color="auto" w:sz="4" w:space="0"/>
                  </w:tcBorders>
                  <w:vAlign w:val="center"/>
                </w:tcPr>
                <w:p w14:paraId="0776CAF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18"/>
                      <w:vertAlign w:val="baseline"/>
                      <w:lang w:val="en-US" w:eastAsia="zh-CN"/>
                    </w:rPr>
                  </w:pPr>
                  <w:r>
                    <w:rPr>
                      <w:rFonts w:hint="eastAsia"/>
                      <w:color w:val="auto"/>
                      <w:sz w:val="18"/>
                      <w:vertAlign w:val="baseline"/>
                      <w:lang w:val="en-US" w:eastAsia="zh-CN"/>
                    </w:rPr>
                    <w:t>2600</w:t>
                  </w:r>
                </w:p>
              </w:tc>
              <w:tc>
                <w:tcPr>
                  <w:tcW w:w="446" w:type="pct"/>
                  <w:vMerge w:val="restart"/>
                  <w:tcBorders>
                    <w:left w:val="single" w:color="auto" w:sz="4" w:space="0"/>
                    <w:right w:val="single" w:color="auto" w:sz="4" w:space="0"/>
                  </w:tcBorders>
                  <w:vAlign w:val="center"/>
                </w:tcPr>
                <w:p w14:paraId="3A16C97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18"/>
                      <w:vertAlign w:val="baseline"/>
                      <w:lang w:val="en-US" w:eastAsia="zh-CN"/>
                    </w:rPr>
                  </w:pPr>
                  <w:r>
                    <w:rPr>
                      <w:rFonts w:hint="eastAsia"/>
                      <w:color w:val="auto"/>
                      <w:sz w:val="18"/>
                      <w:vertAlign w:val="baseline"/>
                      <w:lang w:val="en-US" w:eastAsia="zh-CN"/>
                    </w:rPr>
                    <w:t>2000</w:t>
                  </w:r>
                </w:p>
              </w:tc>
              <w:tc>
                <w:tcPr>
                  <w:tcW w:w="342" w:type="pct"/>
                  <w:vMerge w:val="restart"/>
                  <w:tcBorders>
                    <w:left w:val="single" w:color="auto" w:sz="4" w:space="0"/>
                    <w:right w:val="single" w:color="auto" w:sz="4" w:space="0"/>
                  </w:tcBorders>
                  <w:vAlign w:val="center"/>
                </w:tcPr>
                <w:p w14:paraId="53251CE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olor w:val="auto"/>
                      <w:sz w:val="18"/>
                      <w:vertAlign w:val="baseline"/>
                      <w:lang w:val="en-US"/>
                    </w:rPr>
                  </w:pPr>
                  <w:r>
                    <w:rPr>
                      <w:rFonts w:hint="eastAsia" w:ascii="Times New Roman" w:hAnsi="Times New Roman" w:eastAsia="宋体"/>
                      <w:color w:val="auto"/>
                      <w:sz w:val="18"/>
                      <w:vertAlign w:val="baseline"/>
                      <w:lang w:val="en-US" w:eastAsia="zh-CN"/>
                    </w:rPr>
                    <w:t>FQ</w:t>
                  </w:r>
                  <w:r>
                    <w:rPr>
                      <w:rFonts w:hint="eastAsia"/>
                      <w:color w:val="auto"/>
                      <w:sz w:val="18"/>
                      <w:vertAlign w:val="baseline"/>
                      <w:lang w:val="en-US" w:eastAsia="zh-CN"/>
                    </w:rPr>
                    <w:t>01</w:t>
                  </w:r>
                </w:p>
              </w:tc>
              <w:tc>
                <w:tcPr>
                  <w:tcW w:w="1002" w:type="pct"/>
                  <w:vMerge w:val="restart"/>
                  <w:tcBorders>
                    <w:left w:val="single" w:color="auto" w:sz="4" w:space="0"/>
                    <w:right w:val="single" w:color="auto" w:sz="4" w:space="0"/>
                  </w:tcBorders>
                  <w:vAlign w:val="center"/>
                </w:tcPr>
                <w:p w14:paraId="0C5D64A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18"/>
                      <w:vertAlign w:val="baseline"/>
                      <w:lang w:val="en-US" w:eastAsia="zh-CN"/>
                    </w:rPr>
                  </w:pPr>
                  <w:r>
                    <w:rPr>
                      <w:rFonts w:hint="default" w:ascii="Times New Roman" w:hAnsi="Times New Roman" w:eastAsia="宋体"/>
                      <w:color w:val="auto"/>
                      <w:sz w:val="18"/>
                      <w:vertAlign w:val="baseline"/>
                      <w:lang w:val="en-US" w:eastAsia="zh-CN"/>
                    </w:rPr>
                    <w:t>江苏省《制药工业大气污染物排放标准》 （DB32/4042-2021）</w:t>
                  </w:r>
                </w:p>
              </w:tc>
              <w:tc>
                <w:tcPr>
                  <w:tcW w:w="802" w:type="dxa"/>
                  <w:tcBorders>
                    <w:left w:val="single" w:color="auto" w:sz="4" w:space="0"/>
                    <w:right w:val="single" w:color="auto" w:sz="4" w:space="0"/>
                  </w:tcBorders>
                  <w:vAlign w:val="center"/>
                </w:tcPr>
                <w:p w14:paraId="6E501B2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18"/>
                      <w:vertAlign w:val="baseline"/>
                      <w:lang w:val="en-US" w:eastAsia="zh-CN"/>
                    </w:rPr>
                  </w:pPr>
                  <w:r>
                    <w:rPr>
                      <w:rFonts w:hint="default" w:ascii="Times New Roman" w:hAnsi="Times New Roman" w:eastAsia="宋体"/>
                      <w:color w:val="auto"/>
                      <w:sz w:val="18"/>
                      <w:vertAlign w:val="baseline"/>
                      <w:lang w:val="en-US" w:eastAsia="zh-CN"/>
                    </w:rPr>
                    <w:t>0.004</w:t>
                  </w:r>
                  <w:r>
                    <w:rPr>
                      <w:rFonts w:hint="eastAsia"/>
                      <w:color w:val="auto"/>
                      <w:sz w:val="18"/>
                      <w:vertAlign w:val="baseline"/>
                      <w:lang w:val="en-US" w:eastAsia="zh-CN"/>
                    </w:rPr>
                    <w:t>5</w:t>
                  </w:r>
                </w:p>
              </w:tc>
            </w:tr>
            <w:tr w14:paraId="034C7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2" w:type="pct"/>
                  <w:vMerge w:val="continue"/>
                  <w:tcBorders>
                    <w:left w:val="single" w:color="auto" w:sz="4" w:space="0"/>
                    <w:right w:val="single" w:color="auto" w:sz="4" w:space="0"/>
                  </w:tcBorders>
                  <w:vAlign w:val="center"/>
                </w:tcPr>
                <w:p w14:paraId="5C1EB4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olor w:val="auto"/>
                      <w:sz w:val="18"/>
                      <w:vertAlign w:val="baseline"/>
                    </w:rPr>
                  </w:pPr>
                </w:p>
              </w:tc>
              <w:tc>
                <w:tcPr>
                  <w:tcW w:w="216" w:type="pct"/>
                  <w:tcBorders>
                    <w:top w:val="single" w:color="000000" w:sz="2" w:space="0"/>
                    <w:left w:val="single" w:color="auto" w:sz="4" w:space="0"/>
                    <w:right w:val="single" w:color="000000" w:sz="2" w:space="0"/>
                  </w:tcBorders>
                  <w:vAlign w:val="center"/>
                </w:tcPr>
                <w:p w14:paraId="356E9CF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18"/>
                      <w:vertAlign w:val="baseline"/>
                      <w:lang w:val="en-US" w:eastAsia="zh-CN"/>
                    </w:rPr>
                  </w:pPr>
                  <w:r>
                    <w:rPr>
                      <w:rFonts w:hint="eastAsia"/>
                      <w:color w:val="auto"/>
                      <w:sz w:val="18"/>
                      <w:vertAlign w:val="baseline"/>
                      <w:lang w:val="en-US" w:eastAsia="zh-CN"/>
                    </w:rPr>
                    <w:t>包括</w:t>
                  </w:r>
                </w:p>
              </w:tc>
              <w:tc>
                <w:tcPr>
                  <w:tcW w:w="216" w:type="pct"/>
                  <w:tcBorders>
                    <w:top w:val="single" w:color="000000" w:sz="2" w:space="0"/>
                    <w:left w:val="single" w:color="000000" w:sz="2" w:space="0"/>
                    <w:right w:val="single" w:color="auto" w:sz="4" w:space="0"/>
                  </w:tcBorders>
                  <w:vAlign w:val="center"/>
                </w:tcPr>
                <w:p w14:paraId="2263CD7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eastAsia"/>
                      <w:color w:val="auto"/>
                      <w:sz w:val="18"/>
                      <w:vertAlign w:val="baseline"/>
                      <w:lang w:val="en-US" w:eastAsia="zh-CN"/>
                    </w:rPr>
                  </w:pPr>
                  <w:r>
                    <w:rPr>
                      <w:rFonts w:hint="eastAsia"/>
                      <w:color w:val="auto"/>
                      <w:sz w:val="18"/>
                      <w:vertAlign w:val="baseline"/>
                      <w:lang w:val="en-US" w:eastAsia="zh-CN"/>
                    </w:rPr>
                    <w:t>甲醇</w:t>
                  </w:r>
                </w:p>
              </w:tc>
              <w:tc>
                <w:tcPr>
                  <w:tcW w:w="890" w:type="pct"/>
                  <w:vMerge w:val="continue"/>
                  <w:tcBorders>
                    <w:left w:val="single" w:color="auto" w:sz="4" w:space="0"/>
                    <w:right w:val="single" w:color="auto" w:sz="4" w:space="0"/>
                  </w:tcBorders>
                  <w:vAlign w:val="center"/>
                </w:tcPr>
                <w:p w14:paraId="24421AC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18"/>
                      <w:vertAlign w:val="baseline"/>
                    </w:rPr>
                  </w:pPr>
                </w:p>
              </w:tc>
              <w:tc>
                <w:tcPr>
                  <w:tcW w:w="424" w:type="pct"/>
                  <w:vMerge w:val="continue"/>
                  <w:tcBorders>
                    <w:left w:val="single" w:color="auto" w:sz="4" w:space="0"/>
                    <w:right w:val="single" w:color="auto" w:sz="4" w:space="0"/>
                  </w:tcBorders>
                  <w:vAlign w:val="center"/>
                </w:tcPr>
                <w:p w14:paraId="6F3C55D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18"/>
                      <w:vertAlign w:val="baseline"/>
                    </w:rPr>
                  </w:pPr>
                </w:p>
              </w:tc>
              <w:tc>
                <w:tcPr>
                  <w:tcW w:w="581" w:type="pct"/>
                  <w:vMerge w:val="continue"/>
                  <w:tcBorders>
                    <w:left w:val="single" w:color="auto" w:sz="4" w:space="0"/>
                    <w:right w:val="single" w:color="auto" w:sz="4" w:space="0"/>
                  </w:tcBorders>
                  <w:vAlign w:val="center"/>
                </w:tcPr>
                <w:p w14:paraId="453E320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18"/>
                      <w:vertAlign w:val="baseline"/>
                      <w:lang w:val="en-US" w:eastAsia="zh-CN"/>
                    </w:rPr>
                  </w:pPr>
                </w:p>
              </w:tc>
              <w:tc>
                <w:tcPr>
                  <w:tcW w:w="446" w:type="pct"/>
                  <w:vMerge w:val="continue"/>
                  <w:tcBorders>
                    <w:left w:val="single" w:color="auto" w:sz="4" w:space="0"/>
                    <w:right w:val="single" w:color="auto" w:sz="4" w:space="0"/>
                  </w:tcBorders>
                  <w:vAlign w:val="center"/>
                </w:tcPr>
                <w:p w14:paraId="1D8E7D7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18"/>
                      <w:vertAlign w:val="baseline"/>
                      <w:lang w:val="en-US" w:eastAsia="zh-CN"/>
                    </w:rPr>
                  </w:pPr>
                </w:p>
              </w:tc>
              <w:tc>
                <w:tcPr>
                  <w:tcW w:w="342" w:type="pct"/>
                  <w:vMerge w:val="continue"/>
                  <w:tcBorders>
                    <w:left w:val="single" w:color="auto" w:sz="4" w:space="0"/>
                    <w:right w:val="single" w:color="auto" w:sz="4" w:space="0"/>
                  </w:tcBorders>
                  <w:vAlign w:val="center"/>
                </w:tcPr>
                <w:p w14:paraId="428EA47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olor w:val="auto"/>
                      <w:sz w:val="18"/>
                      <w:vertAlign w:val="baseline"/>
                    </w:rPr>
                  </w:pPr>
                </w:p>
              </w:tc>
              <w:tc>
                <w:tcPr>
                  <w:tcW w:w="1002" w:type="pct"/>
                  <w:vMerge w:val="continue"/>
                  <w:tcBorders>
                    <w:left w:val="single" w:color="auto" w:sz="4" w:space="0"/>
                    <w:right w:val="single" w:color="auto" w:sz="4" w:space="0"/>
                  </w:tcBorders>
                  <w:vAlign w:val="center"/>
                </w:tcPr>
                <w:p w14:paraId="324C876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18"/>
                      <w:vertAlign w:val="baseline"/>
                      <w:lang w:val="en-US" w:eastAsia="zh-CN"/>
                    </w:rPr>
                  </w:pPr>
                </w:p>
              </w:tc>
              <w:tc>
                <w:tcPr>
                  <w:tcW w:w="802" w:type="dxa"/>
                  <w:tcBorders>
                    <w:left w:val="single" w:color="auto" w:sz="4" w:space="0"/>
                    <w:right w:val="single" w:color="auto" w:sz="4" w:space="0"/>
                  </w:tcBorders>
                  <w:vAlign w:val="center"/>
                </w:tcPr>
                <w:p w14:paraId="1067AA8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18"/>
                      <w:vertAlign w:val="baseline"/>
                      <w:lang w:val="en-US" w:eastAsia="zh-CN"/>
                    </w:rPr>
                  </w:pPr>
                  <w:r>
                    <w:rPr>
                      <w:rFonts w:hint="eastAsia" w:ascii="Times New Roman" w:hAnsi="Times New Roman" w:eastAsia="宋体"/>
                      <w:color w:val="auto"/>
                      <w:sz w:val="18"/>
                      <w:vertAlign w:val="baseline"/>
                      <w:lang w:val="en-US" w:eastAsia="zh-CN"/>
                    </w:rPr>
                    <w:t>0.0003</w:t>
                  </w:r>
                </w:p>
              </w:tc>
            </w:tr>
          </w:tbl>
          <w:p w14:paraId="08C0381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B.无组织废气</w:t>
            </w:r>
          </w:p>
          <w:p w14:paraId="24EE683F">
            <w:pPr>
              <w:pStyle w:val="6"/>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Cs/>
                <w:color w:val="auto"/>
                <w:sz w:val="24"/>
                <w:szCs w:val="28"/>
                <w:highlight w:val="none"/>
              </w:rPr>
              <w:t>无组织废气主要为未捕集到的</w:t>
            </w:r>
            <w:r>
              <w:rPr>
                <w:rFonts w:hint="eastAsia" w:cs="Times New Roman"/>
                <w:bCs/>
                <w:color w:val="auto"/>
                <w:sz w:val="24"/>
                <w:szCs w:val="28"/>
                <w:highlight w:val="none"/>
                <w:lang w:val="en-US" w:eastAsia="zh-CN"/>
              </w:rPr>
              <w:t>原料挥发过程中产生的非甲烷总烃（包括甲醇）</w:t>
            </w:r>
            <w:r>
              <w:rPr>
                <w:rFonts w:hint="default" w:ascii="Times New Roman" w:hAnsi="Times New Roman" w:eastAsia="宋体" w:cs="Times New Roman"/>
                <w:bCs/>
                <w:color w:val="auto"/>
                <w:sz w:val="24"/>
                <w:szCs w:val="28"/>
                <w:highlight w:val="none"/>
              </w:rPr>
              <w:t>。根据《环境影响评价技术导则》相关要求，鉴于本项目全厂总建筑面积为2090.67平方米，属小规模建设项目，其无组织废气排放源强核算直接采用厂界整体作为面源计算单元进行环境影响分析。本项目无组织废气排放情况见表4-</w:t>
            </w:r>
            <w:r>
              <w:rPr>
                <w:rFonts w:hint="eastAsia" w:ascii="Times New Roman" w:hAnsi="Times New Roman" w:eastAsia="宋体" w:cs="Times New Roman"/>
                <w:bCs/>
                <w:color w:val="auto"/>
                <w:sz w:val="24"/>
                <w:szCs w:val="28"/>
                <w:highlight w:val="none"/>
                <w:lang w:val="en-US" w:eastAsia="zh-CN"/>
              </w:rPr>
              <w:t>4</w:t>
            </w:r>
            <w:r>
              <w:rPr>
                <w:rFonts w:hint="default" w:ascii="Times New Roman" w:hAnsi="Times New Roman" w:eastAsia="宋体" w:cs="Times New Roman"/>
                <w:bCs/>
                <w:color w:val="auto"/>
                <w:sz w:val="24"/>
                <w:szCs w:val="28"/>
                <w:highlight w:val="none"/>
              </w:rPr>
              <w:t>。</w:t>
            </w:r>
          </w:p>
          <w:p w14:paraId="09552759">
            <w:pPr>
              <w:pStyle w:val="6"/>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b/>
                <w:bCs/>
                <w:color w:val="auto"/>
                <w:kern w:val="2"/>
                <w:sz w:val="24"/>
                <w:szCs w:val="24"/>
                <w:highlight w:val="none"/>
                <w:lang w:val="en-US" w:eastAsia="zh-CN" w:bidi="ar-SA"/>
              </w:rPr>
            </w:pPr>
          </w:p>
          <w:p w14:paraId="543A42A1">
            <w:pPr>
              <w:pStyle w:val="6"/>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b/>
                <w:bCs/>
                <w:color w:val="auto"/>
                <w:kern w:val="2"/>
                <w:sz w:val="24"/>
                <w:szCs w:val="24"/>
                <w:highlight w:val="none"/>
                <w:lang w:val="en-US" w:eastAsia="zh-CN" w:bidi="ar-SA"/>
              </w:rPr>
            </w:pPr>
          </w:p>
          <w:p w14:paraId="3CC2ACDD">
            <w:pPr>
              <w:pStyle w:val="6"/>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b/>
                <w:bCs/>
                <w:color w:val="auto"/>
                <w:kern w:val="2"/>
                <w:sz w:val="24"/>
                <w:szCs w:val="24"/>
                <w:highlight w:val="none"/>
                <w:lang w:val="en-US" w:eastAsia="zh-CN" w:bidi="ar-SA"/>
              </w:rPr>
            </w:pPr>
          </w:p>
          <w:p w14:paraId="4D6CBCBA">
            <w:pPr>
              <w:pStyle w:val="6"/>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b/>
                <w:bCs/>
                <w:color w:val="auto"/>
                <w:kern w:val="2"/>
                <w:sz w:val="24"/>
                <w:szCs w:val="24"/>
                <w:highlight w:val="none"/>
                <w:lang w:val="en-US" w:eastAsia="zh-CN" w:bidi="ar-SA"/>
              </w:rPr>
            </w:pPr>
          </w:p>
          <w:p w14:paraId="2792D1BA">
            <w:pPr>
              <w:pStyle w:val="6"/>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b/>
                <w:bCs/>
                <w:color w:val="auto"/>
                <w:kern w:val="2"/>
                <w:sz w:val="24"/>
                <w:szCs w:val="24"/>
                <w:highlight w:val="none"/>
                <w:lang w:val="en-US" w:eastAsia="zh-CN" w:bidi="ar-SA"/>
              </w:rPr>
            </w:pPr>
          </w:p>
          <w:p w14:paraId="5A47F163">
            <w:pPr>
              <w:pStyle w:val="6"/>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b/>
                <w:bCs/>
                <w:color w:val="auto"/>
                <w:kern w:val="2"/>
                <w:sz w:val="24"/>
                <w:szCs w:val="24"/>
                <w:highlight w:val="none"/>
                <w:lang w:val="en-US" w:eastAsia="zh-CN" w:bidi="ar-SA"/>
              </w:rPr>
            </w:pPr>
          </w:p>
          <w:p w14:paraId="496265FD">
            <w:pPr>
              <w:pStyle w:val="6"/>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kern w:val="2"/>
                <w:sz w:val="24"/>
                <w:szCs w:val="24"/>
                <w:highlight w:val="none"/>
                <w:lang w:val="en-US" w:eastAsia="zh-CN" w:bidi="ar-SA"/>
              </w:rPr>
              <w:t>表4-</w:t>
            </w:r>
            <w:r>
              <w:rPr>
                <w:rFonts w:hint="eastAsia" w:ascii="Times New Roman" w:hAnsi="Times New Roman" w:eastAsia="宋体" w:cs="Times New Roman"/>
                <w:b/>
                <w:bCs/>
                <w:color w:val="auto"/>
                <w:kern w:val="2"/>
                <w:sz w:val="24"/>
                <w:szCs w:val="24"/>
                <w:highlight w:val="none"/>
                <w:lang w:val="en-US" w:eastAsia="zh-CN" w:bidi="ar-SA"/>
              </w:rPr>
              <w:t xml:space="preserve">4  </w:t>
            </w:r>
            <w:r>
              <w:rPr>
                <w:rFonts w:hint="eastAsia" w:ascii="Times New Roman" w:hAnsi="Times New Roman" w:eastAsia="宋体" w:cs="Times New Roman"/>
                <w:b/>
                <w:bCs/>
                <w:color w:val="auto"/>
                <w:sz w:val="24"/>
                <w:highlight w:val="none"/>
                <w:lang w:eastAsia="zh-CN"/>
              </w:rPr>
              <w:t>本项目</w:t>
            </w:r>
            <w:r>
              <w:rPr>
                <w:rFonts w:hint="default" w:ascii="Times New Roman" w:hAnsi="Times New Roman" w:eastAsia="宋体" w:cs="Times New Roman"/>
                <w:b/>
                <w:bCs/>
                <w:color w:val="auto"/>
                <w:sz w:val="24"/>
                <w:highlight w:val="none"/>
              </w:rPr>
              <w:t>无组织废气产生及排放情况表</w:t>
            </w:r>
          </w:p>
          <w:tbl>
            <w:tblPr>
              <w:tblStyle w:val="25"/>
              <w:tblW w:w="499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46"/>
              <w:gridCol w:w="940"/>
              <w:gridCol w:w="532"/>
              <w:gridCol w:w="696"/>
              <w:gridCol w:w="912"/>
              <w:gridCol w:w="1055"/>
              <w:gridCol w:w="1094"/>
              <w:gridCol w:w="1044"/>
              <w:gridCol w:w="1340"/>
              <w:gridCol w:w="1011"/>
            </w:tblGrid>
            <w:tr w14:paraId="71A251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97" w:type="pct"/>
                  <w:vMerge w:val="restart"/>
                  <w:tcBorders>
                    <w:tl2br w:val="nil"/>
                    <w:tr2bl w:val="nil"/>
                  </w:tcBorders>
                  <w:shd w:val="clear" w:color="auto" w:fill="auto"/>
                  <w:vAlign w:val="center"/>
                </w:tcPr>
                <w:p w14:paraId="13E692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b/>
                      <w:bCs/>
                      <w:color w:val="auto"/>
                      <w:sz w:val="20"/>
                      <w:szCs w:val="20"/>
                      <w:highlight w:val="none"/>
                      <w:lang w:val="en-US" w:eastAsia="zh-CN"/>
                    </w:rPr>
                  </w:pPr>
                  <w:r>
                    <w:rPr>
                      <w:rFonts w:hint="eastAsia" w:ascii="Times New Roman" w:hAnsi="Times New Roman" w:eastAsia="宋体" w:cs="Times New Roman"/>
                      <w:b/>
                      <w:bCs/>
                      <w:color w:val="auto"/>
                      <w:sz w:val="20"/>
                      <w:szCs w:val="20"/>
                      <w:highlight w:val="none"/>
                      <w:lang w:val="en-US" w:eastAsia="zh-CN"/>
                    </w:rPr>
                    <w:t>生产</w:t>
                  </w:r>
                  <w:r>
                    <w:rPr>
                      <w:rFonts w:hint="eastAsia" w:cs="Times New Roman"/>
                      <w:b/>
                      <w:bCs/>
                      <w:color w:val="auto"/>
                      <w:sz w:val="20"/>
                      <w:szCs w:val="20"/>
                      <w:highlight w:val="none"/>
                      <w:lang w:val="en-US" w:eastAsia="zh-CN"/>
                    </w:rPr>
                    <w:t>源</w:t>
                  </w:r>
                </w:p>
              </w:tc>
              <w:tc>
                <w:tcPr>
                  <w:tcW w:w="512" w:type="pct"/>
                  <w:vMerge w:val="restart"/>
                  <w:tcBorders>
                    <w:tl2br w:val="nil"/>
                    <w:tr2bl w:val="nil"/>
                  </w:tcBorders>
                  <w:shd w:val="clear" w:color="auto" w:fill="auto"/>
                  <w:vAlign w:val="center"/>
                </w:tcPr>
                <w:p w14:paraId="7616E6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b/>
                      <w:bCs/>
                      <w:color w:val="auto"/>
                      <w:sz w:val="20"/>
                      <w:szCs w:val="20"/>
                      <w:highlight w:val="none"/>
                    </w:rPr>
                  </w:pPr>
                  <w:r>
                    <w:rPr>
                      <w:rFonts w:hint="default" w:ascii="Times New Roman" w:hAnsi="Times New Roman" w:eastAsia="宋体" w:cs="Times New Roman"/>
                      <w:b/>
                      <w:bCs/>
                      <w:color w:val="auto"/>
                      <w:kern w:val="0"/>
                      <w:sz w:val="20"/>
                      <w:szCs w:val="20"/>
                      <w:highlight w:val="none"/>
                      <w:lang w:bidi="ar"/>
                    </w:rPr>
                    <w:t>废气来源</w:t>
                  </w:r>
                </w:p>
              </w:tc>
              <w:tc>
                <w:tcPr>
                  <w:tcW w:w="669" w:type="pct"/>
                  <w:gridSpan w:val="2"/>
                  <w:vMerge w:val="restart"/>
                  <w:tcBorders>
                    <w:tl2br w:val="nil"/>
                    <w:tr2bl w:val="nil"/>
                  </w:tcBorders>
                  <w:shd w:val="clear" w:color="auto" w:fill="auto"/>
                  <w:vAlign w:val="center"/>
                </w:tcPr>
                <w:p w14:paraId="0076E0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b/>
                      <w:bCs/>
                      <w:color w:val="auto"/>
                      <w:sz w:val="20"/>
                      <w:szCs w:val="20"/>
                      <w:highlight w:val="none"/>
                    </w:rPr>
                  </w:pPr>
                  <w:r>
                    <w:rPr>
                      <w:rFonts w:hint="default" w:ascii="Times New Roman" w:hAnsi="Times New Roman" w:eastAsia="宋体" w:cs="Times New Roman"/>
                      <w:b/>
                      <w:bCs/>
                      <w:color w:val="auto"/>
                      <w:kern w:val="0"/>
                      <w:sz w:val="20"/>
                      <w:szCs w:val="20"/>
                      <w:highlight w:val="none"/>
                      <w:lang w:bidi="ar"/>
                    </w:rPr>
                    <w:t>污染物名称</w:t>
                  </w:r>
                </w:p>
              </w:tc>
              <w:tc>
                <w:tcPr>
                  <w:tcW w:w="497" w:type="pct"/>
                  <w:vMerge w:val="restart"/>
                  <w:tcBorders>
                    <w:tl2br w:val="nil"/>
                    <w:tr2bl w:val="nil"/>
                  </w:tcBorders>
                  <w:shd w:val="clear" w:color="auto" w:fill="auto"/>
                  <w:vAlign w:val="center"/>
                </w:tcPr>
                <w:p w14:paraId="0375D4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b/>
                      <w:bCs/>
                      <w:color w:val="auto"/>
                      <w:sz w:val="18"/>
                      <w:szCs w:val="20"/>
                      <w:highlight w:val="none"/>
                    </w:rPr>
                  </w:pPr>
                  <w:r>
                    <w:rPr>
                      <w:rFonts w:hint="default" w:ascii="Times New Roman" w:hAnsi="Times New Roman" w:eastAsia="宋体" w:cs="Times New Roman"/>
                      <w:b/>
                      <w:bCs/>
                      <w:color w:val="auto"/>
                      <w:kern w:val="0"/>
                      <w:sz w:val="18"/>
                      <w:szCs w:val="20"/>
                      <w:highlight w:val="none"/>
                      <w:lang w:bidi="ar"/>
                    </w:rPr>
                    <w:t>产生量（t/a）</w:t>
                  </w:r>
                </w:p>
              </w:tc>
              <w:tc>
                <w:tcPr>
                  <w:tcW w:w="575" w:type="pct"/>
                  <w:vMerge w:val="restart"/>
                  <w:tcBorders>
                    <w:tl2br w:val="nil"/>
                    <w:tr2bl w:val="nil"/>
                  </w:tcBorders>
                  <w:shd w:val="clear" w:color="auto" w:fill="auto"/>
                  <w:vAlign w:val="center"/>
                </w:tcPr>
                <w:p w14:paraId="3AD613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b/>
                      <w:bCs/>
                      <w:color w:val="auto"/>
                      <w:kern w:val="0"/>
                      <w:sz w:val="18"/>
                      <w:szCs w:val="20"/>
                      <w:highlight w:val="none"/>
                      <w:lang w:bidi="ar"/>
                    </w:rPr>
                  </w:pPr>
                  <w:r>
                    <w:rPr>
                      <w:rFonts w:hint="default" w:ascii="Times New Roman" w:hAnsi="Times New Roman" w:eastAsia="宋体" w:cs="Times New Roman"/>
                      <w:b/>
                      <w:bCs/>
                      <w:color w:val="auto"/>
                      <w:kern w:val="0"/>
                      <w:sz w:val="18"/>
                      <w:szCs w:val="20"/>
                      <w:highlight w:val="none"/>
                      <w:lang w:bidi="ar"/>
                    </w:rPr>
                    <w:t>产生速率（kg/h）</w:t>
                  </w:r>
                </w:p>
              </w:tc>
              <w:tc>
                <w:tcPr>
                  <w:tcW w:w="596" w:type="pct"/>
                  <w:vMerge w:val="restart"/>
                  <w:tcBorders>
                    <w:tl2br w:val="nil"/>
                    <w:tr2bl w:val="nil"/>
                  </w:tcBorders>
                  <w:shd w:val="clear" w:color="auto" w:fill="auto"/>
                  <w:vAlign w:val="center"/>
                </w:tcPr>
                <w:p w14:paraId="1C1CB2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b/>
                      <w:bCs/>
                      <w:color w:val="auto"/>
                      <w:sz w:val="18"/>
                      <w:szCs w:val="20"/>
                      <w:highlight w:val="none"/>
                    </w:rPr>
                  </w:pPr>
                  <w:r>
                    <w:rPr>
                      <w:rFonts w:hint="default" w:ascii="Times New Roman" w:hAnsi="Times New Roman" w:eastAsia="宋体" w:cs="Times New Roman"/>
                      <w:b/>
                      <w:bCs/>
                      <w:color w:val="auto"/>
                      <w:kern w:val="0"/>
                      <w:sz w:val="18"/>
                      <w:szCs w:val="20"/>
                      <w:highlight w:val="none"/>
                      <w:lang w:bidi="ar"/>
                    </w:rPr>
                    <w:t>排放量（t/a）</w:t>
                  </w:r>
                </w:p>
              </w:tc>
              <w:tc>
                <w:tcPr>
                  <w:tcW w:w="569" w:type="pct"/>
                  <w:vMerge w:val="restart"/>
                  <w:tcBorders>
                    <w:tl2br w:val="nil"/>
                    <w:tr2bl w:val="nil"/>
                  </w:tcBorders>
                  <w:shd w:val="clear" w:color="auto" w:fill="auto"/>
                  <w:vAlign w:val="center"/>
                </w:tcPr>
                <w:p w14:paraId="4A1788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b/>
                      <w:bCs/>
                      <w:color w:val="auto"/>
                      <w:sz w:val="18"/>
                      <w:szCs w:val="20"/>
                      <w:highlight w:val="none"/>
                    </w:rPr>
                  </w:pPr>
                  <w:r>
                    <w:rPr>
                      <w:rFonts w:hint="default" w:ascii="Times New Roman" w:hAnsi="Times New Roman" w:eastAsia="宋体" w:cs="Times New Roman"/>
                      <w:b/>
                      <w:bCs/>
                      <w:color w:val="auto"/>
                      <w:kern w:val="0"/>
                      <w:sz w:val="18"/>
                      <w:szCs w:val="20"/>
                      <w:highlight w:val="none"/>
                      <w:lang w:bidi="ar"/>
                    </w:rPr>
                    <w:t>排放速率（kg/h）</w:t>
                  </w:r>
                </w:p>
              </w:tc>
              <w:tc>
                <w:tcPr>
                  <w:tcW w:w="1281" w:type="pct"/>
                  <w:gridSpan w:val="2"/>
                  <w:tcBorders>
                    <w:tl2br w:val="nil"/>
                    <w:tr2bl w:val="nil"/>
                  </w:tcBorders>
                  <w:shd w:val="clear" w:color="auto" w:fill="auto"/>
                  <w:vAlign w:val="center"/>
                </w:tcPr>
                <w:p w14:paraId="799F30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b/>
                      <w:bCs/>
                      <w:color w:val="auto"/>
                      <w:sz w:val="20"/>
                      <w:szCs w:val="20"/>
                      <w:highlight w:val="none"/>
                    </w:rPr>
                  </w:pPr>
                  <w:r>
                    <w:rPr>
                      <w:rFonts w:hint="default" w:ascii="Times New Roman" w:hAnsi="Times New Roman" w:eastAsia="宋体" w:cs="Times New Roman"/>
                      <w:b/>
                      <w:bCs/>
                      <w:color w:val="auto"/>
                      <w:kern w:val="0"/>
                      <w:sz w:val="20"/>
                      <w:szCs w:val="20"/>
                      <w:highlight w:val="none"/>
                      <w:lang w:bidi="ar"/>
                    </w:rPr>
                    <w:t>面源</w:t>
                  </w:r>
                </w:p>
              </w:tc>
            </w:tr>
            <w:tr w14:paraId="600E4E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97" w:type="pct"/>
                  <w:vMerge w:val="continue"/>
                  <w:tcBorders>
                    <w:tl2br w:val="nil"/>
                    <w:tr2bl w:val="nil"/>
                  </w:tcBorders>
                  <w:shd w:val="clear" w:color="auto" w:fill="auto"/>
                  <w:vAlign w:val="center"/>
                </w:tcPr>
                <w:p w14:paraId="70EEA24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b/>
                      <w:bCs/>
                      <w:color w:val="auto"/>
                      <w:sz w:val="20"/>
                      <w:szCs w:val="20"/>
                      <w:highlight w:val="none"/>
                    </w:rPr>
                  </w:pPr>
                </w:p>
              </w:tc>
              <w:tc>
                <w:tcPr>
                  <w:tcW w:w="512" w:type="pct"/>
                  <w:vMerge w:val="continue"/>
                  <w:tcBorders>
                    <w:tl2br w:val="nil"/>
                    <w:tr2bl w:val="nil"/>
                  </w:tcBorders>
                  <w:shd w:val="clear" w:color="auto" w:fill="auto"/>
                  <w:vAlign w:val="center"/>
                </w:tcPr>
                <w:p w14:paraId="546C92A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b/>
                      <w:bCs/>
                      <w:color w:val="auto"/>
                      <w:sz w:val="20"/>
                      <w:szCs w:val="20"/>
                      <w:highlight w:val="none"/>
                    </w:rPr>
                  </w:pPr>
                </w:p>
              </w:tc>
              <w:tc>
                <w:tcPr>
                  <w:tcW w:w="669" w:type="pct"/>
                  <w:gridSpan w:val="2"/>
                  <w:vMerge w:val="continue"/>
                  <w:tcBorders>
                    <w:tl2br w:val="nil"/>
                    <w:tr2bl w:val="nil"/>
                  </w:tcBorders>
                  <w:shd w:val="clear" w:color="auto" w:fill="auto"/>
                  <w:vAlign w:val="center"/>
                </w:tcPr>
                <w:p w14:paraId="5EDF500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b/>
                      <w:bCs/>
                      <w:color w:val="auto"/>
                      <w:sz w:val="20"/>
                      <w:szCs w:val="20"/>
                      <w:highlight w:val="none"/>
                    </w:rPr>
                  </w:pPr>
                </w:p>
              </w:tc>
              <w:tc>
                <w:tcPr>
                  <w:tcW w:w="497" w:type="pct"/>
                  <w:vMerge w:val="continue"/>
                  <w:tcBorders>
                    <w:tl2br w:val="nil"/>
                    <w:tr2bl w:val="nil"/>
                  </w:tcBorders>
                  <w:shd w:val="clear" w:color="auto" w:fill="auto"/>
                  <w:vAlign w:val="center"/>
                </w:tcPr>
                <w:p w14:paraId="528A60D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b/>
                      <w:bCs/>
                      <w:color w:val="auto"/>
                      <w:sz w:val="18"/>
                      <w:szCs w:val="20"/>
                      <w:highlight w:val="none"/>
                    </w:rPr>
                  </w:pPr>
                </w:p>
              </w:tc>
              <w:tc>
                <w:tcPr>
                  <w:tcW w:w="575" w:type="pct"/>
                  <w:vMerge w:val="continue"/>
                  <w:tcBorders>
                    <w:tl2br w:val="nil"/>
                    <w:tr2bl w:val="nil"/>
                  </w:tcBorders>
                  <w:shd w:val="clear" w:color="auto" w:fill="auto"/>
                  <w:vAlign w:val="center"/>
                </w:tcPr>
                <w:p w14:paraId="0E58F60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b/>
                      <w:bCs/>
                      <w:color w:val="auto"/>
                      <w:sz w:val="18"/>
                      <w:szCs w:val="20"/>
                      <w:highlight w:val="none"/>
                    </w:rPr>
                  </w:pPr>
                </w:p>
              </w:tc>
              <w:tc>
                <w:tcPr>
                  <w:tcW w:w="596" w:type="pct"/>
                  <w:vMerge w:val="continue"/>
                  <w:tcBorders>
                    <w:tl2br w:val="nil"/>
                    <w:tr2bl w:val="nil"/>
                  </w:tcBorders>
                  <w:shd w:val="clear" w:color="auto" w:fill="auto"/>
                  <w:vAlign w:val="center"/>
                </w:tcPr>
                <w:p w14:paraId="30EF06A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b/>
                      <w:bCs/>
                      <w:color w:val="auto"/>
                      <w:sz w:val="18"/>
                      <w:szCs w:val="20"/>
                      <w:highlight w:val="none"/>
                    </w:rPr>
                  </w:pPr>
                </w:p>
              </w:tc>
              <w:tc>
                <w:tcPr>
                  <w:tcW w:w="569" w:type="pct"/>
                  <w:vMerge w:val="continue"/>
                  <w:tcBorders>
                    <w:tl2br w:val="nil"/>
                    <w:tr2bl w:val="nil"/>
                  </w:tcBorders>
                  <w:shd w:val="clear" w:color="auto" w:fill="auto"/>
                  <w:vAlign w:val="center"/>
                </w:tcPr>
                <w:p w14:paraId="07CDCC4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b/>
                      <w:bCs/>
                      <w:color w:val="auto"/>
                      <w:sz w:val="18"/>
                      <w:szCs w:val="20"/>
                      <w:highlight w:val="none"/>
                    </w:rPr>
                  </w:pPr>
                </w:p>
              </w:tc>
              <w:tc>
                <w:tcPr>
                  <w:tcW w:w="730" w:type="pct"/>
                  <w:tcBorders>
                    <w:tl2br w:val="nil"/>
                    <w:tr2bl w:val="nil"/>
                  </w:tcBorders>
                  <w:shd w:val="clear" w:color="auto" w:fill="auto"/>
                  <w:vAlign w:val="center"/>
                </w:tcPr>
                <w:p w14:paraId="7BE499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eastAsia" w:ascii="Times New Roman" w:hAnsi="Times New Roman" w:eastAsia="宋体" w:cs="Times New Roman"/>
                      <w:b/>
                      <w:bCs/>
                      <w:color w:val="auto"/>
                      <w:sz w:val="20"/>
                      <w:szCs w:val="20"/>
                      <w:highlight w:val="none"/>
                      <w:lang w:val="en-US" w:eastAsia="zh-CN"/>
                    </w:rPr>
                  </w:pPr>
                  <w:r>
                    <w:rPr>
                      <w:rFonts w:hint="eastAsia" w:ascii="Times New Roman" w:hAnsi="Times New Roman" w:eastAsia="宋体" w:cs="Times New Roman"/>
                      <w:b/>
                      <w:bCs/>
                      <w:color w:val="auto"/>
                      <w:sz w:val="20"/>
                      <w:szCs w:val="20"/>
                      <w:highlight w:val="none"/>
                      <w:lang w:val="en-US" w:eastAsia="zh-CN"/>
                    </w:rPr>
                    <w:t>面积（m</w:t>
                  </w:r>
                  <w:r>
                    <w:rPr>
                      <w:rFonts w:hint="eastAsia" w:ascii="Times New Roman" w:hAnsi="Times New Roman" w:eastAsia="宋体" w:cs="Times New Roman"/>
                      <w:b/>
                      <w:bCs/>
                      <w:color w:val="auto"/>
                      <w:sz w:val="20"/>
                      <w:szCs w:val="20"/>
                      <w:highlight w:val="none"/>
                      <w:vertAlign w:val="superscript"/>
                      <w:lang w:val="en-US" w:eastAsia="zh-CN"/>
                    </w:rPr>
                    <w:t>2</w:t>
                  </w:r>
                  <w:r>
                    <w:rPr>
                      <w:rFonts w:hint="eastAsia" w:ascii="Times New Roman" w:hAnsi="Times New Roman" w:eastAsia="宋体" w:cs="Times New Roman"/>
                      <w:b/>
                      <w:bCs/>
                      <w:color w:val="auto"/>
                      <w:sz w:val="20"/>
                      <w:szCs w:val="20"/>
                      <w:highlight w:val="none"/>
                      <w:lang w:val="en-US" w:eastAsia="zh-CN"/>
                    </w:rPr>
                    <w:t>）</w:t>
                  </w:r>
                </w:p>
              </w:tc>
              <w:tc>
                <w:tcPr>
                  <w:tcW w:w="551" w:type="pct"/>
                  <w:tcBorders>
                    <w:tl2br w:val="nil"/>
                    <w:tr2bl w:val="nil"/>
                  </w:tcBorders>
                  <w:shd w:val="clear" w:color="auto" w:fill="auto"/>
                  <w:vAlign w:val="center"/>
                </w:tcPr>
                <w:p w14:paraId="001AF4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b/>
                      <w:bCs/>
                      <w:color w:val="auto"/>
                      <w:sz w:val="20"/>
                      <w:szCs w:val="20"/>
                      <w:highlight w:val="none"/>
                    </w:rPr>
                  </w:pPr>
                  <w:r>
                    <w:rPr>
                      <w:rFonts w:hint="default" w:ascii="Times New Roman" w:hAnsi="Times New Roman" w:eastAsia="宋体" w:cs="Times New Roman"/>
                      <w:b/>
                      <w:bCs/>
                      <w:color w:val="auto"/>
                      <w:kern w:val="0"/>
                      <w:sz w:val="20"/>
                      <w:szCs w:val="20"/>
                      <w:highlight w:val="none"/>
                      <w:lang w:bidi="ar"/>
                    </w:rPr>
                    <w:t>高度（m）</w:t>
                  </w:r>
                </w:p>
              </w:tc>
            </w:tr>
            <w:tr w14:paraId="497C6A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297" w:type="pct"/>
                  <w:vMerge w:val="restart"/>
                  <w:tcBorders>
                    <w:tl2br w:val="nil"/>
                    <w:tr2bl w:val="nil"/>
                  </w:tcBorders>
                  <w:shd w:val="clear" w:color="auto" w:fill="auto"/>
                  <w:vAlign w:val="center"/>
                </w:tcPr>
                <w:p w14:paraId="17DA6D7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lang w:val="en-US" w:eastAsia="zh-CN"/>
                    </w:rPr>
                  </w:pPr>
                  <w:r>
                    <w:rPr>
                      <w:rFonts w:hint="eastAsia" w:cs="Times New Roman"/>
                      <w:color w:val="auto"/>
                      <w:sz w:val="20"/>
                      <w:szCs w:val="20"/>
                      <w:highlight w:val="none"/>
                      <w:lang w:val="en-US" w:eastAsia="zh-CN"/>
                    </w:rPr>
                    <w:t>车间</w:t>
                  </w:r>
                </w:p>
              </w:tc>
              <w:tc>
                <w:tcPr>
                  <w:tcW w:w="512" w:type="pct"/>
                  <w:vMerge w:val="restart"/>
                  <w:tcBorders>
                    <w:tl2br w:val="nil"/>
                    <w:tr2bl w:val="nil"/>
                  </w:tcBorders>
                  <w:shd w:val="clear" w:color="auto" w:fill="auto"/>
                  <w:vAlign w:val="center"/>
                </w:tcPr>
                <w:p w14:paraId="33F882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原料挥发</w:t>
                  </w:r>
                </w:p>
              </w:tc>
              <w:tc>
                <w:tcPr>
                  <w:tcW w:w="669" w:type="pct"/>
                  <w:gridSpan w:val="2"/>
                  <w:tcBorders>
                    <w:bottom w:val="single" w:color="auto" w:sz="4" w:space="0"/>
                    <w:tl2br w:val="nil"/>
                    <w:tr2bl w:val="nil"/>
                  </w:tcBorders>
                  <w:shd w:val="clear" w:color="auto" w:fill="auto"/>
                  <w:vAlign w:val="center"/>
                </w:tcPr>
                <w:p w14:paraId="60B32D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 w:val="20"/>
                      <w:szCs w:val="20"/>
                      <w:highlight w:val="none"/>
                      <w:lang w:bidi="ar"/>
                    </w:rPr>
                  </w:pPr>
                  <w:r>
                    <w:rPr>
                      <w:rFonts w:hint="eastAsia" w:ascii="Times New Roman" w:hAnsi="Times New Roman" w:eastAsia="宋体"/>
                      <w:b w:val="0"/>
                      <w:bCs w:val="0"/>
                      <w:color w:val="auto"/>
                      <w:sz w:val="20"/>
                      <w:szCs w:val="20"/>
                      <w:highlight w:val="none"/>
                      <w:lang w:eastAsia="zh-CN"/>
                    </w:rPr>
                    <w:t>非甲烷总烃</w:t>
                  </w:r>
                </w:p>
              </w:tc>
              <w:tc>
                <w:tcPr>
                  <w:tcW w:w="497" w:type="pct"/>
                  <w:tcBorders>
                    <w:bottom w:val="single" w:color="auto" w:sz="4" w:space="0"/>
                    <w:tl2br w:val="nil"/>
                    <w:tr2bl w:val="nil"/>
                  </w:tcBorders>
                  <w:shd w:val="clear" w:color="auto" w:fill="auto"/>
                  <w:vAlign w:val="center"/>
                </w:tcPr>
                <w:p w14:paraId="09F97F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0.002</w:t>
                  </w:r>
                  <w:r>
                    <w:rPr>
                      <w:rFonts w:hint="eastAsia" w:ascii="Times New Roman" w:hAnsi="Times New Roman" w:eastAsia="宋体" w:cs="Times New Roman"/>
                      <w:i w:val="0"/>
                      <w:iCs w:val="0"/>
                      <w:color w:val="000000"/>
                      <w:kern w:val="0"/>
                      <w:sz w:val="18"/>
                      <w:szCs w:val="18"/>
                      <w:u w:val="none"/>
                      <w:lang w:val="en-US" w:eastAsia="zh-CN" w:bidi="ar"/>
                    </w:rPr>
                    <w:t>4</w:t>
                  </w:r>
                </w:p>
              </w:tc>
              <w:tc>
                <w:tcPr>
                  <w:tcW w:w="575" w:type="pct"/>
                  <w:tcBorders>
                    <w:bottom w:val="single" w:color="auto" w:sz="4" w:space="0"/>
                    <w:tl2br w:val="nil"/>
                    <w:tr2bl w:val="nil"/>
                  </w:tcBorders>
                  <w:shd w:val="clear" w:color="auto" w:fill="auto"/>
                  <w:vAlign w:val="center"/>
                </w:tcPr>
                <w:p w14:paraId="5F9E2E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0.001</w:t>
                  </w:r>
                  <w:r>
                    <w:rPr>
                      <w:rFonts w:hint="eastAsia" w:ascii="Times New Roman" w:hAnsi="Times New Roman" w:eastAsia="宋体" w:cs="Times New Roman"/>
                      <w:i w:val="0"/>
                      <w:iCs w:val="0"/>
                      <w:color w:val="000000"/>
                      <w:kern w:val="0"/>
                      <w:sz w:val="18"/>
                      <w:szCs w:val="18"/>
                      <w:u w:val="none"/>
                      <w:lang w:val="en-US" w:eastAsia="zh-CN" w:bidi="ar"/>
                    </w:rPr>
                    <w:t>2</w:t>
                  </w:r>
                </w:p>
              </w:tc>
              <w:tc>
                <w:tcPr>
                  <w:tcW w:w="1094" w:type="dxa"/>
                  <w:tcBorders>
                    <w:bottom w:val="single" w:color="auto" w:sz="4" w:space="0"/>
                    <w:tl2br w:val="nil"/>
                    <w:tr2bl w:val="nil"/>
                  </w:tcBorders>
                  <w:shd w:val="clear" w:color="auto" w:fill="auto"/>
                  <w:vAlign w:val="center"/>
                </w:tcPr>
                <w:p w14:paraId="1F8E27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0.002</w:t>
                  </w:r>
                  <w:r>
                    <w:rPr>
                      <w:rFonts w:hint="eastAsia" w:ascii="Times New Roman" w:hAnsi="Times New Roman" w:eastAsia="宋体" w:cs="Times New Roman"/>
                      <w:i w:val="0"/>
                      <w:iCs w:val="0"/>
                      <w:color w:val="000000"/>
                      <w:kern w:val="0"/>
                      <w:sz w:val="18"/>
                      <w:szCs w:val="18"/>
                      <w:u w:val="none"/>
                      <w:lang w:val="en-US" w:eastAsia="zh-CN" w:bidi="ar"/>
                    </w:rPr>
                    <w:t>4</w:t>
                  </w:r>
                </w:p>
              </w:tc>
              <w:tc>
                <w:tcPr>
                  <w:tcW w:w="1044" w:type="dxa"/>
                  <w:tcBorders>
                    <w:bottom w:val="single" w:color="auto" w:sz="4" w:space="0"/>
                    <w:tl2br w:val="nil"/>
                    <w:tr2bl w:val="nil"/>
                  </w:tcBorders>
                  <w:shd w:val="clear" w:color="auto" w:fill="auto"/>
                  <w:vAlign w:val="center"/>
                </w:tcPr>
                <w:p w14:paraId="303AE5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0.001</w:t>
                  </w:r>
                  <w:r>
                    <w:rPr>
                      <w:rFonts w:hint="eastAsia" w:ascii="Times New Roman" w:hAnsi="Times New Roman" w:eastAsia="宋体" w:cs="Times New Roman"/>
                      <w:i w:val="0"/>
                      <w:iCs w:val="0"/>
                      <w:color w:val="000000"/>
                      <w:kern w:val="0"/>
                      <w:sz w:val="18"/>
                      <w:szCs w:val="18"/>
                      <w:u w:val="none"/>
                      <w:lang w:val="en-US" w:eastAsia="zh-CN" w:bidi="ar"/>
                    </w:rPr>
                    <w:t>2</w:t>
                  </w:r>
                </w:p>
              </w:tc>
              <w:tc>
                <w:tcPr>
                  <w:tcW w:w="730" w:type="pct"/>
                  <w:vMerge w:val="restart"/>
                  <w:tcBorders>
                    <w:tl2br w:val="nil"/>
                    <w:tr2bl w:val="nil"/>
                  </w:tcBorders>
                  <w:shd w:val="clear" w:color="auto" w:fill="auto"/>
                  <w:vAlign w:val="center"/>
                </w:tcPr>
                <w:p w14:paraId="593E828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lang w:val="en-US" w:eastAsia="zh-CN"/>
                    </w:rPr>
                  </w:pPr>
                  <w:r>
                    <w:rPr>
                      <w:rFonts w:hint="eastAsia" w:cs="Times New Roman"/>
                      <w:color w:val="auto"/>
                      <w:sz w:val="20"/>
                      <w:szCs w:val="20"/>
                      <w:highlight w:val="none"/>
                      <w:lang w:val="en-US" w:eastAsia="zh-CN"/>
                    </w:rPr>
                    <w:t>2090.67</w:t>
                  </w:r>
                </w:p>
              </w:tc>
              <w:tc>
                <w:tcPr>
                  <w:tcW w:w="551" w:type="pct"/>
                  <w:vMerge w:val="restart"/>
                  <w:tcBorders>
                    <w:tl2br w:val="nil"/>
                    <w:tr2bl w:val="nil"/>
                  </w:tcBorders>
                  <w:shd w:val="clear" w:color="auto" w:fill="auto"/>
                  <w:noWrap/>
                  <w:vAlign w:val="center"/>
                </w:tcPr>
                <w:p w14:paraId="035882B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lang w:val="en-US" w:eastAsia="zh-CN"/>
                    </w:rPr>
                  </w:pPr>
                  <w:r>
                    <w:rPr>
                      <w:rFonts w:hint="eastAsia" w:cs="Times New Roman"/>
                      <w:color w:val="auto"/>
                      <w:sz w:val="20"/>
                      <w:szCs w:val="20"/>
                      <w:highlight w:val="none"/>
                      <w:lang w:val="en-US" w:eastAsia="zh-CN"/>
                    </w:rPr>
                    <w:t>5</w:t>
                  </w:r>
                </w:p>
              </w:tc>
            </w:tr>
            <w:tr w14:paraId="3F5331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9" w:hRule="atLeast"/>
                <w:jc w:val="center"/>
              </w:trPr>
              <w:tc>
                <w:tcPr>
                  <w:tcW w:w="297" w:type="pct"/>
                  <w:vMerge w:val="continue"/>
                  <w:tcBorders>
                    <w:tl2br w:val="nil"/>
                    <w:tr2bl w:val="nil"/>
                  </w:tcBorders>
                  <w:shd w:val="clear" w:color="auto" w:fill="auto"/>
                  <w:vAlign w:val="center"/>
                </w:tcPr>
                <w:p w14:paraId="64E010B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auto"/>
                      <w:sz w:val="20"/>
                      <w:szCs w:val="20"/>
                      <w:highlight w:val="none"/>
                      <w:lang w:val="en-US" w:eastAsia="zh-CN"/>
                    </w:rPr>
                  </w:pPr>
                </w:p>
              </w:tc>
              <w:tc>
                <w:tcPr>
                  <w:tcW w:w="512" w:type="pct"/>
                  <w:vMerge w:val="continue"/>
                  <w:tcBorders>
                    <w:tl2br w:val="nil"/>
                    <w:tr2bl w:val="nil"/>
                  </w:tcBorders>
                  <w:shd w:val="clear" w:color="auto" w:fill="auto"/>
                  <w:vAlign w:val="center"/>
                </w:tcPr>
                <w:p w14:paraId="3CCD49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 w:val="20"/>
                      <w:szCs w:val="20"/>
                      <w:highlight w:val="none"/>
                      <w:lang w:val="en-US" w:eastAsia="zh-CN" w:bidi="ar"/>
                    </w:rPr>
                  </w:pPr>
                </w:p>
              </w:tc>
              <w:tc>
                <w:tcPr>
                  <w:tcW w:w="290" w:type="pct"/>
                  <w:tcBorders>
                    <w:top w:val="single" w:color="auto" w:sz="4" w:space="0"/>
                    <w:right w:val="single" w:color="000000" w:sz="2" w:space="0"/>
                    <w:tl2br w:val="nil"/>
                    <w:tr2bl w:val="nil"/>
                  </w:tcBorders>
                  <w:shd w:val="clear" w:color="auto" w:fill="auto"/>
                  <w:vAlign w:val="center"/>
                </w:tcPr>
                <w:p w14:paraId="6621EF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b w:val="0"/>
                      <w:bCs w:val="0"/>
                      <w:color w:val="auto"/>
                      <w:sz w:val="20"/>
                      <w:szCs w:val="20"/>
                      <w:highlight w:val="none"/>
                      <w:lang w:val="en-US" w:eastAsia="zh-CN"/>
                    </w:rPr>
                  </w:pPr>
                  <w:r>
                    <w:rPr>
                      <w:rFonts w:hint="eastAsia"/>
                      <w:b w:val="0"/>
                      <w:bCs w:val="0"/>
                      <w:color w:val="auto"/>
                      <w:sz w:val="20"/>
                      <w:szCs w:val="20"/>
                      <w:highlight w:val="none"/>
                      <w:lang w:val="en-US" w:eastAsia="zh-CN"/>
                    </w:rPr>
                    <w:t>包括</w:t>
                  </w:r>
                </w:p>
              </w:tc>
              <w:tc>
                <w:tcPr>
                  <w:tcW w:w="379" w:type="pct"/>
                  <w:tcBorders>
                    <w:top w:val="single" w:color="auto" w:sz="4" w:space="0"/>
                    <w:left w:val="single" w:color="000000" w:sz="2" w:space="0"/>
                    <w:tl2br w:val="nil"/>
                    <w:tr2bl w:val="nil"/>
                  </w:tcBorders>
                  <w:shd w:val="clear" w:color="auto" w:fill="auto"/>
                  <w:vAlign w:val="center"/>
                </w:tcPr>
                <w:p w14:paraId="6FCF0D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b w:val="0"/>
                      <w:bCs w:val="0"/>
                      <w:color w:val="auto"/>
                      <w:sz w:val="20"/>
                      <w:szCs w:val="20"/>
                      <w:highlight w:val="none"/>
                      <w:lang w:val="en-US" w:eastAsia="zh-CN"/>
                    </w:rPr>
                  </w:pPr>
                  <w:r>
                    <w:rPr>
                      <w:rFonts w:hint="eastAsia"/>
                      <w:b w:val="0"/>
                      <w:bCs w:val="0"/>
                      <w:color w:val="auto"/>
                      <w:sz w:val="20"/>
                      <w:szCs w:val="20"/>
                      <w:highlight w:val="none"/>
                      <w:lang w:val="en-US" w:eastAsia="zh-CN"/>
                    </w:rPr>
                    <w:t>甲醇</w:t>
                  </w:r>
                </w:p>
              </w:tc>
              <w:tc>
                <w:tcPr>
                  <w:tcW w:w="497" w:type="pct"/>
                  <w:tcBorders>
                    <w:top w:val="single" w:color="auto" w:sz="4" w:space="0"/>
                    <w:tl2br w:val="nil"/>
                    <w:tr2bl w:val="nil"/>
                  </w:tcBorders>
                  <w:shd w:val="clear" w:color="auto" w:fill="auto"/>
                  <w:vAlign w:val="center"/>
                </w:tcPr>
                <w:p w14:paraId="210E00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20"/>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0.000</w:t>
                  </w:r>
                  <w:r>
                    <w:rPr>
                      <w:rFonts w:hint="eastAsia" w:ascii="Times New Roman" w:hAnsi="Times New Roman" w:eastAsia="宋体" w:cs="Times New Roman"/>
                      <w:i w:val="0"/>
                      <w:iCs w:val="0"/>
                      <w:color w:val="000000"/>
                      <w:kern w:val="0"/>
                      <w:sz w:val="18"/>
                      <w:szCs w:val="18"/>
                      <w:u w:val="none"/>
                      <w:lang w:val="en-US" w:eastAsia="zh-CN" w:bidi="ar"/>
                    </w:rPr>
                    <w:t>2</w:t>
                  </w:r>
                </w:p>
              </w:tc>
              <w:tc>
                <w:tcPr>
                  <w:tcW w:w="575" w:type="pct"/>
                  <w:tcBorders>
                    <w:top w:val="single" w:color="auto" w:sz="4" w:space="0"/>
                    <w:tl2br w:val="nil"/>
                    <w:tr2bl w:val="nil"/>
                  </w:tcBorders>
                  <w:shd w:val="clear" w:color="auto" w:fill="auto"/>
                  <w:vAlign w:val="center"/>
                </w:tcPr>
                <w:p w14:paraId="0DB8AD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20"/>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0.0000</w:t>
                  </w:r>
                  <w:r>
                    <w:rPr>
                      <w:rFonts w:hint="eastAsia" w:ascii="Times New Roman" w:hAnsi="Times New Roman" w:eastAsia="宋体" w:cs="Times New Roman"/>
                      <w:i w:val="0"/>
                      <w:iCs w:val="0"/>
                      <w:color w:val="000000"/>
                      <w:kern w:val="0"/>
                      <w:sz w:val="18"/>
                      <w:szCs w:val="18"/>
                      <w:u w:val="none"/>
                      <w:lang w:val="en-US" w:eastAsia="zh-CN" w:bidi="ar"/>
                    </w:rPr>
                    <w:t>8</w:t>
                  </w:r>
                </w:p>
              </w:tc>
              <w:tc>
                <w:tcPr>
                  <w:tcW w:w="1094" w:type="dxa"/>
                  <w:tcBorders>
                    <w:top w:val="single" w:color="auto" w:sz="4" w:space="0"/>
                    <w:tl2br w:val="nil"/>
                    <w:tr2bl w:val="nil"/>
                  </w:tcBorders>
                  <w:shd w:val="clear" w:color="auto" w:fill="auto"/>
                  <w:vAlign w:val="center"/>
                </w:tcPr>
                <w:p w14:paraId="638ED73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18"/>
                      <w:szCs w:val="20"/>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0.000</w:t>
                  </w:r>
                  <w:r>
                    <w:rPr>
                      <w:rFonts w:hint="eastAsia" w:ascii="Times New Roman" w:hAnsi="Times New Roman" w:eastAsia="宋体" w:cs="Times New Roman"/>
                      <w:i w:val="0"/>
                      <w:iCs w:val="0"/>
                      <w:color w:val="000000"/>
                      <w:kern w:val="0"/>
                      <w:sz w:val="18"/>
                      <w:szCs w:val="18"/>
                      <w:u w:val="none"/>
                      <w:lang w:val="en-US" w:eastAsia="zh-CN" w:bidi="ar"/>
                    </w:rPr>
                    <w:t>2</w:t>
                  </w:r>
                </w:p>
              </w:tc>
              <w:tc>
                <w:tcPr>
                  <w:tcW w:w="1044" w:type="dxa"/>
                  <w:tcBorders>
                    <w:top w:val="single" w:color="auto" w:sz="4" w:space="0"/>
                    <w:tl2br w:val="nil"/>
                    <w:tr2bl w:val="nil"/>
                  </w:tcBorders>
                  <w:shd w:val="clear" w:color="auto" w:fill="auto"/>
                  <w:vAlign w:val="center"/>
                </w:tcPr>
                <w:p w14:paraId="22064C4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18"/>
                      <w:szCs w:val="20"/>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0.0000</w:t>
                  </w:r>
                  <w:r>
                    <w:rPr>
                      <w:rFonts w:hint="eastAsia" w:ascii="Times New Roman" w:hAnsi="Times New Roman" w:eastAsia="宋体" w:cs="Times New Roman"/>
                      <w:i w:val="0"/>
                      <w:iCs w:val="0"/>
                      <w:color w:val="000000"/>
                      <w:kern w:val="0"/>
                      <w:sz w:val="18"/>
                      <w:szCs w:val="18"/>
                      <w:u w:val="none"/>
                      <w:lang w:val="en-US" w:eastAsia="zh-CN" w:bidi="ar"/>
                    </w:rPr>
                    <w:t>8</w:t>
                  </w:r>
                </w:p>
              </w:tc>
              <w:tc>
                <w:tcPr>
                  <w:tcW w:w="730" w:type="pct"/>
                  <w:vMerge w:val="continue"/>
                  <w:tcBorders>
                    <w:tl2br w:val="nil"/>
                    <w:tr2bl w:val="nil"/>
                  </w:tcBorders>
                  <w:shd w:val="clear" w:color="auto" w:fill="auto"/>
                  <w:vAlign w:val="center"/>
                </w:tcPr>
                <w:p w14:paraId="4D2DD1C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auto"/>
                      <w:sz w:val="20"/>
                      <w:szCs w:val="20"/>
                      <w:highlight w:val="none"/>
                      <w:lang w:val="en-US" w:eastAsia="zh-CN"/>
                    </w:rPr>
                  </w:pPr>
                </w:p>
              </w:tc>
              <w:tc>
                <w:tcPr>
                  <w:tcW w:w="551" w:type="pct"/>
                  <w:vMerge w:val="continue"/>
                  <w:tcBorders>
                    <w:tl2br w:val="nil"/>
                    <w:tr2bl w:val="nil"/>
                  </w:tcBorders>
                  <w:shd w:val="clear" w:color="auto" w:fill="auto"/>
                  <w:noWrap/>
                  <w:vAlign w:val="center"/>
                </w:tcPr>
                <w:p w14:paraId="4FD1E45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auto"/>
                      <w:sz w:val="20"/>
                      <w:szCs w:val="20"/>
                      <w:highlight w:val="none"/>
                      <w:lang w:val="en-US" w:eastAsia="zh-CN"/>
                    </w:rPr>
                  </w:pPr>
                </w:p>
              </w:tc>
            </w:tr>
          </w:tbl>
          <w:p w14:paraId="35398129">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161" w:beforeLines="50" w:beforeAutospacing="0" w:after="0" w:afterAutospacing="0" w:line="360" w:lineRule="auto"/>
              <w:ind w:left="0" w:right="0"/>
              <w:textAlignment w:val="auto"/>
              <w:rPr>
                <w:rFonts w:hint="default" w:ascii="Times New Roman" w:hAnsi="Times New Roman" w:eastAsia="宋体"/>
                <w:b/>
                <w:bCs/>
                <w:color w:val="auto"/>
                <w:sz w:val="24"/>
                <w:highlight w:val="none"/>
              </w:rPr>
            </w:pPr>
            <w:r>
              <w:rPr>
                <w:rFonts w:hint="eastAsia" w:ascii="Times New Roman" w:hAnsi="Times New Roman" w:eastAsia="宋体"/>
                <w:b/>
                <w:bCs/>
                <w:color w:val="auto"/>
                <w:sz w:val="24"/>
                <w:highlight w:val="none"/>
                <w:lang w:val="en-US" w:eastAsia="zh-CN"/>
              </w:rPr>
              <w:t>2、</w:t>
            </w:r>
            <w:r>
              <w:rPr>
                <w:rFonts w:hint="eastAsia" w:ascii="Times New Roman" w:hAnsi="Times New Roman" w:eastAsia="宋体"/>
                <w:b/>
                <w:bCs/>
                <w:color w:val="auto"/>
                <w:sz w:val="24"/>
                <w:highlight w:val="none"/>
              </w:rPr>
              <w:t>污染防治措施可行性分析</w:t>
            </w:r>
          </w:p>
          <w:p w14:paraId="5DC7DC22">
            <w:pPr>
              <w:pStyle w:val="1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Chars="200" w:right="0"/>
              <w:textAlignment w:val="auto"/>
              <w:rPr>
                <w:rFonts w:hint="eastAsia" w:ascii="Times New Roman" w:hAnsi="Times New Roman" w:eastAsia="宋体"/>
                <w:b/>
                <w:bCs/>
                <w:color w:val="auto"/>
                <w:sz w:val="24"/>
                <w:highlight w:val="none"/>
                <w:lang w:val="en-US" w:eastAsia="zh-CN"/>
              </w:rPr>
            </w:pPr>
            <w:r>
              <w:rPr>
                <w:rFonts w:hint="eastAsia" w:ascii="Times New Roman" w:hAnsi="Times New Roman" w:eastAsia="宋体"/>
                <w:b/>
                <w:bCs/>
                <w:color w:val="auto"/>
                <w:sz w:val="24"/>
                <w:highlight w:val="none"/>
                <w:lang w:val="en-US" w:eastAsia="zh-CN"/>
              </w:rPr>
              <w:t>（1）本项目废气收集、处理情况</w:t>
            </w:r>
          </w:p>
          <w:p w14:paraId="55A25AA6">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本项目废气收集处理走向图：</w:t>
            </w:r>
          </w:p>
          <w:p w14:paraId="01317794">
            <w:pPr>
              <w:keepNext w:val="0"/>
              <w:keepLines w:val="0"/>
              <w:pageBreakBefore w:val="0"/>
              <w:widowControl w:val="0"/>
              <w:numPr>
                <w:ilvl w:val="0"/>
                <w:numId w:val="0"/>
              </w:numPr>
              <w:suppressLineNumbers w:val="0"/>
              <w:kinsoku/>
              <w:wordWrap/>
              <w:overflowPunct/>
              <w:topLinePunct w:val="0"/>
              <w:autoSpaceDE w:val="0"/>
              <w:autoSpaceDN/>
              <w:bidi w:val="0"/>
              <w:spacing w:before="0" w:beforeAutospacing="0" w:after="0" w:afterAutospacing="0" w:line="360" w:lineRule="auto"/>
              <w:ind w:left="0" w:right="0" w:firstLine="420" w:firstLineChars="200"/>
              <w:jc w:val="center"/>
              <w:rPr>
                <w:rFonts w:hint="default" w:ascii="Times New Roman" w:hAnsi="Times New Roman" w:eastAsia="宋体"/>
                <w:color w:val="auto"/>
              </w:rPr>
            </w:pPr>
            <w:r>
              <w:rPr>
                <w:rFonts w:hint="default" w:ascii="Times New Roman" w:hAnsi="Times New Roman" w:eastAsia="宋体"/>
                <w:color w:val="auto"/>
              </w:rPr>
              <w:object>
                <v:shape id="_x0000_i1027" o:spt="75" type="#_x0000_t75" style="height:182.85pt;width:436.8pt;" o:ole="t" filled="f" o:preferrelative="t" stroked="f" coordsize="21600,21600">
                  <v:path/>
                  <v:fill on="f" focussize="0,0"/>
                  <v:stroke on="f"/>
                  <v:imagedata r:id="rId13" cropleft="418f" croptop="665f" cropright="32620f" cropbottom="55907f" o:title=""/>
                  <o:lock v:ext="edit" aspectratio="t"/>
                  <w10:wrap type="none"/>
                  <w10:anchorlock/>
                </v:shape>
                <o:OLEObject Type="Embed" ProgID="Visio.Drawing.11" ShapeID="_x0000_i1027" DrawAspect="Content" ObjectID="_1468075727" r:id="rId12">
                  <o:LockedField>false</o:LockedField>
                </o:OLEObject>
              </w:object>
            </w:r>
          </w:p>
          <w:p w14:paraId="1826C0EF">
            <w:pPr>
              <w:keepNext w:val="0"/>
              <w:keepLines w:val="0"/>
              <w:pageBreakBefore w:val="0"/>
              <w:widowControl w:val="0"/>
              <w:numPr>
                <w:ilvl w:val="0"/>
                <w:numId w:val="0"/>
              </w:numPr>
              <w:suppressLineNumbers w:val="0"/>
              <w:kinsoku/>
              <w:wordWrap/>
              <w:overflowPunct/>
              <w:topLinePunct w:val="0"/>
              <w:autoSpaceDE w:val="0"/>
              <w:autoSpaceDN/>
              <w:bidi w:val="0"/>
              <w:spacing w:before="0" w:beforeAutospacing="0" w:after="0" w:afterAutospacing="0" w:line="360" w:lineRule="auto"/>
              <w:ind w:left="0" w:right="0" w:firstLine="482" w:firstLineChars="200"/>
              <w:jc w:val="center"/>
              <w:rPr>
                <w:rFonts w:hint="eastAsia" w:ascii="Times New Roman" w:hAnsi="Times New Roman" w:eastAsia="宋体" w:cs="宋体"/>
                <w:b/>
                <w:bCs/>
                <w:color w:val="auto"/>
                <w:sz w:val="24"/>
                <w:szCs w:val="24"/>
                <w:highlight w:val="none"/>
                <w:lang w:val="en-US" w:eastAsia="zh-CN"/>
              </w:rPr>
            </w:pPr>
            <w:r>
              <w:rPr>
                <w:rFonts w:hint="eastAsia" w:ascii="Times New Roman" w:hAnsi="Times New Roman" w:eastAsia="宋体" w:cs="宋体"/>
                <w:b/>
                <w:bCs/>
                <w:color w:val="auto"/>
                <w:sz w:val="24"/>
                <w:szCs w:val="24"/>
                <w:highlight w:val="none"/>
                <w:lang w:val="en-US" w:eastAsia="zh-CN"/>
              </w:rPr>
              <w:t>图4-1  废气收集、处理工艺流程图</w:t>
            </w:r>
          </w:p>
          <w:p w14:paraId="19E9DC73">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kern w:val="0"/>
                <w:sz w:val="24"/>
                <w:szCs w:val="32"/>
                <w:highlight w:val="none"/>
              </w:rPr>
            </w:pPr>
            <w:r>
              <w:rPr>
                <w:rFonts w:hint="default" w:ascii="Times New Roman" w:hAnsi="Times New Roman" w:eastAsia="宋体" w:cs="Times New Roman"/>
                <w:b/>
                <w:bCs/>
                <w:color w:val="auto"/>
                <w:kern w:val="0"/>
                <w:sz w:val="24"/>
                <w:szCs w:val="32"/>
                <w:highlight w:val="none"/>
              </w:rPr>
              <w:t>（2）污染防治措施可行性分析</w:t>
            </w:r>
          </w:p>
          <w:p w14:paraId="43C63FF2">
            <w:pPr>
              <w:keepNext w:val="0"/>
              <w:keepLines w:val="0"/>
              <w:suppressLineNumbers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本项目废气污染防治措施及其可行性情况如下表：</w:t>
            </w:r>
          </w:p>
          <w:p w14:paraId="58B5EC4B">
            <w:pPr>
              <w:pStyle w:val="6"/>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eastAsia"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表4-</w:t>
            </w:r>
            <w:r>
              <w:rPr>
                <w:rFonts w:hint="eastAsia" w:ascii="Times New Roman" w:hAnsi="Times New Roman" w:eastAsia="宋体" w:cs="Times New Roman"/>
                <w:b/>
                <w:bCs/>
                <w:color w:val="auto"/>
                <w:kern w:val="2"/>
                <w:sz w:val="24"/>
                <w:szCs w:val="24"/>
                <w:highlight w:val="none"/>
                <w:lang w:val="en-US" w:eastAsia="zh-CN" w:bidi="ar-SA"/>
              </w:rPr>
              <w:t xml:space="preserve">6  </w:t>
            </w:r>
            <w:r>
              <w:rPr>
                <w:rFonts w:hint="eastAsia" w:ascii="Times New Roman" w:hAnsi="Times New Roman" w:eastAsia="宋体" w:cs="Times New Roman"/>
                <w:b/>
                <w:bCs/>
                <w:color w:val="auto"/>
                <w:sz w:val="24"/>
                <w:highlight w:val="none"/>
                <w:lang w:val="en-US" w:eastAsia="zh-CN"/>
              </w:rPr>
              <w:t>本项目废气种类及治理措施一览表</w:t>
            </w:r>
          </w:p>
          <w:tbl>
            <w:tblPr>
              <w:tblStyle w:val="25"/>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90"/>
              <w:gridCol w:w="506"/>
              <w:gridCol w:w="659"/>
              <w:gridCol w:w="2556"/>
              <w:gridCol w:w="1980"/>
              <w:gridCol w:w="2677"/>
            </w:tblGrid>
            <w:tr w14:paraId="28E5A6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9" w:hRule="atLeast"/>
                <w:jc w:val="center"/>
              </w:trPr>
              <w:tc>
                <w:tcPr>
                  <w:tcW w:w="430" w:type="pct"/>
                  <w:noWrap w:val="0"/>
                  <w:vAlign w:val="center"/>
                </w:tcPr>
                <w:p w14:paraId="44485841">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产生点</w:t>
                  </w:r>
                </w:p>
              </w:tc>
              <w:tc>
                <w:tcPr>
                  <w:tcW w:w="635" w:type="pct"/>
                  <w:gridSpan w:val="2"/>
                  <w:noWrap w:val="0"/>
                  <w:tcMar>
                    <w:left w:w="0" w:type="dxa"/>
                    <w:right w:w="0" w:type="dxa"/>
                  </w:tcMar>
                  <w:vAlign w:val="center"/>
                </w:tcPr>
                <w:p w14:paraId="59A1BDDF">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污染物</w:t>
                  </w:r>
                </w:p>
              </w:tc>
              <w:tc>
                <w:tcPr>
                  <w:tcW w:w="1393" w:type="pct"/>
                  <w:noWrap w:val="0"/>
                  <w:tcMar>
                    <w:left w:w="0" w:type="dxa"/>
                    <w:right w:w="0" w:type="dxa"/>
                  </w:tcMar>
                  <w:vAlign w:val="center"/>
                </w:tcPr>
                <w:p w14:paraId="18C845E5">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治理措施</w:t>
                  </w:r>
                </w:p>
              </w:tc>
              <w:tc>
                <w:tcPr>
                  <w:tcW w:w="1079" w:type="pct"/>
                  <w:noWrap w:val="0"/>
                  <w:tcMar>
                    <w:left w:w="0" w:type="dxa"/>
                    <w:right w:w="0" w:type="dxa"/>
                  </w:tcMar>
                  <w:vAlign w:val="center"/>
                </w:tcPr>
                <w:p w14:paraId="6D50EAD4">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rPr>
                    <w:t>是否为可行性技术</w:t>
                  </w:r>
                </w:p>
              </w:tc>
              <w:tc>
                <w:tcPr>
                  <w:tcW w:w="1459" w:type="pct"/>
                  <w:noWrap w:val="0"/>
                  <w:tcMar>
                    <w:left w:w="0" w:type="dxa"/>
                    <w:right w:w="0" w:type="dxa"/>
                  </w:tcMar>
                  <w:vAlign w:val="center"/>
                </w:tcPr>
                <w:p w14:paraId="25B73FBD">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rPr>
                    <w:t>判定依据</w:t>
                  </w:r>
                </w:p>
              </w:tc>
            </w:tr>
            <w:tr w14:paraId="38464E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81" w:hRule="atLeast"/>
                <w:jc w:val="center"/>
              </w:trPr>
              <w:tc>
                <w:tcPr>
                  <w:tcW w:w="430" w:type="pct"/>
                  <w:vMerge w:val="restart"/>
                  <w:noWrap w:val="0"/>
                  <w:tcMar>
                    <w:left w:w="0" w:type="dxa"/>
                    <w:right w:w="0" w:type="dxa"/>
                  </w:tcMar>
                  <w:vAlign w:val="center"/>
                </w:tcPr>
                <w:p w14:paraId="670EDA2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原料挥发</w:t>
                  </w:r>
                </w:p>
              </w:tc>
              <w:tc>
                <w:tcPr>
                  <w:tcW w:w="635" w:type="pct"/>
                  <w:gridSpan w:val="2"/>
                  <w:tcBorders>
                    <w:top w:val="single" w:color="000000" w:sz="6" w:space="0"/>
                    <w:bottom w:val="single" w:color="000000" w:sz="6" w:space="0"/>
                  </w:tcBorders>
                  <w:noWrap w:val="0"/>
                  <w:tcMar>
                    <w:left w:w="0" w:type="dxa"/>
                    <w:right w:w="0" w:type="dxa"/>
                  </w:tcMar>
                  <w:vAlign w:val="center"/>
                </w:tcPr>
                <w:p w14:paraId="700298E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非甲烷总烃</w:t>
                  </w:r>
                </w:p>
              </w:tc>
              <w:tc>
                <w:tcPr>
                  <w:tcW w:w="1393" w:type="pct"/>
                  <w:vMerge w:val="restart"/>
                  <w:noWrap w:val="0"/>
                  <w:tcMar>
                    <w:left w:w="0" w:type="dxa"/>
                    <w:right w:w="0" w:type="dxa"/>
                  </w:tcMar>
                  <w:vAlign w:val="center"/>
                </w:tcPr>
                <w:p w14:paraId="7C92463D">
                  <w:pPr>
                    <w:keepNext w:val="0"/>
                    <w:keepLines w:val="0"/>
                    <w:suppressLineNumbers w:val="0"/>
                    <w:spacing w:before="0" w:beforeAutospacing="0" w:after="0" w:afterAutospacing="0" w:line="280" w:lineRule="exact"/>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通风橱收集</w:t>
                  </w:r>
                  <w:r>
                    <w:rPr>
                      <w:rFonts w:hint="default" w:ascii="Times New Roman" w:hAnsi="Times New Roman" w:eastAsia="宋体" w:cs="Times New Roman"/>
                      <w:color w:val="auto"/>
                      <w:szCs w:val="21"/>
                      <w:highlight w:val="none"/>
                    </w:rPr>
                    <w:t>（收集率9</w:t>
                  </w:r>
                  <w:r>
                    <w:rPr>
                      <w:rFonts w:hint="eastAsia" w:ascii="Times New Roman" w:hAnsi="Times New Roman" w:eastAsia="宋体" w:cs="Times New Roman"/>
                      <w:color w:val="auto"/>
                      <w:szCs w:val="21"/>
                      <w:highlight w:val="none"/>
                    </w:rPr>
                    <w:t>5</w:t>
                  </w:r>
                  <w:r>
                    <w:rPr>
                      <w:rFonts w:hint="default" w:ascii="Times New Roman" w:hAnsi="Times New Roman" w:eastAsia="宋体" w:cs="Times New Roman"/>
                      <w:color w:val="auto"/>
                      <w:szCs w:val="21"/>
                      <w:highlight w:val="none"/>
                    </w:rPr>
                    <w:t>%）后</w:t>
                  </w:r>
                  <w:r>
                    <w:rPr>
                      <w:rFonts w:hint="eastAsia" w:cs="Times New Roman"/>
                      <w:color w:val="auto"/>
                      <w:szCs w:val="21"/>
                      <w:highlight w:val="none"/>
                      <w:lang w:val="en-US" w:eastAsia="zh-CN"/>
                    </w:rPr>
                    <w:t>二级活性炭吸附装置进行处理</w:t>
                  </w:r>
                  <w:r>
                    <w:rPr>
                      <w:rFonts w:hint="default" w:ascii="Times New Roman" w:hAnsi="Times New Roman" w:eastAsia="宋体" w:cs="Times New Roman"/>
                      <w:color w:val="auto"/>
                      <w:szCs w:val="21"/>
                      <w:highlight w:val="none"/>
                    </w:rPr>
                    <w:t>（处理效率</w:t>
                  </w:r>
                  <w:r>
                    <w:rPr>
                      <w:rFonts w:hint="eastAsia" w:ascii="Times New Roman" w:hAnsi="Times New Roman" w:eastAsia="宋体" w:cs="Times New Roman"/>
                      <w:color w:val="auto"/>
                      <w:szCs w:val="21"/>
                      <w:highlight w:val="none"/>
                      <w:lang w:val="en-US" w:eastAsia="zh-CN"/>
                    </w:rPr>
                    <w:t>90</w:t>
                  </w:r>
                  <w:r>
                    <w:rPr>
                      <w:rFonts w:hint="default" w:ascii="Times New Roman" w:hAnsi="Times New Roman" w:eastAsia="宋体" w:cs="Times New Roman"/>
                      <w:color w:val="auto"/>
                      <w:szCs w:val="21"/>
                      <w:highlight w:val="none"/>
                    </w:rPr>
                    <w:t>%）</w:t>
                  </w:r>
                </w:p>
              </w:tc>
              <w:tc>
                <w:tcPr>
                  <w:tcW w:w="1079" w:type="pct"/>
                  <w:vMerge w:val="restart"/>
                  <w:noWrap w:val="0"/>
                  <w:tcMar>
                    <w:left w:w="0" w:type="dxa"/>
                    <w:right w:w="0" w:type="dxa"/>
                  </w:tcMar>
                  <w:vAlign w:val="center"/>
                </w:tcPr>
                <w:p w14:paraId="6B7E705F">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是</w:t>
                  </w: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 xml:space="preserve">  否</w:t>
                  </w:r>
                  <w:r>
                    <w:rPr>
                      <w:rFonts w:hint="eastAsia" w:ascii="Times New Roman" w:hAnsi="Times New Roman" w:eastAsia="宋体" w:cs="Times New Roman"/>
                      <w:color w:val="auto"/>
                      <w:szCs w:val="21"/>
                      <w:highlight w:val="none"/>
                    </w:rPr>
                    <w:t>□</w:t>
                  </w:r>
                </w:p>
              </w:tc>
              <w:tc>
                <w:tcPr>
                  <w:tcW w:w="1459" w:type="pct"/>
                  <w:vMerge w:val="restart"/>
                  <w:noWrap w:val="0"/>
                  <w:tcMar>
                    <w:left w:w="0" w:type="dxa"/>
                    <w:right w:w="0" w:type="dxa"/>
                  </w:tcMar>
                  <w:vAlign w:val="center"/>
                </w:tcPr>
                <w:p w14:paraId="730B575F">
                  <w:pPr>
                    <w:keepNext w:val="0"/>
                    <w:keepLines w:val="0"/>
                    <w:suppressLineNumbers w:val="0"/>
                    <w:spacing w:before="0" w:beforeAutospacing="0" w:after="0" w:afterAutospacing="0" w:line="280" w:lineRule="exact"/>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参照</w:t>
                  </w:r>
                  <w:r>
                    <w:rPr>
                      <w:rFonts w:hint="eastAsia" w:ascii="Times New Roman" w:hAnsi="Times New Roman" w:eastAsia="宋体" w:cs="Times New Roman"/>
                      <w:color w:val="auto"/>
                      <w:kern w:val="2"/>
                      <w:sz w:val="21"/>
                      <w:szCs w:val="21"/>
                      <w:highlight w:val="none"/>
                      <w:lang w:val="en-US" w:eastAsia="zh-CN" w:bidi="ar-SA"/>
                    </w:rPr>
                    <w:t>《吸附法工业废气治理工程技术规范》（HJ2026-2013）、《实验室废气污染控制技术规范》（DB32/T4455-2023）的要求</w:t>
                  </w:r>
                </w:p>
              </w:tc>
            </w:tr>
            <w:tr w14:paraId="2E7192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40" w:hRule="atLeast"/>
                <w:jc w:val="center"/>
              </w:trPr>
              <w:tc>
                <w:tcPr>
                  <w:tcW w:w="430" w:type="pct"/>
                  <w:vMerge w:val="continue"/>
                  <w:noWrap w:val="0"/>
                  <w:tcMar>
                    <w:left w:w="0" w:type="dxa"/>
                    <w:right w:w="0" w:type="dxa"/>
                  </w:tcMar>
                  <w:vAlign w:val="center"/>
                </w:tcPr>
                <w:p w14:paraId="10E7C7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275" w:type="pct"/>
                  <w:tcBorders>
                    <w:top w:val="single" w:color="000000" w:sz="6" w:space="0"/>
                    <w:bottom w:val="single" w:color="000000" w:sz="6" w:space="0"/>
                    <w:right w:val="single" w:color="000000" w:sz="2" w:space="0"/>
                  </w:tcBorders>
                  <w:noWrap w:val="0"/>
                  <w:tcMar>
                    <w:left w:w="0" w:type="dxa"/>
                    <w:right w:w="0" w:type="dxa"/>
                  </w:tcMar>
                  <w:vAlign w:val="center"/>
                </w:tcPr>
                <w:p w14:paraId="5AACAA9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包括</w:t>
                  </w:r>
                </w:p>
              </w:tc>
              <w:tc>
                <w:tcPr>
                  <w:tcW w:w="359" w:type="pct"/>
                  <w:tcBorders>
                    <w:top w:val="single" w:color="000000" w:sz="6" w:space="0"/>
                    <w:left w:val="single" w:color="000000" w:sz="2" w:space="0"/>
                    <w:bottom w:val="single" w:color="000000" w:sz="6" w:space="0"/>
                  </w:tcBorders>
                  <w:noWrap w:val="0"/>
                  <w:tcMar>
                    <w:left w:w="0" w:type="dxa"/>
                    <w:right w:w="0" w:type="dxa"/>
                  </w:tcMar>
                  <w:vAlign w:val="center"/>
                </w:tcPr>
                <w:p w14:paraId="44FD877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甲醇</w:t>
                  </w:r>
                </w:p>
              </w:tc>
              <w:tc>
                <w:tcPr>
                  <w:tcW w:w="1393" w:type="pct"/>
                  <w:vMerge w:val="continue"/>
                  <w:noWrap w:val="0"/>
                  <w:tcMar>
                    <w:left w:w="0" w:type="dxa"/>
                    <w:right w:w="0" w:type="dxa"/>
                  </w:tcMar>
                  <w:vAlign w:val="center"/>
                </w:tcPr>
                <w:p w14:paraId="46245784">
                  <w:pPr>
                    <w:keepNext w:val="0"/>
                    <w:keepLines w:val="0"/>
                    <w:suppressLineNumbers w:val="0"/>
                    <w:spacing w:before="0" w:beforeAutospacing="0" w:after="0" w:afterAutospacing="0" w:line="280" w:lineRule="exact"/>
                    <w:ind w:left="0" w:right="0"/>
                    <w:jc w:val="center"/>
                    <w:rPr>
                      <w:rFonts w:hint="eastAsia" w:ascii="Times New Roman" w:hAnsi="Times New Roman" w:eastAsia="宋体" w:cs="Times New Roman"/>
                      <w:color w:val="auto"/>
                      <w:szCs w:val="21"/>
                      <w:highlight w:val="none"/>
                      <w:lang w:val="en-US" w:eastAsia="zh-CN"/>
                    </w:rPr>
                  </w:pPr>
                </w:p>
              </w:tc>
              <w:tc>
                <w:tcPr>
                  <w:tcW w:w="1079" w:type="pct"/>
                  <w:vMerge w:val="continue"/>
                  <w:noWrap w:val="0"/>
                  <w:tcMar>
                    <w:left w:w="0" w:type="dxa"/>
                    <w:right w:w="0" w:type="dxa"/>
                  </w:tcMar>
                  <w:vAlign w:val="center"/>
                </w:tcPr>
                <w:p w14:paraId="78043854">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Cs w:val="21"/>
                      <w:highlight w:val="none"/>
                    </w:rPr>
                  </w:pPr>
                </w:p>
              </w:tc>
              <w:tc>
                <w:tcPr>
                  <w:tcW w:w="1459" w:type="pct"/>
                  <w:vMerge w:val="continue"/>
                  <w:noWrap w:val="0"/>
                  <w:tcMar>
                    <w:left w:w="0" w:type="dxa"/>
                    <w:right w:w="0" w:type="dxa"/>
                  </w:tcMar>
                  <w:vAlign w:val="center"/>
                </w:tcPr>
                <w:p w14:paraId="65C5DF0C">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kern w:val="2"/>
                      <w:sz w:val="21"/>
                      <w:szCs w:val="21"/>
                      <w:highlight w:val="none"/>
                      <w:lang w:val="en-US" w:eastAsia="zh-CN" w:bidi="ar-SA"/>
                    </w:rPr>
                  </w:pPr>
                </w:p>
              </w:tc>
            </w:tr>
            <w:tr w14:paraId="60AED1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40" w:hRule="atLeast"/>
                <w:jc w:val="center"/>
              </w:trPr>
              <w:tc>
                <w:tcPr>
                  <w:tcW w:w="430" w:type="pct"/>
                  <w:vMerge w:val="restart"/>
                  <w:noWrap w:val="0"/>
                  <w:tcMar>
                    <w:left w:w="0" w:type="dxa"/>
                    <w:right w:w="0" w:type="dxa"/>
                  </w:tcMar>
                  <w:vAlign w:val="center"/>
                </w:tcPr>
                <w:p w14:paraId="4A0AB2C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危废间</w:t>
                  </w:r>
                </w:p>
              </w:tc>
              <w:tc>
                <w:tcPr>
                  <w:tcW w:w="635" w:type="pct"/>
                  <w:gridSpan w:val="2"/>
                  <w:tcBorders>
                    <w:top w:val="single" w:color="000000" w:sz="6" w:space="0"/>
                    <w:bottom w:val="single" w:color="000000" w:sz="6" w:space="0"/>
                  </w:tcBorders>
                  <w:noWrap w:val="0"/>
                  <w:tcMar>
                    <w:left w:w="0" w:type="dxa"/>
                    <w:right w:w="0" w:type="dxa"/>
                  </w:tcMar>
                  <w:vAlign w:val="center"/>
                </w:tcPr>
                <w:p w14:paraId="4D54A258">
                  <w:pPr>
                    <w:keepNext w:val="0"/>
                    <w:keepLines w:val="0"/>
                    <w:suppressLineNumbers w:val="0"/>
                    <w:snapToGrid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非甲烷总烃</w:t>
                  </w:r>
                </w:p>
              </w:tc>
              <w:tc>
                <w:tcPr>
                  <w:tcW w:w="1393" w:type="pct"/>
                  <w:vMerge w:val="restart"/>
                  <w:noWrap w:val="0"/>
                  <w:tcMar>
                    <w:left w:w="0" w:type="dxa"/>
                    <w:right w:w="0" w:type="dxa"/>
                  </w:tcMar>
                  <w:vAlign w:val="center"/>
                </w:tcPr>
                <w:p w14:paraId="7FD31113">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负压排风系统收集（收集效率95%）后二级活性炭吸附装置进行处理（处理效率90%）</w:t>
                  </w:r>
                </w:p>
              </w:tc>
              <w:tc>
                <w:tcPr>
                  <w:tcW w:w="1079" w:type="pct"/>
                  <w:vMerge w:val="continue"/>
                  <w:noWrap w:val="0"/>
                  <w:tcMar>
                    <w:left w:w="0" w:type="dxa"/>
                    <w:right w:w="0" w:type="dxa"/>
                  </w:tcMar>
                  <w:vAlign w:val="center"/>
                </w:tcPr>
                <w:p w14:paraId="1BAB633F">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Cs w:val="21"/>
                      <w:highlight w:val="none"/>
                    </w:rPr>
                  </w:pPr>
                </w:p>
              </w:tc>
              <w:tc>
                <w:tcPr>
                  <w:tcW w:w="1459" w:type="pct"/>
                  <w:vMerge w:val="continue"/>
                  <w:noWrap w:val="0"/>
                  <w:tcMar>
                    <w:left w:w="0" w:type="dxa"/>
                    <w:right w:w="0" w:type="dxa"/>
                  </w:tcMar>
                  <w:vAlign w:val="center"/>
                </w:tcPr>
                <w:p w14:paraId="3FBAE52C">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kern w:val="2"/>
                      <w:sz w:val="21"/>
                      <w:szCs w:val="21"/>
                      <w:highlight w:val="none"/>
                      <w:lang w:val="en-US" w:eastAsia="zh-CN" w:bidi="ar-SA"/>
                    </w:rPr>
                  </w:pPr>
                </w:p>
              </w:tc>
            </w:tr>
            <w:tr w14:paraId="617E72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40" w:hRule="atLeast"/>
                <w:jc w:val="center"/>
              </w:trPr>
              <w:tc>
                <w:tcPr>
                  <w:tcW w:w="430" w:type="pct"/>
                  <w:vMerge w:val="continue"/>
                  <w:noWrap w:val="0"/>
                  <w:tcMar>
                    <w:left w:w="0" w:type="dxa"/>
                    <w:right w:w="0" w:type="dxa"/>
                  </w:tcMar>
                  <w:vAlign w:val="center"/>
                </w:tcPr>
                <w:p w14:paraId="5609DA99">
                  <w:pPr>
                    <w:keepNext w:val="0"/>
                    <w:keepLines w:val="0"/>
                    <w:suppressLineNumbers w:val="0"/>
                    <w:spacing w:before="0" w:beforeAutospacing="0" w:after="0" w:afterAutospacing="0"/>
                    <w:ind w:left="0" w:right="0"/>
                    <w:jc w:val="center"/>
                    <w:rPr>
                      <w:rFonts w:hint="eastAsia" w:cs="Times New Roman"/>
                      <w:color w:val="auto"/>
                      <w:szCs w:val="21"/>
                      <w:highlight w:val="none"/>
                      <w:lang w:val="en-US" w:eastAsia="zh-CN"/>
                    </w:rPr>
                  </w:pPr>
                </w:p>
              </w:tc>
              <w:tc>
                <w:tcPr>
                  <w:tcW w:w="275" w:type="pct"/>
                  <w:tcBorders>
                    <w:top w:val="single" w:color="000000" w:sz="6" w:space="0"/>
                    <w:right w:val="single" w:color="000000" w:sz="2" w:space="0"/>
                  </w:tcBorders>
                  <w:noWrap w:val="0"/>
                  <w:tcMar>
                    <w:left w:w="0" w:type="dxa"/>
                    <w:right w:w="0" w:type="dxa"/>
                  </w:tcMar>
                  <w:vAlign w:val="center"/>
                </w:tcPr>
                <w:p w14:paraId="5B2AF084">
                  <w:pPr>
                    <w:keepNext w:val="0"/>
                    <w:keepLines w:val="0"/>
                    <w:suppressLineNumbers w:val="0"/>
                    <w:snapToGrid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包括</w:t>
                  </w:r>
                </w:p>
              </w:tc>
              <w:tc>
                <w:tcPr>
                  <w:tcW w:w="359" w:type="pct"/>
                  <w:tcBorders>
                    <w:top w:val="single" w:color="000000" w:sz="6" w:space="0"/>
                    <w:left w:val="single" w:color="000000" w:sz="2" w:space="0"/>
                  </w:tcBorders>
                  <w:noWrap w:val="0"/>
                  <w:tcMar>
                    <w:left w:w="0" w:type="dxa"/>
                    <w:right w:w="0" w:type="dxa"/>
                  </w:tcMar>
                  <w:vAlign w:val="center"/>
                </w:tcPr>
                <w:p w14:paraId="127C95CA">
                  <w:pPr>
                    <w:keepNext w:val="0"/>
                    <w:keepLines w:val="0"/>
                    <w:suppressLineNumbers w:val="0"/>
                    <w:snapToGrid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甲醇</w:t>
                  </w:r>
                </w:p>
              </w:tc>
              <w:tc>
                <w:tcPr>
                  <w:tcW w:w="1393" w:type="pct"/>
                  <w:vMerge w:val="continue"/>
                  <w:noWrap w:val="0"/>
                  <w:tcMar>
                    <w:left w:w="0" w:type="dxa"/>
                    <w:right w:w="0" w:type="dxa"/>
                  </w:tcMar>
                  <w:vAlign w:val="center"/>
                </w:tcPr>
                <w:p w14:paraId="75FBA1F3">
                  <w:pPr>
                    <w:keepNext w:val="0"/>
                    <w:keepLines w:val="0"/>
                    <w:suppressLineNumbers w:val="0"/>
                    <w:spacing w:before="0" w:beforeAutospacing="0" w:after="0" w:afterAutospacing="0" w:line="280" w:lineRule="exact"/>
                    <w:ind w:left="0" w:right="0"/>
                    <w:jc w:val="center"/>
                    <w:rPr>
                      <w:rFonts w:hint="eastAsia" w:ascii="Times New Roman" w:hAnsi="Times New Roman" w:eastAsia="宋体" w:cs="Times New Roman"/>
                      <w:color w:val="auto"/>
                      <w:szCs w:val="21"/>
                      <w:highlight w:val="none"/>
                      <w:lang w:val="en-US" w:eastAsia="zh-CN"/>
                    </w:rPr>
                  </w:pPr>
                </w:p>
              </w:tc>
              <w:tc>
                <w:tcPr>
                  <w:tcW w:w="1079" w:type="pct"/>
                  <w:vMerge w:val="continue"/>
                  <w:noWrap w:val="0"/>
                  <w:tcMar>
                    <w:left w:w="0" w:type="dxa"/>
                    <w:right w:w="0" w:type="dxa"/>
                  </w:tcMar>
                  <w:vAlign w:val="center"/>
                </w:tcPr>
                <w:p w14:paraId="38430F05">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Cs w:val="21"/>
                      <w:highlight w:val="none"/>
                    </w:rPr>
                  </w:pPr>
                </w:p>
              </w:tc>
              <w:tc>
                <w:tcPr>
                  <w:tcW w:w="1459" w:type="pct"/>
                  <w:vMerge w:val="continue"/>
                  <w:tcBorders>
                    <w:bottom w:val="single" w:color="auto" w:sz="12" w:space="0"/>
                  </w:tcBorders>
                  <w:noWrap w:val="0"/>
                  <w:tcMar>
                    <w:left w:w="0" w:type="dxa"/>
                    <w:right w:w="0" w:type="dxa"/>
                  </w:tcMar>
                  <w:vAlign w:val="center"/>
                </w:tcPr>
                <w:p w14:paraId="7ADA077C">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kern w:val="2"/>
                      <w:sz w:val="21"/>
                      <w:szCs w:val="21"/>
                      <w:highlight w:val="none"/>
                      <w:lang w:val="en-US" w:eastAsia="zh-CN" w:bidi="ar-SA"/>
                    </w:rPr>
                  </w:pPr>
                </w:p>
              </w:tc>
            </w:tr>
          </w:tbl>
          <w:p w14:paraId="5DA7B9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由上表可见，</w:t>
            </w:r>
            <w:r>
              <w:rPr>
                <w:rFonts w:hint="default" w:ascii="Times New Roman" w:hAnsi="Times New Roman" w:eastAsia="宋体" w:cs="Times New Roman"/>
                <w:color w:val="auto"/>
                <w:sz w:val="24"/>
                <w:highlight w:val="none"/>
              </w:rPr>
              <w:t>本项目</w:t>
            </w:r>
            <w:r>
              <w:rPr>
                <w:rFonts w:hint="eastAsia" w:cs="Times New Roman"/>
                <w:color w:val="auto"/>
                <w:sz w:val="24"/>
                <w:highlight w:val="none"/>
                <w:lang w:val="en-US" w:eastAsia="zh-CN"/>
              </w:rPr>
              <w:t>针对实验过程中原料挥发产生的非甲烷总烃（包括甲醇）</w:t>
            </w:r>
            <w:r>
              <w:rPr>
                <w:rFonts w:hint="eastAsia" w:ascii="Times New Roman" w:hAnsi="Times New Roman" w:eastAsia="宋体" w:cs="Times New Roman"/>
                <w:color w:val="auto"/>
                <w:sz w:val="24"/>
                <w:highlight w:val="none"/>
                <w:lang w:val="en-US" w:eastAsia="zh-CN"/>
              </w:rPr>
              <w:t>采取的治理措施均为可行技术，本报告进行简要分析</w:t>
            </w:r>
            <w:r>
              <w:rPr>
                <w:rFonts w:hint="default" w:ascii="Times New Roman" w:hAnsi="Times New Roman" w:eastAsia="宋体" w:cs="Times New Roman"/>
                <w:color w:val="auto"/>
                <w:sz w:val="24"/>
                <w:highlight w:val="none"/>
              </w:rPr>
              <w:t>。</w:t>
            </w:r>
          </w:p>
          <w:p w14:paraId="16060A65">
            <w:pPr>
              <w:pStyle w:val="1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200" w:right="0"/>
              <w:textAlignment w:val="auto"/>
              <w:rPr>
                <w:rFonts w:hint="eastAsia" w:ascii="Times New Roman" w:hAnsi="Times New Roman" w:eastAsia="宋体"/>
                <w:b/>
                <w:bCs/>
                <w:color w:val="auto"/>
                <w:sz w:val="24"/>
                <w:highlight w:val="none"/>
                <w:lang w:eastAsia="zh-CN"/>
              </w:rPr>
            </w:pPr>
            <w:r>
              <w:rPr>
                <w:rFonts w:hint="eastAsia" w:ascii="Times New Roman" w:hAnsi="Times New Roman" w:eastAsia="宋体"/>
                <w:b/>
                <w:bCs/>
                <w:color w:val="auto"/>
                <w:sz w:val="24"/>
                <w:highlight w:val="none"/>
                <w:lang w:val="en-US" w:eastAsia="zh-CN"/>
              </w:rPr>
              <w:t>（3）</w:t>
            </w:r>
            <w:r>
              <w:rPr>
                <w:rFonts w:hint="eastAsia" w:ascii="Times New Roman" w:hAnsi="Times New Roman" w:eastAsia="宋体"/>
                <w:b/>
                <w:bCs/>
                <w:color w:val="auto"/>
                <w:sz w:val="24"/>
                <w:highlight w:val="none"/>
                <w:lang w:eastAsia="zh-CN"/>
              </w:rPr>
              <w:t>风机风量可行性分析</w:t>
            </w:r>
          </w:p>
          <w:p w14:paraId="125FA7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b/>
                <w:bCs/>
                <w:color w:val="auto"/>
                <w:sz w:val="24"/>
                <w:lang w:val="en-US" w:eastAsia="zh-CN"/>
              </w:rPr>
            </w:pPr>
            <w:r>
              <w:rPr>
                <w:rFonts w:hint="eastAsia" w:ascii="Times New Roman" w:hAnsi="Times New Roman" w:eastAsia="宋体"/>
                <w:b/>
                <w:bCs/>
                <w:color w:val="auto"/>
                <w:sz w:val="24"/>
                <w:lang w:val="en-US" w:eastAsia="zh-CN"/>
              </w:rPr>
              <w:t>A.通风橱的风量</w:t>
            </w:r>
          </w:p>
          <w:p w14:paraId="606593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b w:val="0"/>
                <w:bCs w:val="0"/>
                <w:color w:val="auto"/>
                <w:sz w:val="24"/>
                <w:lang w:val="en-US" w:eastAsia="zh-CN"/>
              </w:rPr>
            </w:pPr>
            <w:r>
              <w:rPr>
                <w:rFonts w:hint="eastAsia" w:ascii="Times New Roman" w:hAnsi="Times New Roman" w:eastAsia="宋体"/>
                <w:b w:val="0"/>
                <w:bCs w:val="0"/>
                <w:color w:val="auto"/>
                <w:sz w:val="24"/>
                <w:lang w:val="en-US" w:eastAsia="zh-CN"/>
              </w:rPr>
              <w:t>参考</w:t>
            </w:r>
            <w:r>
              <w:rPr>
                <w:rFonts w:hint="default" w:ascii="Times New Roman" w:hAnsi="Times New Roman" w:eastAsia="宋体" w:cs="Segoe UI"/>
                <w:i w:val="0"/>
                <w:iCs w:val="0"/>
                <w:caps w:val="0"/>
                <w:color w:val="auto"/>
                <w:spacing w:val="0"/>
                <w:sz w:val="24"/>
                <w:szCs w:val="24"/>
                <w:shd w:val="clear" w:fill="FFFFFF"/>
              </w:rPr>
              <w:t>《环境工程设计手册》</w:t>
            </w:r>
            <w:r>
              <w:rPr>
                <w:rFonts w:hint="eastAsia" w:ascii="Times New Roman" w:hAnsi="Times New Roman" w:eastAsia="宋体"/>
                <w:b w:val="0"/>
                <w:bCs w:val="0"/>
                <w:color w:val="auto"/>
                <w:sz w:val="24"/>
                <w:lang w:val="en-US" w:eastAsia="zh-CN"/>
              </w:rPr>
              <w:t>中通风橱的风量计算公式，具体如下：</w:t>
            </w:r>
          </w:p>
          <w:p w14:paraId="45713B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center"/>
              <w:textAlignment w:val="auto"/>
              <w:rPr>
                <w:rFonts w:hint="eastAsia" w:ascii="Times New Roman" w:hAnsi="Times New Roman" w:eastAsia="宋体"/>
                <w:b w:val="0"/>
                <w:bCs w:val="0"/>
                <w:color w:val="auto"/>
                <w:sz w:val="24"/>
                <w:lang w:val="en-US" w:eastAsia="zh-CN"/>
              </w:rPr>
            </w:pPr>
            <w:r>
              <w:rPr>
                <w:rFonts w:hint="eastAsia" w:ascii="Times New Roman" w:hAnsi="Times New Roman" w:eastAsia="宋体"/>
                <w:b w:val="0"/>
                <w:bCs w:val="0"/>
                <w:color w:val="auto"/>
                <w:sz w:val="24"/>
                <w:lang w:val="en-US" w:eastAsia="zh-CN"/>
              </w:rPr>
              <w:t>Q=V×A×3600×K（m</w:t>
            </w:r>
            <w:r>
              <w:rPr>
                <w:rFonts w:hint="eastAsia" w:ascii="Times New Roman" w:hAnsi="Times New Roman" w:eastAsia="宋体"/>
                <w:b w:val="0"/>
                <w:bCs w:val="0"/>
                <w:color w:val="auto"/>
                <w:sz w:val="24"/>
                <w:vertAlign w:val="superscript"/>
                <w:lang w:val="en-US" w:eastAsia="zh-CN"/>
              </w:rPr>
              <w:t>3</w:t>
            </w:r>
            <w:r>
              <w:rPr>
                <w:rFonts w:hint="eastAsia" w:ascii="Times New Roman" w:hAnsi="Times New Roman" w:eastAsia="宋体"/>
                <w:b w:val="0"/>
                <w:bCs w:val="0"/>
                <w:color w:val="auto"/>
                <w:sz w:val="24"/>
                <w:lang w:val="en-US" w:eastAsia="zh-CN"/>
              </w:rPr>
              <w:t>/s）</w:t>
            </w:r>
          </w:p>
          <w:p w14:paraId="31F4CA48">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olor w:val="auto"/>
              </w:rPr>
            </w:pPr>
            <w:r>
              <w:rPr>
                <w:rFonts w:hint="eastAsia" w:ascii="Times New Roman" w:hAnsi="Times New Roman" w:eastAsia="宋体"/>
                <w:b w:val="0"/>
                <w:bCs w:val="0"/>
                <w:color w:val="auto"/>
                <w:sz w:val="24"/>
                <w:lang w:val="en-US" w:eastAsia="zh-CN"/>
              </w:rPr>
              <w:t>式中：</w:t>
            </w:r>
            <w:r>
              <w:rPr>
                <w:rFonts w:hint="default" w:ascii="Times New Roman" w:hAnsi="Times New Roman" w:eastAsia="宋体" w:cs="Segoe UI"/>
                <w:i w:val="0"/>
                <w:iCs w:val="0"/>
                <w:caps w:val="0"/>
                <w:color w:val="auto"/>
                <w:spacing w:val="0"/>
                <w:sz w:val="24"/>
                <w:szCs w:val="24"/>
                <w:shd w:val="clear" w:fill="FFFFFF"/>
              </w:rPr>
              <w:t>Q为风机风量，单位是</w:t>
            </w:r>
            <w:r>
              <w:rPr>
                <w:rFonts w:hint="eastAsia" w:ascii="Times New Roman" w:hAnsi="Times New Roman" w:eastAsia="宋体"/>
                <w:color w:val="auto"/>
                <w:sz w:val="24"/>
                <w:szCs w:val="24"/>
                <w:highlight w:val="none"/>
                <w:lang w:eastAsia="zh-CN"/>
              </w:rPr>
              <w:t>m³</w:t>
            </w:r>
            <w:r>
              <w:rPr>
                <w:rFonts w:hint="default" w:ascii="Times New Roman" w:hAnsi="Times New Roman" w:eastAsia="宋体"/>
                <w:color w:val="auto"/>
                <w:sz w:val="24"/>
                <w:szCs w:val="24"/>
                <w:highlight w:val="none"/>
              </w:rPr>
              <w:t>/h</w:t>
            </w:r>
            <w:r>
              <w:rPr>
                <w:rFonts w:hint="default" w:ascii="Times New Roman" w:hAnsi="Times New Roman" w:eastAsia="宋体" w:cs="Segoe UI"/>
                <w:i w:val="0"/>
                <w:iCs w:val="0"/>
                <w:caps w:val="0"/>
                <w:color w:val="auto"/>
                <w:spacing w:val="0"/>
                <w:sz w:val="24"/>
                <w:szCs w:val="24"/>
                <w:shd w:val="clear" w:fill="FFFFFF"/>
              </w:rPr>
              <w:t>。</w:t>
            </w:r>
          </w:p>
          <w:p w14:paraId="6C2215CB">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olor w:val="auto"/>
                <w:sz w:val="24"/>
                <w:lang w:val="en-US" w:eastAsia="zh-CN"/>
              </w:rPr>
            </w:pPr>
            <w:r>
              <w:rPr>
                <w:rFonts w:hint="default" w:ascii="Times New Roman" w:hAnsi="Times New Roman" w:eastAsia="宋体" w:cs="Segoe UI"/>
                <w:i w:val="0"/>
                <w:iCs w:val="0"/>
                <w:caps w:val="0"/>
                <w:color w:val="auto"/>
                <w:spacing w:val="0"/>
                <w:sz w:val="24"/>
                <w:szCs w:val="24"/>
                <w:shd w:val="clear" w:fill="FFFFFF"/>
              </w:rPr>
              <w:t>v为通风橱面风速，单位是</w:t>
            </w:r>
            <w:r>
              <w:rPr>
                <w:rFonts w:hint="eastAsia" w:ascii="Times New Roman" w:hAnsi="Times New Roman" w:eastAsia="宋体" w:cs="Segoe UI"/>
                <w:i w:val="0"/>
                <w:iCs w:val="0"/>
                <w:caps w:val="0"/>
                <w:color w:val="auto"/>
                <w:spacing w:val="0"/>
                <w:sz w:val="24"/>
                <w:szCs w:val="24"/>
                <w:shd w:val="clear" w:fill="FFFFFF"/>
                <w:lang w:val="en-US" w:eastAsia="zh-CN"/>
              </w:rPr>
              <w:t>m/s</w:t>
            </w:r>
            <w:r>
              <w:rPr>
                <w:rFonts w:hint="default" w:ascii="Times New Roman" w:hAnsi="Times New Roman" w:eastAsia="宋体" w:cs="Segoe UI"/>
                <w:i w:val="0"/>
                <w:iCs w:val="0"/>
                <w:caps w:val="0"/>
                <w:color w:val="auto"/>
                <w:spacing w:val="0"/>
                <w:sz w:val="24"/>
                <w:szCs w:val="24"/>
                <w:shd w:val="clear" w:fill="FFFFFF"/>
              </w:rPr>
              <w:t>。不同的使用场景和物质，面风速要求不同。例如，一般化学实验通风橱面风速取(0.5 - 1.5m/s)；对于有剧毒或高挥发性有害物质的实验，面风速可能取更高值。</w:t>
            </w:r>
            <w:r>
              <w:rPr>
                <w:rFonts w:hint="eastAsia" w:ascii="Times New Roman" w:hAnsi="Times New Roman" w:eastAsia="宋体" w:cs="Segoe UI"/>
                <w:i w:val="0"/>
                <w:iCs w:val="0"/>
                <w:caps w:val="0"/>
                <w:color w:val="auto"/>
                <w:spacing w:val="0"/>
                <w:sz w:val="24"/>
                <w:szCs w:val="24"/>
                <w:shd w:val="clear" w:fill="FFFFFF"/>
                <w:lang w:val="en-US" w:eastAsia="zh-CN"/>
              </w:rPr>
              <w:t>本项目取0.5m/s。</w:t>
            </w:r>
          </w:p>
          <w:p w14:paraId="47F39F22">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olor w:val="auto"/>
                <w:sz w:val="24"/>
                <w:lang w:val="en-US" w:eastAsia="zh-CN"/>
              </w:rPr>
            </w:pPr>
            <w:r>
              <w:rPr>
                <w:rFonts w:hint="default" w:ascii="Times New Roman" w:hAnsi="Times New Roman" w:eastAsia="宋体" w:cs="Segoe UI"/>
                <w:i w:val="0"/>
                <w:iCs w:val="0"/>
                <w:caps w:val="0"/>
                <w:color w:val="auto"/>
                <w:spacing w:val="0"/>
                <w:sz w:val="24"/>
                <w:szCs w:val="24"/>
                <w:shd w:val="clear" w:fill="FFFFFF"/>
              </w:rPr>
              <w:t>A为通风橱操作口面积，单位是</w:t>
            </w:r>
            <w:r>
              <w:rPr>
                <w:rFonts w:hint="eastAsia" w:ascii="Times New Roman" w:hAnsi="Times New Roman" w:eastAsia="宋体" w:cs="Segoe UI"/>
                <w:i w:val="0"/>
                <w:iCs w:val="0"/>
                <w:caps w:val="0"/>
                <w:color w:val="auto"/>
                <w:spacing w:val="0"/>
                <w:sz w:val="24"/>
                <w:szCs w:val="24"/>
                <w:shd w:val="clear" w:fill="FFFFFF"/>
                <w:lang w:val="en-US" w:eastAsia="zh-CN"/>
              </w:rPr>
              <w:t>m</w:t>
            </w:r>
            <w:r>
              <w:rPr>
                <w:rFonts w:hint="eastAsia" w:ascii="Times New Roman" w:hAnsi="Times New Roman" w:eastAsia="宋体" w:cs="Segoe UI"/>
                <w:i w:val="0"/>
                <w:iCs w:val="0"/>
                <w:caps w:val="0"/>
                <w:color w:val="auto"/>
                <w:spacing w:val="0"/>
                <w:sz w:val="24"/>
                <w:szCs w:val="24"/>
                <w:shd w:val="clear" w:fill="FFFFFF"/>
                <w:vertAlign w:val="superscript"/>
                <w:lang w:val="en-US" w:eastAsia="zh-CN"/>
              </w:rPr>
              <w:t>2</w:t>
            </w:r>
            <w:r>
              <w:rPr>
                <w:rFonts w:hint="default" w:ascii="Times New Roman" w:hAnsi="Times New Roman" w:eastAsia="宋体" w:cs="Segoe UI"/>
                <w:i w:val="0"/>
                <w:iCs w:val="0"/>
                <w:caps w:val="0"/>
                <w:color w:val="auto"/>
                <w:spacing w:val="0"/>
                <w:sz w:val="24"/>
                <w:szCs w:val="24"/>
                <w:shd w:val="clear" w:fill="FFFFFF"/>
              </w:rPr>
              <w:t>。如果通风橱有多个操作口，需计算所有操作口的总面积。</w:t>
            </w:r>
            <w:r>
              <w:rPr>
                <w:rFonts w:hint="eastAsia" w:ascii="Times New Roman" w:hAnsi="Times New Roman" w:eastAsia="宋体" w:cs="Segoe UI"/>
                <w:i w:val="0"/>
                <w:iCs w:val="0"/>
                <w:caps w:val="0"/>
                <w:color w:val="auto"/>
                <w:spacing w:val="0"/>
                <w:sz w:val="24"/>
                <w:szCs w:val="24"/>
                <w:shd w:val="clear" w:fill="FFFFFF"/>
                <w:lang w:val="en-US" w:eastAsia="zh-CN"/>
              </w:rPr>
              <w:t>本项目单个通风橱的操作面面积为1.5×0.4=0.6m</w:t>
            </w:r>
            <w:r>
              <w:rPr>
                <w:rFonts w:hint="eastAsia" w:ascii="Times New Roman" w:hAnsi="Times New Roman" w:eastAsia="宋体" w:cs="Segoe UI"/>
                <w:i w:val="0"/>
                <w:iCs w:val="0"/>
                <w:caps w:val="0"/>
                <w:color w:val="auto"/>
                <w:spacing w:val="0"/>
                <w:sz w:val="24"/>
                <w:szCs w:val="24"/>
                <w:shd w:val="clear" w:fill="FFFFFF"/>
                <w:vertAlign w:val="superscript"/>
                <w:lang w:val="en-US" w:eastAsia="zh-CN"/>
              </w:rPr>
              <w:t>2</w:t>
            </w:r>
          </w:p>
          <w:p w14:paraId="759E233F">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olor w:val="auto"/>
                <w:sz w:val="24"/>
                <w:lang w:val="en-US" w:eastAsia="zh-CN"/>
              </w:rPr>
            </w:pPr>
            <w:r>
              <w:rPr>
                <w:rFonts w:hint="default" w:ascii="Times New Roman" w:hAnsi="Times New Roman" w:eastAsia="宋体" w:cs="Segoe UI"/>
                <w:i w:val="0"/>
                <w:iCs w:val="0"/>
                <w:caps w:val="0"/>
                <w:color w:val="auto"/>
                <w:spacing w:val="0"/>
                <w:sz w:val="24"/>
                <w:szCs w:val="24"/>
                <w:shd w:val="clear" w:fill="FFFFFF"/>
              </w:rPr>
              <w:t>K为安全系数，通常取(1.1 - 1.2)，主要是考虑到实际运行中可能出现的各种不利因素，如通风系统的阻力变化、面风速的不均匀性等，以确保通风效果的可靠性。</w:t>
            </w:r>
            <w:r>
              <w:rPr>
                <w:rFonts w:hint="eastAsia" w:ascii="Times New Roman" w:hAnsi="Times New Roman" w:eastAsia="宋体" w:cs="Segoe UI"/>
                <w:i w:val="0"/>
                <w:iCs w:val="0"/>
                <w:caps w:val="0"/>
                <w:color w:val="auto"/>
                <w:spacing w:val="0"/>
                <w:sz w:val="24"/>
                <w:szCs w:val="24"/>
                <w:shd w:val="clear" w:fill="FFFFFF"/>
                <w:lang w:val="en-US" w:eastAsia="zh-CN"/>
              </w:rPr>
              <w:t>本项目取1.2。</w:t>
            </w:r>
          </w:p>
          <w:p w14:paraId="6782ED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b/>
                <w:bCs/>
                <w:color w:val="auto"/>
                <w:sz w:val="24"/>
              </w:rPr>
            </w:pPr>
            <w:r>
              <w:rPr>
                <w:rFonts w:hint="eastAsia" w:ascii="Times New Roman" w:hAnsi="Times New Roman" w:eastAsia="宋体"/>
                <w:b w:val="0"/>
                <w:bCs w:val="0"/>
                <w:color w:val="auto"/>
                <w:sz w:val="24"/>
                <w:lang w:val="en-US" w:eastAsia="zh-CN"/>
              </w:rPr>
              <w:t>本项目具体所需风量计算见下表：</w:t>
            </w:r>
          </w:p>
          <w:p w14:paraId="262E69DD">
            <w:pPr>
              <w:pStyle w:val="47"/>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kern w:val="2"/>
                <w:sz w:val="24"/>
                <w:szCs w:val="24"/>
                <w:highlight w:val="none"/>
              </w:rPr>
            </w:pPr>
            <w:r>
              <w:rPr>
                <w:rFonts w:hint="default" w:ascii="Times New Roman" w:hAnsi="Times New Roman" w:eastAsia="宋体" w:cs="Times New Roman"/>
                <w:b/>
                <w:bCs/>
                <w:color w:val="auto"/>
                <w:kern w:val="2"/>
                <w:sz w:val="24"/>
                <w:szCs w:val="24"/>
                <w:lang w:val="en-US" w:eastAsia="zh-CN" w:bidi="ar-SA"/>
              </w:rPr>
              <w:t>表4</w:t>
            </w:r>
            <w:r>
              <w:rPr>
                <w:rFonts w:hint="eastAsia" w:ascii="Times New Roman" w:hAnsi="Times New Roman" w:eastAsia="宋体" w:cs="Times New Roman"/>
                <w:b/>
                <w:bCs/>
                <w:color w:val="auto"/>
                <w:kern w:val="2"/>
                <w:sz w:val="24"/>
                <w:szCs w:val="24"/>
                <w:lang w:val="en-US" w:eastAsia="zh-CN" w:bidi="ar-SA"/>
              </w:rPr>
              <w:t xml:space="preserve">-7  </w:t>
            </w:r>
            <w:r>
              <w:rPr>
                <w:rFonts w:hint="eastAsia" w:ascii="Times New Roman" w:hAnsi="Times New Roman" w:eastAsia="宋体" w:cs="Times New Roman"/>
                <w:b/>
                <w:bCs/>
                <w:color w:val="auto"/>
                <w:sz w:val="24"/>
                <w:highlight w:val="none"/>
              </w:rPr>
              <w:t>废气</w:t>
            </w:r>
            <w:r>
              <w:rPr>
                <w:rFonts w:hint="eastAsia" w:ascii="Times New Roman" w:hAnsi="Times New Roman" w:eastAsia="宋体" w:cs="Times New Roman"/>
                <w:b/>
                <w:bCs/>
                <w:color w:val="auto"/>
                <w:sz w:val="24"/>
                <w:highlight w:val="none"/>
                <w:lang w:eastAsia="zh-CN"/>
              </w:rPr>
              <w:t>收集方式及</w:t>
            </w:r>
            <w:r>
              <w:rPr>
                <w:rFonts w:hint="eastAsia" w:ascii="Times New Roman" w:hAnsi="Times New Roman" w:eastAsia="宋体" w:cs="Times New Roman"/>
                <w:b/>
                <w:bCs/>
                <w:color w:val="auto"/>
                <w:sz w:val="24"/>
                <w:highlight w:val="none"/>
                <w:lang w:val="en-US" w:eastAsia="zh-CN"/>
              </w:rPr>
              <w:t>风量计算一览表</w:t>
            </w:r>
          </w:p>
          <w:tbl>
            <w:tblPr>
              <w:tblStyle w:val="26"/>
              <w:tblW w:w="492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1"/>
              <w:gridCol w:w="1262"/>
              <w:gridCol w:w="1124"/>
              <w:gridCol w:w="1939"/>
              <w:gridCol w:w="791"/>
              <w:gridCol w:w="1110"/>
              <w:gridCol w:w="1441"/>
              <w:gridCol w:w="929"/>
            </w:tblGrid>
            <w:tr w14:paraId="5D737B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6" w:type="pct"/>
                  <w:gridSpan w:val="2"/>
                  <w:tcBorders>
                    <w:tl2br w:val="nil"/>
                    <w:tr2bl w:val="nil"/>
                  </w:tcBorders>
                  <w:vAlign w:val="center"/>
                </w:tcPr>
                <w:p w14:paraId="405AEC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产生工序</w:t>
                  </w:r>
                </w:p>
              </w:tc>
              <w:tc>
                <w:tcPr>
                  <w:tcW w:w="621" w:type="pct"/>
                  <w:tcBorders>
                    <w:tl2br w:val="nil"/>
                    <w:tr2bl w:val="nil"/>
                  </w:tcBorders>
                  <w:vAlign w:val="center"/>
                </w:tcPr>
                <w:p w14:paraId="29DA98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收集方式</w:t>
                  </w:r>
                </w:p>
              </w:tc>
              <w:tc>
                <w:tcPr>
                  <w:tcW w:w="1071" w:type="pct"/>
                  <w:tcBorders>
                    <w:tl2br w:val="nil"/>
                    <w:tr2bl w:val="nil"/>
                  </w:tcBorders>
                  <w:vAlign w:val="center"/>
                </w:tcPr>
                <w:p w14:paraId="2EB357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参数</w:t>
                  </w:r>
                </w:p>
              </w:tc>
              <w:tc>
                <w:tcPr>
                  <w:tcW w:w="437" w:type="pct"/>
                  <w:tcBorders>
                    <w:tl2br w:val="nil"/>
                    <w:tr2bl w:val="nil"/>
                  </w:tcBorders>
                  <w:vAlign w:val="center"/>
                </w:tcPr>
                <w:p w14:paraId="739CBF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数量</w:t>
                  </w:r>
                </w:p>
              </w:tc>
              <w:tc>
                <w:tcPr>
                  <w:tcW w:w="613" w:type="pct"/>
                  <w:tcBorders>
                    <w:tl2br w:val="nil"/>
                    <w:tr2bl w:val="nil"/>
                  </w:tcBorders>
                  <w:vAlign w:val="center"/>
                </w:tcPr>
                <w:p w14:paraId="0DBF34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计算</w:t>
                  </w:r>
                  <w:r>
                    <w:rPr>
                      <w:rFonts w:hint="default" w:ascii="Times New Roman" w:hAnsi="Times New Roman" w:eastAsia="宋体" w:cs="Times New Roman"/>
                      <w:b/>
                      <w:bCs/>
                      <w:color w:val="auto"/>
                      <w:sz w:val="21"/>
                      <w:szCs w:val="21"/>
                      <w:highlight w:val="none"/>
                      <w:vertAlign w:val="baseline"/>
                      <w:lang w:val="en-US" w:eastAsia="zh-CN"/>
                    </w:rPr>
                    <w:t>风机</w:t>
                  </w:r>
                </w:p>
                <w:p w14:paraId="3938BB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风量（</w:t>
                  </w:r>
                  <w:r>
                    <w:rPr>
                      <w:rFonts w:hint="eastAsia" w:ascii="Times New Roman" w:hAnsi="Times New Roman" w:eastAsia="宋体" w:cs="Times New Roman"/>
                      <w:b/>
                      <w:bCs/>
                      <w:i w:val="0"/>
                      <w:iCs w:val="0"/>
                      <w:color w:val="auto"/>
                      <w:kern w:val="0"/>
                      <w:sz w:val="21"/>
                      <w:szCs w:val="21"/>
                      <w:highlight w:val="none"/>
                      <w:u w:val="none"/>
                      <w:lang w:val="en-US" w:eastAsia="zh-CN" w:bidi="ar"/>
                    </w:rPr>
                    <w:t>m³</w:t>
                  </w:r>
                  <w:r>
                    <w:rPr>
                      <w:rFonts w:hint="default" w:ascii="Times New Roman" w:hAnsi="Times New Roman" w:eastAsia="宋体" w:cs="Times New Roman"/>
                      <w:b/>
                      <w:bCs/>
                      <w:i w:val="0"/>
                      <w:iCs w:val="0"/>
                      <w:color w:val="auto"/>
                      <w:kern w:val="0"/>
                      <w:sz w:val="21"/>
                      <w:szCs w:val="21"/>
                      <w:highlight w:val="none"/>
                      <w:u w:val="none"/>
                      <w:lang w:val="en-US" w:eastAsia="zh-CN" w:bidi="ar"/>
                    </w:rPr>
                    <w:t>/h</w:t>
                  </w:r>
                  <w:r>
                    <w:rPr>
                      <w:rFonts w:hint="default" w:ascii="Times New Roman" w:hAnsi="Times New Roman" w:eastAsia="宋体" w:cs="Times New Roman"/>
                      <w:b/>
                      <w:bCs/>
                      <w:color w:val="auto"/>
                      <w:sz w:val="21"/>
                      <w:szCs w:val="21"/>
                      <w:highlight w:val="none"/>
                      <w:vertAlign w:val="baseline"/>
                      <w:lang w:val="en-US" w:eastAsia="zh-CN"/>
                    </w:rPr>
                    <w:t>）</w:t>
                  </w:r>
                </w:p>
              </w:tc>
              <w:tc>
                <w:tcPr>
                  <w:tcW w:w="796" w:type="pct"/>
                  <w:tcBorders>
                    <w:tl2br w:val="nil"/>
                    <w:tr2bl w:val="nil"/>
                  </w:tcBorders>
                  <w:vAlign w:val="center"/>
                </w:tcPr>
                <w:p w14:paraId="564564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设计</w:t>
                  </w:r>
                  <w:r>
                    <w:rPr>
                      <w:rFonts w:hint="default" w:ascii="Times New Roman" w:hAnsi="Times New Roman" w:eastAsia="宋体" w:cs="Times New Roman"/>
                      <w:b/>
                      <w:bCs/>
                      <w:color w:val="auto"/>
                      <w:sz w:val="21"/>
                      <w:szCs w:val="21"/>
                      <w:highlight w:val="none"/>
                      <w:vertAlign w:val="baseline"/>
                      <w:lang w:val="en-US" w:eastAsia="zh-CN"/>
                    </w:rPr>
                    <w:t>风量（</w:t>
                  </w:r>
                  <w:r>
                    <w:rPr>
                      <w:rFonts w:hint="eastAsia" w:ascii="Times New Roman" w:hAnsi="Times New Roman" w:eastAsia="宋体" w:cs="Times New Roman"/>
                      <w:b/>
                      <w:bCs/>
                      <w:i w:val="0"/>
                      <w:iCs w:val="0"/>
                      <w:color w:val="auto"/>
                      <w:kern w:val="0"/>
                      <w:sz w:val="21"/>
                      <w:szCs w:val="21"/>
                      <w:highlight w:val="none"/>
                      <w:u w:val="none"/>
                      <w:lang w:val="en-US" w:eastAsia="zh-CN" w:bidi="ar"/>
                    </w:rPr>
                    <w:t>m</w:t>
                  </w:r>
                  <w:r>
                    <w:rPr>
                      <w:rFonts w:hint="eastAsia" w:ascii="Times New Roman" w:hAnsi="Times New Roman" w:eastAsia="宋体" w:cs="Times New Roman"/>
                      <w:b/>
                      <w:bCs/>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highlight w:val="none"/>
                      <w:u w:val="none"/>
                      <w:lang w:val="en-US" w:eastAsia="zh-CN" w:bidi="ar"/>
                    </w:rPr>
                    <w:t>/h</w:t>
                  </w:r>
                  <w:r>
                    <w:rPr>
                      <w:rFonts w:hint="default" w:ascii="Times New Roman" w:hAnsi="Times New Roman" w:eastAsia="宋体" w:cs="Times New Roman"/>
                      <w:b/>
                      <w:bCs/>
                      <w:color w:val="auto"/>
                      <w:sz w:val="21"/>
                      <w:szCs w:val="21"/>
                      <w:highlight w:val="none"/>
                      <w:vertAlign w:val="baseline"/>
                      <w:lang w:val="en-US" w:eastAsia="zh-CN"/>
                    </w:rPr>
                    <w:t>）</w:t>
                  </w:r>
                </w:p>
              </w:tc>
              <w:tc>
                <w:tcPr>
                  <w:tcW w:w="513" w:type="pct"/>
                  <w:tcBorders>
                    <w:tl2br w:val="nil"/>
                    <w:tr2bl w:val="nil"/>
                  </w:tcBorders>
                  <w:vAlign w:val="center"/>
                </w:tcPr>
                <w:p w14:paraId="64EA00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w:t>
                  </w:r>
                </w:p>
                <w:p w14:paraId="22E72D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方式</w:t>
                  </w:r>
                </w:p>
              </w:tc>
            </w:tr>
            <w:tr w14:paraId="017219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249" w:type="pct"/>
                  <w:tcBorders>
                    <w:tl2br w:val="nil"/>
                    <w:tr2bl w:val="nil"/>
                  </w:tcBorders>
                  <w:vAlign w:val="center"/>
                </w:tcPr>
                <w:p w14:paraId="10C0E3E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宋体"/>
                      <w:b w:val="0"/>
                      <w:bCs w:val="0"/>
                      <w:i w:val="0"/>
                      <w:iCs w:val="0"/>
                      <w:color w:val="auto"/>
                      <w:kern w:val="0"/>
                      <w:sz w:val="21"/>
                      <w:szCs w:val="21"/>
                      <w:highlight w:val="none"/>
                      <w:u w:val="none"/>
                      <w:lang w:val="en-US" w:eastAsia="zh-CN" w:bidi="ar"/>
                    </w:rPr>
                    <w:t>生产车间</w:t>
                  </w:r>
                </w:p>
              </w:tc>
              <w:tc>
                <w:tcPr>
                  <w:tcW w:w="697" w:type="pct"/>
                  <w:tcBorders>
                    <w:tl2br w:val="nil"/>
                    <w:tr2bl w:val="nil"/>
                  </w:tcBorders>
                  <w:vAlign w:val="center"/>
                </w:tcPr>
                <w:p w14:paraId="5D0818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原料挥发</w:t>
                  </w:r>
                </w:p>
              </w:tc>
              <w:tc>
                <w:tcPr>
                  <w:tcW w:w="621" w:type="pct"/>
                  <w:tcBorders>
                    <w:tl2br w:val="nil"/>
                    <w:tr2bl w:val="nil"/>
                  </w:tcBorders>
                  <w:vAlign w:val="center"/>
                </w:tcPr>
                <w:p w14:paraId="173C51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通风橱收集</w:t>
                  </w:r>
                </w:p>
              </w:tc>
              <w:tc>
                <w:tcPr>
                  <w:tcW w:w="1071" w:type="pct"/>
                  <w:tcBorders>
                    <w:tl2br w:val="nil"/>
                    <w:tr2bl w:val="nil"/>
                  </w:tcBorders>
                  <w:vAlign w:val="center"/>
                </w:tcPr>
                <w:p w14:paraId="0E1241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宋体"/>
                      <w:b w:val="0"/>
                      <w:bCs w:val="0"/>
                      <w:i w:val="0"/>
                      <w:iCs w:val="0"/>
                      <w:color w:val="auto"/>
                      <w:kern w:val="0"/>
                      <w:sz w:val="21"/>
                      <w:szCs w:val="21"/>
                      <w:highlight w:val="none"/>
                      <w:u w:val="none"/>
                      <w:lang w:val="en-US" w:eastAsia="zh-CN" w:bidi="ar"/>
                    </w:rPr>
                    <w:t>A=</w:t>
                  </w:r>
                  <w:r>
                    <w:rPr>
                      <w:rFonts w:hint="eastAsia" w:cs="宋体"/>
                      <w:b w:val="0"/>
                      <w:bCs w:val="0"/>
                      <w:i w:val="0"/>
                      <w:iCs w:val="0"/>
                      <w:color w:val="auto"/>
                      <w:kern w:val="0"/>
                      <w:sz w:val="21"/>
                      <w:szCs w:val="21"/>
                      <w:highlight w:val="none"/>
                      <w:u w:val="none"/>
                      <w:lang w:val="en-US" w:eastAsia="zh-CN" w:bidi="ar"/>
                    </w:rPr>
                    <w:t>1.5</w:t>
                  </w:r>
                  <w:r>
                    <w:rPr>
                      <w:rFonts w:hint="eastAsia" w:ascii="Times New Roman" w:hAnsi="Times New Roman" w:eastAsia="宋体" w:cs="宋体"/>
                      <w:b w:val="0"/>
                      <w:bCs w:val="0"/>
                      <w:i w:val="0"/>
                      <w:iCs w:val="0"/>
                      <w:color w:val="auto"/>
                      <w:kern w:val="0"/>
                      <w:sz w:val="21"/>
                      <w:szCs w:val="21"/>
                      <w:highlight w:val="none"/>
                      <w:u w:val="none"/>
                      <w:lang w:val="en-US" w:eastAsia="zh-CN" w:bidi="ar"/>
                    </w:rPr>
                    <w:t>×</w:t>
                  </w:r>
                  <w:r>
                    <w:rPr>
                      <w:rFonts w:hint="eastAsia" w:cs="宋体"/>
                      <w:b w:val="0"/>
                      <w:bCs w:val="0"/>
                      <w:i w:val="0"/>
                      <w:iCs w:val="0"/>
                      <w:color w:val="auto"/>
                      <w:kern w:val="0"/>
                      <w:sz w:val="21"/>
                      <w:szCs w:val="21"/>
                      <w:highlight w:val="none"/>
                      <w:u w:val="none"/>
                      <w:lang w:val="en-US" w:eastAsia="zh-CN" w:bidi="ar"/>
                    </w:rPr>
                    <w:t>0.4</w:t>
                  </w:r>
                  <w:r>
                    <w:rPr>
                      <w:rFonts w:hint="eastAsia" w:ascii="Times New Roman" w:hAnsi="Times New Roman" w:eastAsia="宋体" w:cs="宋体"/>
                      <w:b w:val="0"/>
                      <w:bCs w:val="0"/>
                      <w:i w:val="0"/>
                      <w:iCs w:val="0"/>
                      <w:color w:val="auto"/>
                      <w:kern w:val="0"/>
                      <w:sz w:val="21"/>
                      <w:szCs w:val="21"/>
                      <w:highlight w:val="none"/>
                      <w:u w:val="none"/>
                      <w:lang w:val="en-US" w:eastAsia="zh-CN" w:bidi="ar"/>
                    </w:rPr>
                    <w:t>=</w:t>
                  </w:r>
                  <w:r>
                    <w:rPr>
                      <w:rFonts w:hint="eastAsia" w:cs="宋体"/>
                      <w:b w:val="0"/>
                      <w:bCs w:val="0"/>
                      <w:i w:val="0"/>
                      <w:iCs w:val="0"/>
                      <w:color w:val="auto"/>
                      <w:kern w:val="0"/>
                      <w:sz w:val="21"/>
                      <w:szCs w:val="21"/>
                      <w:highlight w:val="none"/>
                      <w:u w:val="none"/>
                      <w:lang w:val="en-US" w:eastAsia="zh-CN" w:bidi="ar"/>
                    </w:rPr>
                    <w:t>0.6</w:t>
                  </w:r>
                  <w:r>
                    <w:rPr>
                      <w:rFonts w:hint="eastAsia" w:ascii="Times New Roman" w:hAnsi="Times New Roman" w:eastAsia="宋体" w:cs="宋体"/>
                      <w:b w:val="0"/>
                      <w:bCs w:val="0"/>
                      <w:i w:val="0"/>
                      <w:iCs w:val="0"/>
                      <w:color w:val="auto"/>
                      <w:kern w:val="0"/>
                      <w:sz w:val="21"/>
                      <w:szCs w:val="21"/>
                      <w:highlight w:val="none"/>
                      <w:u w:val="none"/>
                      <w:lang w:val="en-US" w:eastAsia="zh-CN" w:bidi="ar"/>
                    </w:rPr>
                    <w:t>m</w:t>
                  </w:r>
                  <w:r>
                    <w:rPr>
                      <w:rFonts w:hint="eastAsia" w:ascii="Times New Roman" w:hAnsi="Times New Roman" w:eastAsia="宋体" w:cs="宋体"/>
                      <w:b w:val="0"/>
                      <w:bCs w:val="0"/>
                      <w:i w:val="0"/>
                      <w:iCs w:val="0"/>
                      <w:color w:val="auto"/>
                      <w:kern w:val="0"/>
                      <w:sz w:val="21"/>
                      <w:szCs w:val="21"/>
                      <w:highlight w:val="none"/>
                      <w:u w:val="none"/>
                      <w:vertAlign w:val="superscript"/>
                      <w:lang w:val="en-US" w:eastAsia="zh-CN" w:bidi="ar"/>
                    </w:rPr>
                    <w:t>2</w:t>
                  </w:r>
                </w:p>
              </w:tc>
              <w:tc>
                <w:tcPr>
                  <w:tcW w:w="437" w:type="pct"/>
                  <w:tcBorders>
                    <w:tl2br w:val="nil"/>
                    <w:tr2bl w:val="nil"/>
                  </w:tcBorders>
                  <w:vAlign w:val="center"/>
                </w:tcPr>
                <w:p w14:paraId="3C0DA0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w:t>
                  </w:r>
                </w:p>
              </w:tc>
              <w:tc>
                <w:tcPr>
                  <w:tcW w:w="613" w:type="pct"/>
                  <w:tcBorders>
                    <w:tl2br w:val="nil"/>
                    <w:tr2bl w:val="nil"/>
                  </w:tcBorders>
                  <w:vAlign w:val="center"/>
                </w:tcPr>
                <w:p w14:paraId="7B028F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1296*2=2592</w:t>
                  </w:r>
                </w:p>
              </w:tc>
              <w:tc>
                <w:tcPr>
                  <w:tcW w:w="796" w:type="pct"/>
                  <w:tcBorders>
                    <w:tl2br w:val="nil"/>
                    <w:tr2bl w:val="nil"/>
                  </w:tcBorders>
                  <w:vAlign w:val="center"/>
                </w:tcPr>
                <w:p w14:paraId="219702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2600</w:t>
                  </w:r>
                </w:p>
              </w:tc>
              <w:tc>
                <w:tcPr>
                  <w:tcW w:w="513" w:type="pct"/>
                  <w:tcBorders>
                    <w:tl2br w:val="nil"/>
                    <w:tr2bl w:val="nil"/>
                  </w:tcBorders>
                  <w:vAlign w:val="center"/>
                </w:tcPr>
                <w:p w14:paraId="2ED5CB5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一根15米高的排气筒FQ01</w:t>
                  </w:r>
                </w:p>
              </w:tc>
            </w:tr>
          </w:tbl>
          <w:p w14:paraId="2E7D9A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根据上表的相关数据、上述计算公式及风压阻力损耗等因素，本项目</w:t>
            </w:r>
            <w:r>
              <w:rPr>
                <w:rFonts w:hint="eastAsia" w:cs="Times New Roman"/>
                <w:b w:val="0"/>
                <w:bCs w:val="0"/>
                <w:color w:val="auto"/>
                <w:sz w:val="24"/>
                <w:highlight w:val="none"/>
                <w:lang w:val="en-US" w:eastAsia="zh-CN"/>
              </w:rPr>
              <w:t>针对实验过程中原料挥发废气设置2台通风橱</w:t>
            </w:r>
            <w:r>
              <w:rPr>
                <w:rFonts w:hint="eastAsia" w:ascii="Times New Roman" w:hAnsi="Times New Roman" w:eastAsia="宋体" w:cs="Times New Roman"/>
                <w:b w:val="0"/>
                <w:bCs w:val="0"/>
                <w:color w:val="auto"/>
                <w:sz w:val="24"/>
                <w:highlight w:val="none"/>
                <w:lang w:val="en-US" w:eastAsia="zh-CN"/>
              </w:rPr>
              <w:t>，需要2592m</w:t>
            </w:r>
            <w:r>
              <w:rPr>
                <w:rFonts w:hint="eastAsia" w:ascii="Times New Roman" w:hAnsi="Times New Roman" w:eastAsia="宋体" w:cs="Times New Roman"/>
                <w:b w:val="0"/>
                <w:bCs w:val="0"/>
                <w:color w:val="auto"/>
                <w:sz w:val="24"/>
                <w:highlight w:val="none"/>
                <w:vertAlign w:val="superscript"/>
                <w:lang w:val="en-US" w:eastAsia="zh-CN"/>
              </w:rPr>
              <w:t>3</w:t>
            </w:r>
            <w:r>
              <w:rPr>
                <w:rFonts w:hint="eastAsia" w:ascii="Times New Roman" w:hAnsi="Times New Roman" w:eastAsia="宋体" w:cs="Times New Roman"/>
                <w:b w:val="0"/>
                <w:bCs w:val="0"/>
                <w:color w:val="auto"/>
                <w:sz w:val="24"/>
                <w:highlight w:val="none"/>
                <w:lang w:val="en-US" w:eastAsia="zh-CN"/>
              </w:rPr>
              <w:t>/h的风机风量，因此本项目</w:t>
            </w:r>
            <w:r>
              <w:rPr>
                <w:rFonts w:hint="eastAsia" w:cs="Times New Roman"/>
                <w:b w:val="0"/>
                <w:bCs w:val="0"/>
                <w:color w:val="auto"/>
                <w:sz w:val="24"/>
                <w:highlight w:val="none"/>
                <w:lang w:val="en-US" w:eastAsia="zh-CN"/>
              </w:rPr>
              <w:t>设置</w:t>
            </w:r>
            <w:r>
              <w:rPr>
                <w:rFonts w:hint="eastAsia" w:ascii="Times New Roman" w:hAnsi="Times New Roman" w:eastAsia="宋体" w:cs="Times New Roman"/>
                <w:b w:val="0"/>
                <w:bCs w:val="0"/>
                <w:color w:val="auto"/>
                <w:sz w:val="24"/>
                <w:highlight w:val="none"/>
                <w:lang w:val="en-US" w:eastAsia="zh-CN"/>
              </w:rPr>
              <w:t>FQ01风机风量2600m</w:t>
            </w:r>
            <w:r>
              <w:rPr>
                <w:rFonts w:hint="eastAsia" w:ascii="Times New Roman" w:hAnsi="Times New Roman" w:eastAsia="宋体" w:cs="Times New Roman"/>
                <w:b w:val="0"/>
                <w:bCs w:val="0"/>
                <w:color w:val="auto"/>
                <w:sz w:val="24"/>
                <w:highlight w:val="none"/>
                <w:vertAlign w:val="superscript"/>
                <w:lang w:val="en-US" w:eastAsia="zh-CN"/>
              </w:rPr>
              <w:t>3</w:t>
            </w:r>
            <w:r>
              <w:rPr>
                <w:rFonts w:hint="eastAsia" w:ascii="Times New Roman" w:hAnsi="Times New Roman" w:eastAsia="宋体" w:cs="Times New Roman"/>
                <w:b w:val="0"/>
                <w:bCs w:val="0"/>
                <w:color w:val="auto"/>
                <w:sz w:val="24"/>
                <w:highlight w:val="none"/>
                <w:lang w:val="en-US" w:eastAsia="zh-CN"/>
              </w:rPr>
              <w:t>/h是可行的。</w:t>
            </w:r>
          </w:p>
          <w:p w14:paraId="713645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（4）不同收集方式废气收集效率合理性分析</w:t>
            </w:r>
          </w:p>
          <w:p w14:paraId="114B63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宋体"/>
                <w:b/>
                <w:bCs/>
                <w:color w:val="auto"/>
                <w:sz w:val="24"/>
                <w:highlight w:val="none"/>
                <w:lang w:val="en-US" w:eastAsia="zh-CN"/>
              </w:rPr>
            </w:pPr>
            <w:r>
              <w:rPr>
                <w:rFonts w:hint="eastAsia" w:ascii="Times New Roman" w:hAnsi="Times New Roman" w:eastAsia="宋体" w:cs="宋体"/>
                <w:b/>
                <w:bCs/>
                <w:color w:val="auto"/>
                <w:sz w:val="24"/>
                <w:highlight w:val="none"/>
                <w:lang w:eastAsia="zh-CN"/>
              </w:rPr>
              <w:t>①</w:t>
            </w:r>
            <w:r>
              <w:rPr>
                <w:rFonts w:hint="eastAsia" w:ascii="Times New Roman" w:hAnsi="Times New Roman" w:eastAsia="宋体" w:cs="宋体"/>
                <w:b/>
                <w:bCs/>
                <w:color w:val="auto"/>
                <w:sz w:val="24"/>
                <w:highlight w:val="none"/>
                <w:lang w:val="en-US" w:eastAsia="zh-CN"/>
              </w:rPr>
              <w:t>通风橱：</w:t>
            </w:r>
          </w:p>
          <w:p w14:paraId="15A305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宋体"/>
                <w:b w:val="0"/>
                <w:bCs w:val="0"/>
                <w:color w:val="auto"/>
                <w:sz w:val="24"/>
                <w:highlight w:val="none"/>
                <w:lang w:val="en-US" w:eastAsia="zh-CN"/>
              </w:rPr>
            </w:pPr>
            <w:r>
              <w:rPr>
                <w:rFonts w:hint="eastAsia" w:ascii="Times New Roman" w:hAnsi="Times New Roman" w:eastAsia="宋体" w:cs="宋体"/>
                <w:b w:val="0"/>
                <w:bCs w:val="0"/>
                <w:color w:val="auto"/>
                <w:sz w:val="24"/>
                <w:highlight w:val="none"/>
                <w:lang w:val="en-US" w:eastAsia="zh-CN"/>
              </w:rPr>
              <w:t>本项目大部分生物实验于通风橱内进行。参考《浙江省重点行业VOCs污染排放量计算方法》中对VOCs认定收集效率表，车间或密闭间进行密闭收集的收集效率可达80-95%。企业采用通风橱对原料挥发废气进行收集，通过在封闭式操作空间内形成负压环境，有效控制废气逸散。通风橱通过前端机械排风系统将雾化废气定向抽吸，实现密闭化操作。因此本项目采用通风橱收集原料挥发产生的挥发性有机物，收集效率取95%合理。</w:t>
            </w:r>
          </w:p>
          <w:p w14:paraId="3EF284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ascii="Times New Roman" w:hAnsi="Times New Roman" w:eastAsia="宋体" w:cs="宋体"/>
                <w:b/>
                <w:bCs/>
                <w:color w:val="auto"/>
                <w:sz w:val="24"/>
                <w:highlight w:val="none"/>
                <w:lang w:val="en-US" w:eastAsia="zh-CN"/>
              </w:rPr>
            </w:pPr>
            <w:r>
              <w:rPr>
                <w:rFonts w:hint="default" w:ascii="Times New Roman" w:hAnsi="Times New Roman" w:eastAsia="宋体" w:cs="宋体"/>
                <w:b/>
                <w:bCs/>
                <w:color w:val="auto"/>
                <w:sz w:val="24"/>
                <w:highlight w:val="none"/>
                <w:lang w:val="en-US" w:eastAsia="zh-CN"/>
              </w:rPr>
              <w:t>②</w:t>
            </w:r>
            <w:r>
              <w:rPr>
                <w:rFonts w:hint="eastAsia" w:ascii="Times New Roman" w:hAnsi="Times New Roman" w:eastAsia="宋体" w:cs="宋体"/>
                <w:b/>
                <w:bCs/>
                <w:color w:val="auto"/>
                <w:sz w:val="24"/>
                <w:highlight w:val="none"/>
                <w:lang w:val="en-US" w:eastAsia="zh-CN"/>
              </w:rPr>
              <w:t>负压排风系统：</w:t>
            </w:r>
          </w:p>
          <w:p w14:paraId="510CBA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宋体"/>
                <w:b w:val="0"/>
                <w:bCs w:val="0"/>
                <w:color w:val="auto"/>
                <w:sz w:val="24"/>
                <w:highlight w:val="none"/>
                <w:lang w:val="en-US" w:eastAsia="zh-CN"/>
              </w:rPr>
            </w:pPr>
            <w:r>
              <w:rPr>
                <w:rFonts w:hint="eastAsia" w:ascii="Times New Roman" w:hAnsi="Times New Roman" w:eastAsia="宋体" w:cs="宋体"/>
                <w:b w:val="0"/>
                <w:bCs w:val="0"/>
                <w:color w:val="auto"/>
                <w:sz w:val="24"/>
                <w:highlight w:val="none"/>
                <w:lang w:val="en-US" w:eastAsia="zh-CN"/>
              </w:rPr>
              <w:t>本项目危险废物仓库内废气采用负压排风系统进行收集。根据《浙江省重点行业VOCs污染排放量计算方法》中关于VOCs收集效率的技术规范，具有密闭空间特征的贮存场所采取机械负压收集时，其废气收集效率可达80-95%。企业通过在</w:t>
            </w:r>
            <w:r>
              <w:rPr>
                <w:rFonts w:hint="eastAsia" w:cs="宋体"/>
                <w:b w:val="0"/>
                <w:bCs w:val="0"/>
                <w:color w:val="auto"/>
                <w:sz w:val="24"/>
                <w:highlight w:val="none"/>
                <w:lang w:val="en-US" w:eastAsia="zh-CN"/>
              </w:rPr>
              <w:t>危废间</w:t>
            </w:r>
            <w:r>
              <w:rPr>
                <w:rFonts w:hint="eastAsia" w:ascii="Times New Roman" w:hAnsi="Times New Roman" w:eastAsia="宋体" w:cs="宋体"/>
                <w:b w:val="0"/>
                <w:bCs w:val="0"/>
                <w:color w:val="auto"/>
                <w:sz w:val="24"/>
                <w:highlight w:val="none"/>
                <w:lang w:val="en-US" w:eastAsia="zh-CN"/>
              </w:rPr>
              <w:t>内建立负压环境控制系统，利用机械排风设备形成稳定的气流组织，有效抑制贮存过程中产生的无组织废气逸散。系统通过定向气流设计和连续性排风运行，确保废气在产生源处即被有效捕集，经管道输送至末端处理设施。鉴于</w:t>
            </w:r>
            <w:r>
              <w:rPr>
                <w:rFonts w:hint="eastAsia" w:cs="宋体"/>
                <w:b w:val="0"/>
                <w:bCs w:val="0"/>
                <w:color w:val="auto"/>
                <w:sz w:val="24"/>
                <w:highlight w:val="none"/>
                <w:lang w:val="en-US" w:eastAsia="zh-CN"/>
              </w:rPr>
              <w:t>危废间</w:t>
            </w:r>
            <w:r>
              <w:rPr>
                <w:rFonts w:hint="eastAsia" w:ascii="Times New Roman" w:hAnsi="Times New Roman" w:eastAsia="宋体" w:cs="宋体"/>
                <w:b w:val="0"/>
                <w:bCs w:val="0"/>
                <w:color w:val="auto"/>
                <w:sz w:val="24"/>
                <w:highlight w:val="none"/>
                <w:lang w:val="en-US" w:eastAsia="zh-CN"/>
              </w:rPr>
              <w:t>已实现全封闭管理并配备专业负压收集系统，参照同类工程实际运行数据，本项目</w:t>
            </w:r>
            <w:r>
              <w:rPr>
                <w:rFonts w:hint="eastAsia" w:cs="宋体"/>
                <w:b w:val="0"/>
                <w:bCs w:val="0"/>
                <w:color w:val="auto"/>
                <w:sz w:val="24"/>
                <w:highlight w:val="none"/>
                <w:lang w:val="en-US" w:eastAsia="zh-CN"/>
              </w:rPr>
              <w:t>危废间</w:t>
            </w:r>
            <w:r>
              <w:rPr>
                <w:rFonts w:hint="eastAsia" w:ascii="Times New Roman" w:hAnsi="Times New Roman" w:eastAsia="宋体" w:cs="宋体"/>
                <w:b w:val="0"/>
                <w:bCs w:val="0"/>
                <w:color w:val="auto"/>
                <w:sz w:val="24"/>
                <w:highlight w:val="none"/>
                <w:lang w:val="en-US" w:eastAsia="zh-CN"/>
              </w:rPr>
              <w:t>废气收集效率取95%具有充分合理性。</w:t>
            </w:r>
          </w:p>
          <w:p w14:paraId="447A15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jc w:val="left"/>
              <w:textAlignment w:val="auto"/>
              <w:rPr>
                <w:rFonts w:hint="eastAsia" w:ascii="Times New Roman" w:hAnsi="Times New Roman" w:eastAsia="宋体" w:cs="Times New Roman"/>
                <w:color w:val="auto"/>
                <w:sz w:val="24"/>
                <w:szCs w:val="21"/>
                <w:highlight w:val="none"/>
                <w:lang w:val="en-US" w:eastAsia="zh-CN"/>
              </w:rPr>
            </w:pPr>
            <w:r>
              <w:rPr>
                <w:rFonts w:hint="eastAsia" w:ascii="Times New Roman" w:hAnsi="Times New Roman" w:eastAsia="宋体" w:cs="Times New Roman"/>
                <w:b/>
                <w:bCs/>
                <w:color w:val="auto"/>
                <w:sz w:val="24"/>
                <w:highlight w:val="none"/>
                <w:lang w:val="en-US" w:eastAsia="zh-CN"/>
              </w:rPr>
              <w:t>（4）</w:t>
            </w:r>
            <w:r>
              <w:rPr>
                <w:rFonts w:hint="eastAsia" w:ascii="Times New Roman" w:hAnsi="Times New Roman" w:eastAsia="宋体" w:cs="Times New Roman"/>
                <w:b/>
                <w:bCs/>
                <w:color w:val="auto"/>
                <w:sz w:val="24"/>
                <w:highlight w:val="none"/>
                <w:lang w:eastAsia="zh-CN"/>
              </w:rPr>
              <w:t>废气</w:t>
            </w:r>
            <w:r>
              <w:rPr>
                <w:rFonts w:hint="eastAsia" w:ascii="Times New Roman" w:hAnsi="Times New Roman" w:eastAsia="宋体" w:cs="Times New Roman"/>
                <w:b/>
                <w:bCs/>
                <w:color w:val="auto"/>
                <w:sz w:val="24"/>
                <w:highlight w:val="none"/>
                <w:lang w:val="en-US" w:eastAsia="zh-CN"/>
              </w:rPr>
              <w:t>治理措施</w:t>
            </w:r>
          </w:p>
          <w:p w14:paraId="6FAC9B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rPr>
                <w:rFonts w:hint="eastAsia" w:ascii="Times New Roman" w:hAnsi="Times New Roman" w:eastAsia="宋体" w:cs="Times New Roman"/>
                <w:b/>
                <w:color w:val="auto"/>
                <w:kern w:val="2"/>
                <w:sz w:val="24"/>
                <w:szCs w:val="24"/>
                <w:highlight w:val="none"/>
                <w:lang w:eastAsia="zh-CN"/>
              </w:rPr>
            </w:pPr>
            <w:r>
              <w:rPr>
                <w:rFonts w:hint="eastAsia" w:ascii="Times New Roman" w:hAnsi="Times New Roman" w:eastAsia="宋体" w:cs="Times New Roman"/>
                <w:b/>
                <w:color w:val="auto"/>
                <w:kern w:val="2"/>
                <w:sz w:val="24"/>
                <w:szCs w:val="24"/>
                <w:highlight w:val="none"/>
                <w:lang w:val="en-US" w:eastAsia="zh-CN"/>
              </w:rPr>
              <w:t>HEPA</w:t>
            </w:r>
            <w:r>
              <w:rPr>
                <w:rFonts w:hint="eastAsia" w:ascii="Times New Roman" w:hAnsi="Times New Roman" w:eastAsia="宋体" w:cs="Times New Roman"/>
                <w:b/>
                <w:color w:val="auto"/>
                <w:kern w:val="2"/>
                <w:sz w:val="24"/>
                <w:szCs w:val="24"/>
                <w:highlight w:val="none"/>
                <w:lang w:eastAsia="zh-CN"/>
              </w:rPr>
              <w:t>高效过滤器：</w:t>
            </w:r>
          </w:p>
          <w:p w14:paraId="5543DA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rPr>
              <w:t>本项目使用A2生物安全柜，</w:t>
            </w:r>
            <w:r>
              <w:rPr>
                <w:rFonts w:hint="eastAsia" w:ascii="Times New Roman" w:hAnsi="Times New Roman" w:eastAsia="宋体" w:cs="Times New Roman"/>
                <w:b w:val="0"/>
                <w:bCs w:val="0"/>
                <w:color w:val="auto"/>
                <w:sz w:val="24"/>
                <w:szCs w:val="24"/>
                <w:highlight w:val="none"/>
                <w:lang w:val="en-US" w:eastAsia="zh-CN"/>
              </w:rPr>
              <w:t>内置</w:t>
            </w:r>
            <w:r>
              <w:rPr>
                <w:rFonts w:hint="eastAsia" w:ascii="Times New Roman" w:hAnsi="Times New Roman" w:eastAsia="宋体" w:cs="Times New Roman"/>
                <w:color w:val="auto"/>
                <w:sz w:val="24"/>
                <w:szCs w:val="24"/>
                <w:highlight w:val="none"/>
                <w:lang w:eastAsia="zh-CN"/>
              </w:rPr>
              <w:t>高效过滤器</w:t>
            </w:r>
            <w:r>
              <w:rPr>
                <w:rFonts w:hint="default" w:ascii="Times New Roman" w:hAnsi="Times New Roman" w:eastAsia="宋体" w:cs="Times New Roman"/>
                <w:color w:val="auto"/>
                <w:sz w:val="24"/>
                <w:szCs w:val="24"/>
                <w:highlight w:val="none"/>
              </w:rPr>
              <w:t>，且生物安全柜相对理化室内环境处于负压状态，可有效控制生物安全柜内的气流，实现气流在生物安全柜“</w:t>
            </w:r>
            <w:r>
              <w:rPr>
                <w:rFonts w:hint="default" w:ascii="Times New Roman" w:hAnsi="Times New Roman" w:eastAsia="宋体" w:cs="Times New Roman"/>
                <w:color w:val="auto"/>
                <w:sz w:val="24"/>
                <w:szCs w:val="24"/>
                <w:highlight w:val="none"/>
                <w:lang w:eastAsia="zh-CN"/>
              </w:rPr>
              <w:t>侧</w:t>
            </w:r>
            <w:r>
              <w:rPr>
                <w:rFonts w:hint="default" w:ascii="Times New Roman" w:hAnsi="Times New Roman" w:eastAsia="宋体" w:cs="Times New Roman"/>
                <w:color w:val="auto"/>
                <w:sz w:val="24"/>
                <w:szCs w:val="24"/>
                <w:highlight w:val="none"/>
              </w:rPr>
              <w:t>进上排”，杜绝</w:t>
            </w:r>
            <w:r>
              <w:rPr>
                <w:rFonts w:hint="default" w:ascii="Times New Roman" w:hAnsi="Times New Roman" w:eastAsia="宋体" w:cs="Times New Roman"/>
                <w:color w:val="auto"/>
                <w:sz w:val="24"/>
                <w:szCs w:val="24"/>
                <w:highlight w:val="none"/>
                <w:lang w:eastAsia="zh-CN"/>
              </w:rPr>
              <w:t>实验</w:t>
            </w:r>
            <w:r>
              <w:rPr>
                <w:rFonts w:hint="default" w:ascii="Times New Roman" w:hAnsi="Times New Roman" w:eastAsia="宋体" w:cs="Times New Roman"/>
                <w:color w:val="auto"/>
                <w:sz w:val="24"/>
                <w:szCs w:val="24"/>
                <w:highlight w:val="none"/>
              </w:rPr>
              <w:t>过程产生的气溶胶从操作窗口外逸，可能含有病原微生物的气溶胶只有从其上部的排风口经高效过滤后外排，而生物安全柜内置的高效过滤器对粒径0.5um以上的气溶胶去除效率不低于99.995%，排气中的病原微生物可被彻底除去</w:t>
            </w:r>
            <w:r>
              <w:rPr>
                <w:rFonts w:hint="eastAsia" w:ascii="Times New Roman" w:hAnsi="Times New Roman" w:eastAsia="宋体" w:cs="Times New Roman"/>
                <w:color w:val="auto"/>
                <w:sz w:val="24"/>
                <w:szCs w:val="24"/>
                <w:highlight w:val="none"/>
                <w:lang w:eastAsia="zh-CN"/>
              </w:rPr>
              <w:t>。</w:t>
            </w:r>
          </w:p>
          <w:p w14:paraId="1C83CD9E">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eastAsia" w:ascii="Times New Roman" w:hAnsi="Times New Roman" w:eastAsia="宋体"/>
                <w:b/>
                <w:bCs/>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根据</w:t>
            </w:r>
            <w:r>
              <w:rPr>
                <w:rFonts w:hint="default" w:ascii="Times New Roman" w:hAnsi="Times New Roman" w:eastAsia="宋体"/>
                <w:color w:val="auto"/>
                <w:sz w:val="24"/>
                <w:szCs w:val="24"/>
                <w:highlight w:val="none"/>
              </w:rPr>
              <w:t>《无锡鑫连鑫生物医药科技有限公司研发疫苗、诊断试剂项目及建设研发大楼及配套设施项目三同时竣工验收报告》</w:t>
            </w:r>
            <w:r>
              <w:rPr>
                <w:rFonts w:hint="eastAsia" w:ascii="Times New Roman" w:hAnsi="Times New Roman" w:eastAsia="宋体"/>
                <w:color w:val="auto"/>
                <w:sz w:val="24"/>
                <w:szCs w:val="24"/>
                <w:highlight w:val="none"/>
                <w:lang w:eastAsia="zh-CN"/>
              </w:rPr>
              <w:t>可知，</w:t>
            </w:r>
            <w:r>
              <w:rPr>
                <w:rFonts w:hint="default" w:ascii="Times New Roman" w:hAnsi="Times New Roman" w:eastAsia="宋体"/>
                <w:color w:val="auto"/>
                <w:sz w:val="24"/>
                <w:szCs w:val="24"/>
                <w:highlight w:val="none"/>
              </w:rPr>
              <w:t>无锡鑫连鑫生物医药科技有限公司</w:t>
            </w:r>
            <w:r>
              <w:rPr>
                <w:rFonts w:hint="default" w:ascii="Times New Roman" w:hAnsi="Times New Roman" w:eastAsia="宋体" w:cs="Times New Roman"/>
                <w:b w:val="0"/>
                <w:bCs w:val="0"/>
                <w:color w:val="auto"/>
                <w:sz w:val="24"/>
                <w:szCs w:val="24"/>
                <w:highlight w:val="none"/>
              </w:rPr>
              <w:t>生物安全柜</w:t>
            </w:r>
            <w:r>
              <w:rPr>
                <w:rFonts w:hint="eastAsia" w:ascii="Times New Roman" w:hAnsi="Times New Roman" w:eastAsia="宋体" w:cs="Times New Roman"/>
                <w:b w:val="0"/>
                <w:bCs w:val="0"/>
                <w:color w:val="auto"/>
                <w:sz w:val="24"/>
                <w:szCs w:val="24"/>
                <w:highlight w:val="none"/>
                <w:lang w:eastAsia="zh-CN"/>
              </w:rPr>
              <w:t>中含有病原微生物的废气经高效过滤器处理后无组织排放，结合实际运行情况，目前高效过滤器稳定运行，可有效处理。因此本项目生物安全柜采用高效过滤器处理少量含有病原微生物的废气</w:t>
            </w:r>
            <w:r>
              <w:rPr>
                <w:rFonts w:hint="eastAsia" w:ascii="Times New Roman" w:hAnsi="Times New Roman" w:eastAsia="宋体" w:cs="Times New Roman"/>
                <w:color w:val="auto"/>
                <w:kern w:val="2"/>
                <w:sz w:val="24"/>
                <w:szCs w:val="24"/>
                <w:highlight w:val="none"/>
                <w:lang w:eastAsia="zh-CN"/>
              </w:rPr>
              <w:t>具备可行性</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Arial"/>
                <w:i w:val="0"/>
                <w:iCs w:val="0"/>
                <w:caps w:val="0"/>
                <w:color w:val="auto"/>
                <w:spacing w:val="0"/>
                <w:sz w:val="24"/>
                <w:szCs w:val="21"/>
                <w:highlight w:val="none"/>
                <w:shd w:val="clear" w:fill="FFFFFF"/>
              </w:rPr>
              <w:t>‌</w:t>
            </w:r>
          </w:p>
          <w:p w14:paraId="2649598D">
            <w:pPr>
              <w:keepNext w:val="0"/>
              <w:keepLines w:val="0"/>
              <w:pageBreakBefore w:val="0"/>
              <w:widowControl w:val="0"/>
              <w:suppressLineNumbers w:val="0"/>
              <w:tabs>
                <w:tab w:val="left" w:pos="2535"/>
              </w:tabs>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olor w:val="auto"/>
                <w:sz w:val="24"/>
                <w:highlight w:val="none"/>
              </w:rPr>
            </w:pPr>
            <w:r>
              <w:rPr>
                <w:rFonts w:hint="default" w:ascii="Times New Roman" w:hAnsi="Times New Roman" w:eastAsia="宋体" w:cs="Times New Roman"/>
                <w:b/>
                <w:bCs/>
                <w:color w:val="auto"/>
                <w:sz w:val="24"/>
                <w:highlight w:val="none"/>
              </w:rPr>
              <w:t>二级活性炭吸附装置的工作原理：</w:t>
            </w:r>
          </w:p>
          <w:p w14:paraId="05A10163">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olor w:val="auto"/>
                <w:sz w:val="24"/>
                <w:szCs w:val="24"/>
                <w:highlight w:val="none"/>
                <w:lang w:val="en-US" w:eastAsia="zh-CN"/>
              </w:rPr>
            </w:pPr>
            <w:r>
              <w:rPr>
                <w:rFonts w:hint="default" w:ascii="Times New Roman" w:hAnsi="Times New Roman" w:eastAsia="宋体" w:cs="Times New Roman"/>
                <w:color w:val="auto"/>
                <w:sz w:val="24"/>
                <w:highlight w:val="none"/>
              </w:rPr>
              <w:t>如</w:t>
            </w:r>
            <w:r>
              <w:rPr>
                <w:rFonts w:hint="default" w:ascii="Times New Roman" w:hAnsi="Times New Roman" w:eastAsia="宋体" w:cs="Times New Roman"/>
                <w:b/>
                <w:bCs/>
                <w:color w:val="auto"/>
                <w:sz w:val="24"/>
                <w:highlight w:val="none"/>
              </w:rPr>
              <w:t>图</w:t>
            </w:r>
            <w:r>
              <w:rPr>
                <w:rFonts w:hint="default" w:ascii="Times New Roman" w:hAnsi="Times New Roman" w:eastAsia="宋体" w:cs="Times New Roman"/>
                <w:b/>
                <w:bCs/>
                <w:color w:val="auto"/>
                <w:sz w:val="24"/>
                <w:highlight w:val="none"/>
                <w:lang w:val="en-US" w:eastAsia="zh-CN"/>
              </w:rPr>
              <w:t>4-</w:t>
            </w:r>
            <w:r>
              <w:rPr>
                <w:rFonts w:hint="eastAsia"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color w:val="auto"/>
                <w:sz w:val="24"/>
                <w:highlight w:val="none"/>
              </w:rPr>
              <w:t>所示，低分子有机废气进入活性炭吸附器，以一定的流速通过活性吸附器的活性炭层，此时，废气中的有机物被活性炭吸附在活性炭层的活性炭表面及孔隙中（如</w:t>
            </w:r>
            <w:r>
              <w:rPr>
                <w:rFonts w:hint="default" w:ascii="Times New Roman" w:hAnsi="Times New Roman" w:eastAsia="宋体" w:cs="Times New Roman"/>
                <w:b/>
                <w:bCs/>
                <w:color w:val="auto"/>
                <w:sz w:val="24"/>
                <w:highlight w:val="none"/>
              </w:rPr>
              <w:t>图</w:t>
            </w:r>
            <w:r>
              <w:rPr>
                <w:rFonts w:hint="default" w:ascii="Times New Roman" w:hAnsi="Times New Roman" w:eastAsia="宋体" w:cs="Times New Roman"/>
                <w:b/>
                <w:bCs/>
                <w:color w:val="auto"/>
                <w:sz w:val="24"/>
                <w:highlight w:val="none"/>
                <w:lang w:val="en-US" w:eastAsia="zh-CN"/>
              </w:rPr>
              <w:t>4-</w:t>
            </w:r>
            <w:r>
              <w:rPr>
                <w:rFonts w:hint="eastAsia"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color w:val="auto"/>
                <w:sz w:val="24"/>
                <w:highlight w:val="none"/>
              </w:rPr>
              <w:t>），其他洁净空气穿过活性炭层，从而分离有机物和洁净气体，最终达到净化废气中的有机物的目的。</w:t>
            </w:r>
            <w:r>
              <w:rPr>
                <w:rFonts w:hint="eastAsia" w:ascii="Times New Roman" w:hAnsi="Times New Roman" w:eastAsia="宋体" w:cs="Times New Roman"/>
                <w:color w:val="auto"/>
                <w:sz w:val="24"/>
                <w:highlight w:val="none"/>
                <w:lang w:val="en-US" w:eastAsia="zh-CN"/>
              </w:rPr>
              <w:t>本项目采用的</w:t>
            </w:r>
            <w:r>
              <w:rPr>
                <w:rFonts w:hint="eastAsia"/>
                <w:color w:val="auto"/>
                <w:sz w:val="24"/>
                <w:szCs w:val="24"/>
                <w:highlight w:val="none"/>
                <w:lang w:eastAsia="zh-CN"/>
              </w:rPr>
              <w:t>二级活性炭为串联模式，具体</w:t>
            </w:r>
            <w:r>
              <w:rPr>
                <w:rFonts w:hint="eastAsia"/>
                <w:color w:val="auto"/>
                <w:sz w:val="24"/>
                <w:szCs w:val="24"/>
                <w:highlight w:val="none"/>
                <w:lang w:val="en-US" w:eastAsia="zh-CN"/>
              </w:rPr>
              <w:t>如</w:t>
            </w:r>
            <w:r>
              <w:rPr>
                <w:rFonts w:hint="eastAsia"/>
                <w:b/>
                <w:bCs/>
                <w:color w:val="auto"/>
                <w:sz w:val="24"/>
                <w:szCs w:val="24"/>
                <w:highlight w:val="none"/>
                <w:lang w:val="en-US" w:eastAsia="zh-CN"/>
              </w:rPr>
              <w:t>图4-5</w:t>
            </w:r>
            <w:r>
              <w:rPr>
                <w:rFonts w:hint="eastAsia"/>
                <w:color w:val="auto"/>
                <w:sz w:val="24"/>
                <w:szCs w:val="24"/>
                <w:highlight w:val="none"/>
                <w:lang w:val="en-US" w:eastAsia="zh-CN"/>
              </w:rPr>
              <w:t>所示：</w:t>
            </w:r>
          </w:p>
          <w:p w14:paraId="643F1E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color w:val="auto"/>
                <w:kern w:val="0"/>
                <w:szCs w:val="28"/>
                <w:highlight w:val="none"/>
              </w:rPr>
            </w:pPr>
            <w:r>
              <w:rPr>
                <w:rFonts w:hint="default" w:ascii="Times New Roman" w:hAnsi="Times New Roman" w:eastAsia="宋体"/>
                <w:color w:val="auto"/>
                <w:kern w:val="0"/>
                <w:szCs w:val="28"/>
                <w:highlight w:val="none"/>
              </w:rPr>
              <w:drawing>
                <wp:inline distT="0" distB="0" distL="114300" distR="114300">
                  <wp:extent cx="4685030" cy="1909445"/>
                  <wp:effectExtent l="0" t="0" r="1270" b="14605"/>
                  <wp:docPr id="11" name="图片 10"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无标题"/>
                          <pic:cNvPicPr>
                            <a:picLocks noChangeAspect="1"/>
                          </pic:cNvPicPr>
                        </pic:nvPicPr>
                        <pic:blipFill>
                          <a:blip r:embed="rId14"/>
                          <a:srcRect l="781" t="26642" r="1323" b="26157"/>
                          <a:stretch>
                            <a:fillRect/>
                          </a:stretch>
                        </pic:blipFill>
                        <pic:spPr>
                          <a:xfrm>
                            <a:off x="0" y="0"/>
                            <a:ext cx="4685030" cy="1909445"/>
                          </a:xfrm>
                          <a:prstGeom prst="rect">
                            <a:avLst/>
                          </a:prstGeom>
                          <a:noFill/>
                          <a:ln>
                            <a:noFill/>
                          </a:ln>
                        </pic:spPr>
                      </pic:pic>
                    </a:graphicData>
                  </a:graphic>
                </wp:inline>
              </w:drawing>
            </w:r>
          </w:p>
          <w:p w14:paraId="3A300141">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jc w:val="center"/>
              <w:textAlignment w:val="auto"/>
              <w:rPr>
                <w:rFonts w:hint="eastAsia" w:ascii="Times New Roman" w:hAnsi="Times New Roman" w:eastAsia="宋体" w:cs="宋体"/>
                <w:b/>
                <w:bCs/>
                <w:color w:val="auto"/>
                <w:sz w:val="24"/>
                <w:szCs w:val="24"/>
                <w:highlight w:val="none"/>
                <w:lang w:eastAsia="zh-CN"/>
              </w:rPr>
            </w:pPr>
            <w:r>
              <w:rPr>
                <w:rFonts w:hint="eastAsia" w:ascii="Times New Roman" w:hAnsi="Times New Roman" w:eastAsia="宋体" w:cs="宋体"/>
                <w:b/>
                <w:bCs/>
                <w:color w:val="auto"/>
                <w:sz w:val="24"/>
                <w:szCs w:val="24"/>
                <w:highlight w:val="none"/>
                <w:lang w:eastAsia="zh-CN"/>
              </w:rPr>
              <w:t>图</w:t>
            </w:r>
            <w:r>
              <w:rPr>
                <w:rFonts w:hint="eastAsia" w:ascii="Times New Roman" w:hAnsi="Times New Roman" w:eastAsia="宋体" w:cs="宋体"/>
                <w:b/>
                <w:bCs/>
                <w:color w:val="auto"/>
                <w:sz w:val="24"/>
                <w:szCs w:val="24"/>
                <w:highlight w:val="none"/>
                <w:lang w:val="en-US" w:eastAsia="zh-CN"/>
              </w:rPr>
              <w:t>4-3</w:t>
            </w:r>
            <w:r>
              <w:rPr>
                <w:rFonts w:hint="eastAsia" w:ascii="Times New Roman" w:hAnsi="Times New Roman" w:eastAsia="宋体" w:cs="宋体"/>
                <w:b/>
                <w:bCs/>
                <w:color w:val="auto"/>
                <w:sz w:val="24"/>
                <w:szCs w:val="24"/>
                <w:highlight w:val="none"/>
                <w:lang w:eastAsia="zh-CN"/>
              </w:rPr>
              <w:t xml:space="preserve"> 活性炭吸附器工作原理图</w:t>
            </w:r>
          </w:p>
          <w:p w14:paraId="17D495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olor w:val="auto"/>
                <w:szCs w:val="28"/>
                <w:highlight w:val="none"/>
              </w:rPr>
            </w:pPr>
            <w:r>
              <w:rPr>
                <w:rFonts w:hint="default" w:ascii="Times New Roman" w:hAnsi="Times New Roman" w:eastAsia="宋体"/>
                <w:color w:val="auto"/>
                <w:szCs w:val="28"/>
                <w:highlight w:val="none"/>
              </w:rPr>
              <mc:AlternateContent>
                <mc:Choice Requires="wps">
                  <w:drawing>
                    <wp:anchor distT="0" distB="0" distL="114300" distR="114300" simplePos="0" relativeHeight="251660288" behindDoc="0" locked="0" layoutInCell="1" allowOverlap="1">
                      <wp:simplePos x="0" y="0"/>
                      <wp:positionH relativeFrom="column">
                        <wp:posOffset>3498215</wp:posOffset>
                      </wp:positionH>
                      <wp:positionV relativeFrom="paragraph">
                        <wp:posOffset>82550</wp:posOffset>
                      </wp:positionV>
                      <wp:extent cx="738505" cy="187960"/>
                      <wp:effectExtent l="0" t="0" r="4445" b="2540"/>
                      <wp:wrapNone/>
                      <wp:docPr id="18" name="文本框 18"/>
                      <wp:cNvGraphicFramePr/>
                      <a:graphic xmlns:a="http://schemas.openxmlformats.org/drawingml/2006/main">
                        <a:graphicData uri="http://schemas.microsoft.com/office/word/2010/wordprocessingShape">
                          <wps:wsp>
                            <wps:cNvSpPr txBox="1"/>
                            <wps:spPr>
                              <a:xfrm>
                                <a:off x="0" y="0"/>
                                <a:ext cx="738505" cy="187960"/>
                              </a:xfrm>
                              <a:prstGeom prst="rect">
                                <a:avLst/>
                              </a:prstGeom>
                              <a:solidFill>
                                <a:srgbClr val="FFFFFF"/>
                              </a:solidFill>
                              <a:ln>
                                <a:noFill/>
                              </a:ln>
                            </wps:spPr>
                            <wps:txbx>
                              <w:txbxContent>
                                <w:p w14:paraId="14261CE8"/>
                              </w:txbxContent>
                            </wps:txbx>
                            <wps:bodyPr upright="1"/>
                          </wps:wsp>
                        </a:graphicData>
                      </a:graphic>
                    </wp:anchor>
                  </w:drawing>
                </mc:Choice>
                <mc:Fallback>
                  <w:pict>
                    <v:shape id="_x0000_s1026" o:spid="_x0000_s1026" o:spt="202" type="#_x0000_t202" style="position:absolute;left:0pt;margin-left:275.45pt;margin-top:6.5pt;height:14.8pt;width:58.15pt;z-index:251660288;mso-width-relative:page;mso-height-relative:page;" fillcolor="#FFFFFF" filled="t" stroked="f" coordsize="21600,21600" o:gfxdata="UEsDBAoAAAAAAIdO4kAAAAAAAAAAAAAAAAAEAAAAZHJzL1BLAwQUAAAACACHTuJAsFnkDtcAAAAJ&#10;AQAADwAAAGRycy9kb3ducmV2LnhtbE2PQU7DMBBF90jcwZpKbBC1G5qEpnEqgQRi29IDTOJpEhHb&#10;Uew27e0ZVrAc/ac/75e7qx3EhabQe6dhtVQgyDXe9K7VcPx6f3oBESI6g4N3pOFGAXbV/V2JhfGz&#10;29PlEFvBJS4UqKGLcSykDE1HFsPSj+Q4O/nJYuRzaqWZcOZyO8hEqUxa7B1/6HCkt46a78PZajh9&#10;zo/pZq4/4jHfr7NX7PPa37R+WKzUFkSka/yD4Vef1aFip9qfnQli0JCmasMoB8+8iYEsyxMQtYZ1&#10;koGsSvl/QfUDUEsDBBQAAAAIAIdO4kA7h+hzwwEAAHgDAAAOAAAAZHJzL2Uyb0RvYy54bWytU0Fu&#10;2zAQvBfoHwjea8kpkriC5QCt4V6KtkDSB9AUJREguQSXtuQPtD/oqZfe+y6/o0vKcdrkkkN0oMjd&#10;4XBnllzejNawvQqowdV8Pis5U05Co11X8293mzcLzjAK1wgDTtX8oJDfrF6/Wg6+UhfQg2lUYETi&#10;sBp8zfsYfVUUKHtlBc7AK0fJFoIVkZahK5ogBmK3prgoy6tigND4AFIhUnQ9JfmJMTyHENpWS7UG&#10;ubPKxYk1KCMiScJee+SrXG3bKhm/tC2qyEzNSWnMIx1C820ai9VSVF0QvtfyVIJ4TgmPNFmhHR16&#10;plqLKNgu6CdUVssACG2cSbDFJCQ7Qirm5SNvbnvhVdZCVqM/m44vRys/778Gphu6CdR3Jyx1/Pjz&#10;x/HXn+Pv74xiZNDgsSLcrSdkHN/DSOD7OFIw6R7bYNOfFDHKk72Hs71qjExS8Prt4rK85ExSar64&#10;fneV7S8eNvuA8aMCy9Kk5oG6l00V+08YqRCC3kPSWQhGNxttTF6EbvvBBLYX1OlN/lKNtOU/mHEJ&#10;7CBtm9IpUiSJk5Q0i+N2POneQnMg2TsfdNdTTVl4hlNDMv3p8qSO/7vOpA8PZvU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FnkDtcAAAAJAQAADwAAAAAAAAABACAAAAAiAAAAZHJzL2Rvd25yZXYu&#10;eG1sUEsBAhQAFAAAAAgAh07iQDuH6HPDAQAAeAMAAA4AAAAAAAAAAQAgAAAAJgEAAGRycy9lMm9E&#10;b2MueG1sUEsFBgAAAAAGAAYAWQEAAFsFAAAAAA==&#10;">
                      <v:fill on="t" focussize="0,0"/>
                      <v:stroke on="f"/>
                      <v:imagedata o:title=""/>
                      <o:lock v:ext="edit" aspectratio="f"/>
                      <v:textbox>
                        <w:txbxContent>
                          <w:p w14:paraId="14261CE8"/>
                        </w:txbxContent>
                      </v:textbox>
                    </v:shape>
                  </w:pict>
                </mc:Fallback>
              </mc:AlternateContent>
            </w:r>
            <w:r>
              <w:rPr>
                <w:rFonts w:hint="default" w:ascii="Times New Roman" w:hAnsi="Times New Roman" w:eastAsia="宋体"/>
                <w:color w:val="auto"/>
                <w:szCs w:val="28"/>
                <w:highlight w:val="none"/>
              </w:rPr>
              <w:fldChar w:fldCharType="begin"/>
            </w:r>
            <w:r>
              <w:rPr>
                <w:rFonts w:hint="default" w:ascii="Times New Roman" w:hAnsi="Times New Roman" w:eastAsia="宋体"/>
                <w:color w:val="auto"/>
                <w:szCs w:val="28"/>
                <w:highlight w:val="none"/>
              </w:rPr>
              <w:instrText xml:space="preserve"> INCLUDEPICTURE  "https://timgsa.baidu.com/timg?image&amp;quality=80&amp;size=b9999_10000&amp;sec=1546449126209&amp;di=dd0e158c1d58a5b3b7922b51a6fe5e77&amp;imgtype=0&amp;src=http://www.whsthb.com/upload/attached/image/20150521/20150521084455_94949.jpg" \* MERGEFORMATINET </w:instrText>
            </w:r>
            <w:r>
              <w:rPr>
                <w:rFonts w:hint="default" w:ascii="Times New Roman" w:hAnsi="Times New Roman" w:eastAsia="宋体"/>
                <w:color w:val="auto"/>
                <w:szCs w:val="28"/>
                <w:highlight w:val="none"/>
              </w:rPr>
              <w:fldChar w:fldCharType="separate"/>
            </w:r>
            <w:r>
              <w:rPr>
                <w:rFonts w:hint="default" w:ascii="Times New Roman" w:hAnsi="Times New Roman" w:eastAsia="宋体"/>
                <w:color w:val="auto"/>
                <w:szCs w:val="28"/>
                <w:highlight w:val="none"/>
              </w:rPr>
              <w:drawing>
                <wp:inline distT="0" distB="0" distL="114300" distR="114300">
                  <wp:extent cx="3549015" cy="2668905"/>
                  <wp:effectExtent l="0" t="0" r="13335" b="1714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15" r:link="rId16"/>
                          <a:srcRect t="10275"/>
                          <a:stretch>
                            <a:fillRect/>
                          </a:stretch>
                        </pic:blipFill>
                        <pic:spPr>
                          <a:xfrm>
                            <a:off x="0" y="0"/>
                            <a:ext cx="3549015" cy="2668905"/>
                          </a:xfrm>
                          <a:prstGeom prst="rect">
                            <a:avLst/>
                          </a:prstGeom>
                          <a:noFill/>
                          <a:ln>
                            <a:noFill/>
                          </a:ln>
                        </pic:spPr>
                      </pic:pic>
                    </a:graphicData>
                  </a:graphic>
                </wp:inline>
              </w:drawing>
            </w:r>
            <w:r>
              <w:rPr>
                <w:rFonts w:hint="default" w:ascii="Times New Roman" w:hAnsi="Times New Roman" w:eastAsia="宋体"/>
                <w:color w:val="auto"/>
                <w:szCs w:val="28"/>
                <w:highlight w:val="none"/>
              </w:rPr>
              <w:fldChar w:fldCharType="end"/>
            </w:r>
          </w:p>
          <w:p w14:paraId="14A86DDC">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jc w:val="center"/>
              <w:textAlignment w:val="auto"/>
              <w:rPr>
                <w:rFonts w:hint="eastAsia" w:ascii="Times New Roman" w:hAnsi="Times New Roman" w:eastAsia="宋体" w:cs="宋体"/>
                <w:b/>
                <w:bCs/>
                <w:color w:val="auto"/>
                <w:sz w:val="24"/>
                <w:szCs w:val="24"/>
                <w:highlight w:val="none"/>
                <w:lang w:eastAsia="zh-CN"/>
              </w:rPr>
            </w:pPr>
            <w:r>
              <w:rPr>
                <w:rFonts w:hint="eastAsia" w:ascii="Times New Roman" w:hAnsi="Times New Roman" w:eastAsia="宋体" w:cs="宋体"/>
                <w:b/>
                <w:bCs/>
                <w:color w:val="auto"/>
                <w:sz w:val="24"/>
                <w:szCs w:val="24"/>
                <w:highlight w:val="none"/>
                <w:lang w:eastAsia="zh-CN"/>
              </w:rPr>
              <w:t>图</w:t>
            </w:r>
            <w:r>
              <w:rPr>
                <w:rFonts w:hint="eastAsia" w:ascii="Times New Roman" w:hAnsi="Times New Roman" w:eastAsia="宋体" w:cs="宋体"/>
                <w:b/>
                <w:bCs/>
                <w:color w:val="auto"/>
                <w:sz w:val="24"/>
                <w:szCs w:val="24"/>
                <w:highlight w:val="none"/>
                <w:lang w:val="en-US" w:eastAsia="zh-CN"/>
              </w:rPr>
              <w:t>4-4</w:t>
            </w:r>
            <w:r>
              <w:rPr>
                <w:rFonts w:hint="eastAsia" w:ascii="Times New Roman" w:hAnsi="Times New Roman" w:eastAsia="宋体" w:cs="宋体"/>
                <w:b/>
                <w:bCs/>
                <w:color w:val="auto"/>
                <w:sz w:val="24"/>
                <w:szCs w:val="24"/>
                <w:highlight w:val="none"/>
                <w:lang w:eastAsia="zh-CN"/>
              </w:rPr>
              <w:t>活性炭吸附有机物示意图</w:t>
            </w:r>
          </w:p>
          <w:p w14:paraId="6EE18A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宋体"/>
                <w:b/>
                <w:bCs/>
                <w:color w:val="auto"/>
                <w:sz w:val="24"/>
                <w:szCs w:val="24"/>
                <w:highlight w:val="none"/>
                <w:lang w:eastAsia="zh-CN"/>
              </w:rPr>
            </w:pPr>
            <w:r>
              <w:rPr>
                <w:rFonts w:hint="default"/>
              </w:rPr>
              <w:drawing>
                <wp:inline distT="0" distB="0" distL="114300" distR="114300">
                  <wp:extent cx="4705985" cy="1731645"/>
                  <wp:effectExtent l="0" t="0" r="18415" b="1905"/>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17"/>
                          <a:stretch>
                            <a:fillRect/>
                          </a:stretch>
                        </pic:blipFill>
                        <pic:spPr>
                          <a:xfrm>
                            <a:off x="0" y="0"/>
                            <a:ext cx="4705985" cy="1731645"/>
                          </a:xfrm>
                          <a:prstGeom prst="rect">
                            <a:avLst/>
                          </a:prstGeom>
                          <a:noFill/>
                          <a:ln>
                            <a:noFill/>
                          </a:ln>
                        </pic:spPr>
                      </pic:pic>
                    </a:graphicData>
                  </a:graphic>
                </wp:inline>
              </w:drawing>
            </w:r>
          </w:p>
          <w:p w14:paraId="633B21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宋体"/>
                <w:b/>
                <w:bCs/>
                <w:color w:val="auto"/>
                <w:sz w:val="24"/>
                <w:szCs w:val="24"/>
                <w:highlight w:val="none"/>
                <w:lang w:eastAsia="zh-CN"/>
              </w:rPr>
            </w:pPr>
            <w:r>
              <w:rPr>
                <w:rFonts w:hint="eastAsia" w:ascii="Times New Roman" w:hAnsi="Times New Roman" w:eastAsia="宋体" w:cs="宋体"/>
                <w:b/>
                <w:bCs/>
                <w:color w:val="auto"/>
                <w:sz w:val="24"/>
                <w:szCs w:val="24"/>
                <w:highlight w:val="none"/>
                <w:lang w:eastAsia="zh-CN"/>
              </w:rPr>
              <w:t>图</w:t>
            </w:r>
            <w:r>
              <w:rPr>
                <w:rFonts w:hint="eastAsia" w:ascii="Times New Roman" w:hAnsi="Times New Roman" w:eastAsia="宋体" w:cs="宋体"/>
                <w:b/>
                <w:bCs/>
                <w:color w:val="auto"/>
                <w:sz w:val="24"/>
                <w:szCs w:val="24"/>
                <w:highlight w:val="none"/>
                <w:lang w:val="en-US" w:eastAsia="zh-CN"/>
              </w:rPr>
              <w:t xml:space="preserve">4--5 </w:t>
            </w:r>
            <w:r>
              <w:rPr>
                <w:rFonts w:hint="eastAsia" w:ascii="Times New Roman" w:hAnsi="Times New Roman" w:eastAsia="宋体" w:cs="宋体"/>
                <w:b/>
                <w:bCs/>
                <w:color w:val="auto"/>
                <w:sz w:val="24"/>
                <w:szCs w:val="24"/>
                <w:highlight w:val="none"/>
                <w:lang w:eastAsia="zh-CN"/>
              </w:rPr>
              <w:t>二级活性炭示意图</w:t>
            </w:r>
          </w:p>
          <w:p w14:paraId="0143B824">
            <w:pPr>
              <w:keepNext w:val="0"/>
              <w:keepLines w:val="0"/>
              <w:suppressLineNumbers w:val="0"/>
              <w:tabs>
                <w:tab w:val="left" w:pos="2535"/>
              </w:tabs>
              <w:spacing w:before="0" w:beforeAutospacing="0" w:after="0" w:afterAutospacing="0" w:line="360" w:lineRule="auto"/>
              <w:ind w:left="0" w:right="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利用活性炭的微孔对溶剂分子或分子团吸附，当工业废气通过吸附介质时，其中的有机溶剂被“阻留”下来，从而使有机废气得到净化处理。活性炭具有比表面积大、吸附效率高等优点，对于烃类等小分子有机废气均有较好的吸附效果。为了保证吸附装置对污染物的处理效果，本项目采用两级活性炭吸附系统进行处理。</w:t>
            </w:r>
          </w:p>
          <w:p w14:paraId="5406F7C8">
            <w:pPr>
              <w:keepNext w:val="0"/>
              <w:keepLines w:val="0"/>
              <w:suppressLineNumbers w:val="0"/>
              <w:tabs>
                <w:tab w:val="left" w:pos="2535"/>
              </w:tabs>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采用活性炭吸附去除有机废气已广泛应用于有机废气的治理工程中，其工艺较为成熟，理论吸附率一般在80%以上，采用两级吸附可达90%以上，因此本报告按</w:t>
            </w:r>
            <w:r>
              <w:rPr>
                <w:rFonts w:hint="default" w:ascii="Times New Roman" w:hAnsi="Times New Roman" w:eastAsia="宋体" w:cs="Times New Roman"/>
                <w:color w:val="auto"/>
                <w:sz w:val="24"/>
                <w:highlight w:val="none"/>
                <w:lang w:val="en-US" w:eastAsia="zh-CN"/>
              </w:rPr>
              <w:t>90</w:t>
            </w:r>
            <w:r>
              <w:rPr>
                <w:rFonts w:hint="default" w:ascii="Times New Roman" w:hAnsi="Times New Roman" w:eastAsia="宋体" w:cs="Times New Roman"/>
                <w:color w:val="auto"/>
                <w:sz w:val="24"/>
                <w:highlight w:val="none"/>
              </w:rPr>
              <w:t>%计。</w:t>
            </w:r>
            <w:r>
              <w:rPr>
                <w:rFonts w:hint="eastAsia" w:cs="Times New Roman"/>
                <w:color w:val="auto"/>
                <w:sz w:val="24"/>
                <w:highlight w:val="none"/>
                <w:lang w:val="en-US" w:eastAsia="zh-CN"/>
              </w:rPr>
              <w:t>本项目针对原料挥发废气设置1套二级活性炭吸附装置进行处理</w:t>
            </w:r>
            <w:r>
              <w:rPr>
                <w:rFonts w:hint="eastAsia" w:ascii="Times New Roman" w:hAnsi="Times New Roman" w:eastAsia="宋体" w:cs="Times New Roman"/>
                <w:color w:val="auto"/>
                <w:sz w:val="24"/>
                <w:highlight w:val="none"/>
                <w:lang w:val="en-US" w:eastAsia="zh-CN"/>
              </w:rPr>
              <w:t>。</w:t>
            </w:r>
          </w:p>
          <w:p w14:paraId="755BFA00">
            <w:pPr>
              <w:pStyle w:val="47"/>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kern w:val="2"/>
                <w:sz w:val="24"/>
                <w:szCs w:val="24"/>
                <w:highlight w:val="none"/>
              </w:rPr>
            </w:pPr>
            <w:r>
              <w:rPr>
                <w:rFonts w:hint="default" w:ascii="Times New Roman" w:hAnsi="Times New Roman" w:eastAsia="宋体" w:cs="Times New Roman"/>
                <w:b/>
                <w:bCs/>
                <w:color w:val="auto"/>
                <w:kern w:val="2"/>
                <w:sz w:val="24"/>
                <w:szCs w:val="24"/>
                <w:highlight w:val="none"/>
                <w:lang w:val="en-US" w:eastAsia="zh-CN" w:bidi="ar-SA"/>
              </w:rPr>
              <w:t>表4</w:t>
            </w:r>
            <w:r>
              <w:rPr>
                <w:rFonts w:hint="eastAsia" w:ascii="Times New Roman" w:hAnsi="Times New Roman" w:eastAsia="宋体" w:cs="Times New Roman"/>
                <w:b/>
                <w:bCs/>
                <w:color w:val="auto"/>
                <w:kern w:val="2"/>
                <w:sz w:val="24"/>
                <w:szCs w:val="24"/>
                <w:highlight w:val="none"/>
                <w:lang w:val="en-US" w:eastAsia="zh-CN" w:bidi="ar-SA"/>
              </w:rPr>
              <w:t xml:space="preserve">-9  </w:t>
            </w:r>
            <w:r>
              <w:rPr>
                <w:rFonts w:hint="default" w:ascii="Times New Roman" w:hAnsi="Times New Roman" w:eastAsia="宋体" w:cs="Times New Roman"/>
                <w:b/>
                <w:color w:val="auto"/>
                <w:kern w:val="2"/>
                <w:sz w:val="24"/>
                <w:szCs w:val="24"/>
                <w:highlight w:val="none"/>
              </w:rPr>
              <w:t>本项目的二级活性炭吸附装置的技术性能及参数</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2836"/>
              <w:gridCol w:w="1589"/>
              <w:gridCol w:w="3689"/>
            </w:tblGrid>
            <w:tr w14:paraId="1B49C6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577" w:type="pct"/>
                  <w:tcBorders>
                    <w:tl2br w:val="nil"/>
                    <w:tr2bl w:val="nil"/>
                  </w:tcBorders>
                  <w:noWrap w:val="0"/>
                  <w:vAlign w:val="center"/>
                </w:tcPr>
                <w:p w14:paraId="2F86A19E">
                  <w:pPr>
                    <w:pStyle w:val="37"/>
                    <w:keepNext w:val="0"/>
                    <w:keepLines w:val="0"/>
                    <w:suppressLineNumbers w:val="0"/>
                    <w:spacing w:before="0" w:beforeAutospacing="0" w:after="0" w:afterAutospacing="0"/>
                    <w:ind w:left="0" w:right="0"/>
                    <w:jc w:val="center"/>
                    <w:rPr>
                      <w:rFonts w:hint="default" w:ascii="Times New Roman" w:hAnsi="Times New Roman" w:eastAsia="宋体"/>
                      <w:b/>
                      <w:bCs/>
                      <w:color w:val="auto"/>
                      <w:sz w:val="21"/>
                      <w:szCs w:val="21"/>
                      <w:highlight w:val="none"/>
                    </w:rPr>
                  </w:pPr>
                  <w:r>
                    <w:rPr>
                      <w:rFonts w:hint="default" w:ascii="Times New Roman" w:hAnsi="Times New Roman" w:eastAsia="宋体"/>
                      <w:b/>
                      <w:bCs/>
                      <w:color w:val="auto"/>
                      <w:sz w:val="21"/>
                      <w:szCs w:val="21"/>
                      <w:highlight w:val="none"/>
                    </w:rPr>
                    <w:t>序号</w:t>
                  </w:r>
                </w:p>
              </w:tc>
              <w:tc>
                <w:tcPr>
                  <w:tcW w:w="1545" w:type="pct"/>
                  <w:tcBorders>
                    <w:tl2br w:val="nil"/>
                    <w:tr2bl w:val="nil"/>
                  </w:tcBorders>
                  <w:noWrap w:val="0"/>
                  <w:vAlign w:val="center"/>
                </w:tcPr>
                <w:p w14:paraId="2B16194B">
                  <w:pPr>
                    <w:pStyle w:val="37"/>
                    <w:keepNext w:val="0"/>
                    <w:keepLines w:val="0"/>
                    <w:suppressLineNumbers w:val="0"/>
                    <w:spacing w:before="0" w:beforeAutospacing="0" w:after="0" w:afterAutospacing="0"/>
                    <w:ind w:left="0" w:right="0"/>
                    <w:jc w:val="center"/>
                    <w:rPr>
                      <w:rFonts w:hint="default" w:ascii="Times New Roman" w:hAnsi="Times New Roman" w:eastAsia="宋体"/>
                      <w:b/>
                      <w:bCs/>
                      <w:color w:val="auto"/>
                      <w:sz w:val="21"/>
                      <w:szCs w:val="21"/>
                      <w:highlight w:val="none"/>
                    </w:rPr>
                  </w:pPr>
                  <w:r>
                    <w:rPr>
                      <w:rFonts w:hint="default" w:ascii="Times New Roman" w:hAnsi="Times New Roman" w:eastAsia="宋体"/>
                      <w:b/>
                      <w:bCs/>
                      <w:color w:val="auto"/>
                      <w:sz w:val="21"/>
                      <w:szCs w:val="21"/>
                      <w:highlight w:val="none"/>
                    </w:rPr>
                    <w:t>项目</w:t>
                  </w:r>
                </w:p>
              </w:tc>
              <w:tc>
                <w:tcPr>
                  <w:tcW w:w="866" w:type="pct"/>
                  <w:tcBorders>
                    <w:tl2br w:val="nil"/>
                    <w:tr2bl w:val="nil"/>
                  </w:tcBorders>
                  <w:noWrap w:val="0"/>
                  <w:vAlign w:val="center"/>
                </w:tcPr>
                <w:p w14:paraId="3B119E41">
                  <w:pPr>
                    <w:pStyle w:val="37"/>
                    <w:keepNext w:val="0"/>
                    <w:keepLines w:val="0"/>
                    <w:suppressLineNumbers w:val="0"/>
                    <w:spacing w:before="0" w:beforeAutospacing="0" w:after="0" w:afterAutospacing="0"/>
                    <w:ind w:left="0" w:right="0"/>
                    <w:jc w:val="center"/>
                    <w:rPr>
                      <w:rFonts w:hint="eastAsia"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单位</w:t>
                  </w:r>
                </w:p>
              </w:tc>
              <w:tc>
                <w:tcPr>
                  <w:tcW w:w="2010" w:type="pct"/>
                  <w:tcBorders>
                    <w:tl2br w:val="nil"/>
                    <w:tr2bl w:val="nil"/>
                  </w:tcBorders>
                  <w:noWrap w:val="0"/>
                  <w:vAlign w:val="center"/>
                </w:tcPr>
                <w:p w14:paraId="19EF1E45">
                  <w:pPr>
                    <w:keepNext w:val="0"/>
                    <w:keepLines w:val="0"/>
                    <w:suppressLineNumbers w:val="0"/>
                    <w:spacing w:before="0" w:beforeAutospacing="0" w:after="0" w:afterAutospacing="0"/>
                    <w:ind w:left="0" w:right="0"/>
                    <w:jc w:val="center"/>
                    <w:rPr>
                      <w:rFonts w:hint="default" w:ascii="Times New Roman" w:hAnsi="Times New Roman" w:eastAsia="宋体"/>
                      <w:b/>
                      <w:bCs/>
                      <w:color w:val="auto"/>
                      <w:sz w:val="21"/>
                      <w:szCs w:val="21"/>
                      <w:highlight w:val="none"/>
                      <w:lang w:val="en-US" w:eastAsia="zh-CN"/>
                    </w:rPr>
                  </w:pPr>
                  <w:r>
                    <w:rPr>
                      <w:rFonts w:hint="eastAsia"/>
                      <w:b/>
                      <w:bCs/>
                      <w:color w:val="auto"/>
                      <w:sz w:val="21"/>
                      <w:szCs w:val="21"/>
                      <w:highlight w:val="none"/>
                      <w:lang w:val="en-US" w:eastAsia="zh-CN"/>
                    </w:rPr>
                    <w:t>本项目采用的二级活性炭吸附装置</w:t>
                  </w:r>
                </w:p>
              </w:tc>
            </w:tr>
            <w:tr w14:paraId="103C9B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577" w:type="pct"/>
                  <w:tcBorders>
                    <w:tl2br w:val="nil"/>
                    <w:tr2bl w:val="nil"/>
                  </w:tcBorders>
                  <w:noWrap w:val="0"/>
                  <w:vAlign w:val="center"/>
                </w:tcPr>
                <w:p w14:paraId="6EECDCC1">
                  <w:pPr>
                    <w:pStyle w:val="37"/>
                    <w:keepNext w:val="0"/>
                    <w:keepLines w:val="0"/>
                    <w:suppressLineNumbers w:val="0"/>
                    <w:spacing w:before="0" w:beforeAutospacing="0" w:after="0" w:afterAutospacing="0"/>
                    <w:ind w:left="0" w:right="0"/>
                    <w:jc w:val="center"/>
                    <w:rPr>
                      <w:rFonts w:hint="default"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1</w:t>
                  </w:r>
                </w:p>
              </w:tc>
              <w:tc>
                <w:tcPr>
                  <w:tcW w:w="1545" w:type="pct"/>
                  <w:tcBorders>
                    <w:tl2br w:val="nil"/>
                    <w:tr2bl w:val="nil"/>
                  </w:tcBorders>
                  <w:noWrap w:val="0"/>
                  <w:vAlign w:val="center"/>
                </w:tcPr>
                <w:p w14:paraId="3EF5A5D5">
                  <w:pPr>
                    <w:pStyle w:val="37"/>
                    <w:keepNext w:val="0"/>
                    <w:keepLines w:val="0"/>
                    <w:suppressLineNumbers w:val="0"/>
                    <w:spacing w:before="0" w:beforeAutospacing="0" w:after="0" w:afterAutospacing="0"/>
                    <w:ind w:left="0" w:right="0"/>
                    <w:jc w:val="center"/>
                    <w:rPr>
                      <w:rFonts w:hint="eastAsia" w:ascii="Times New Roman" w:hAnsi="Times New Roman" w:eastAsia="宋体"/>
                      <w:b w:val="0"/>
                      <w:bCs w:val="0"/>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处理</w:t>
                  </w:r>
                  <w:r>
                    <w:rPr>
                      <w:rFonts w:hint="default" w:ascii="Times New Roman" w:hAnsi="Times New Roman" w:eastAsia="宋体"/>
                      <w:color w:val="auto"/>
                      <w:sz w:val="21"/>
                      <w:szCs w:val="21"/>
                      <w:highlight w:val="none"/>
                    </w:rPr>
                    <w:t>风量</w:t>
                  </w:r>
                </w:p>
              </w:tc>
              <w:tc>
                <w:tcPr>
                  <w:tcW w:w="866" w:type="pct"/>
                  <w:tcBorders>
                    <w:tl2br w:val="nil"/>
                    <w:tr2bl w:val="nil"/>
                  </w:tcBorders>
                  <w:noWrap w:val="0"/>
                  <w:vAlign w:val="center"/>
                </w:tcPr>
                <w:p w14:paraId="27F2B827">
                  <w:pPr>
                    <w:pStyle w:val="37"/>
                    <w:keepNext w:val="0"/>
                    <w:keepLines w:val="0"/>
                    <w:suppressLineNumbers w:val="0"/>
                    <w:spacing w:before="0" w:beforeAutospacing="0" w:after="0" w:afterAutospacing="0"/>
                    <w:ind w:left="0" w:right="0"/>
                    <w:jc w:val="center"/>
                    <w:rPr>
                      <w:rFonts w:hint="eastAsia" w:ascii="Times New Roman" w:hAnsi="Times New Roman" w:eastAsia="宋体"/>
                      <w:b w:val="0"/>
                      <w:bCs w:val="0"/>
                      <w:color w:val="auto"/>
                      <w:sz w:val="21"/>
                      <w:szCs w:val="21"/>
                      <w:highlight w:val="none"/>
                      <w:lang w:val="en-US" w:eastAsia="zh-CN"/>
                    </w:rPr>
                  </w:pPr>
                  <w:r>
                    <w:rPr>
                      <w:rFonts w:hint="default" w:ascii="Times New Roman" w:hAnsi="Times New Roman" w:eastAsia="宋体"/>
                      <w:color w:val="auto"/>
                      <w:sz w:val="21"/>
                      <w:szCs w:val="21"/>
                      <w:highlight w:val="none"/>
                    </w:rPr>
                    <w:t>m</w:t>
                  </w:r>
                  <w:r>
                    <w:rPr>
                      <w:rFonts w:hint="default" w:ascii="Times New Roman" w:hAnsi="Times New Roman" w:eastAsia="宋体"/>
                      <w:color w:val="auto"/>
                      <w:sz w:val="21"/>
                      <w:szCs w:val="21"/>
                      <w:highlight w:val="none"/>
                      <w:vertAlign w:val="superscript"/>
                    </w:rPr>
                    <w:t>3</w:t>
                  </w:r>
                  <w:r>
                    <w:rPr>
                      <w:rFonts w:hint="default" w:ascii="Times New Roman" w:hAnsi="Times New Roman" w:eastAsia="宋体"/>
                      <w:color w:val="auto"/>
                      <w:sz w:val="21"/>
                      <w:szCs w:val="21"/>
                      <w:highlight w:val="none"/>
                    </w:rPr>
                    <w:t>/h</w:t>
                  </w:r>
                </w:p>
              </w:tc>
              <w:tc>
                <w:tcPr>
                  <w:tcW w:w="2010" w:type="pct"/>
                  <w:tcBorders>
                    <w:tl2br w:val="nil"/>
                    <w:tr2bl w:val="nil"/>
                  </w:tcBorders>
                  <w:noWrap w:val="0"/>
                  <w:vAlign w:val="center"/>
                </w:tcPr>
                <w:p w14:paraId="0A20AFFD">
                  <w:pPr>
                    <w:keepNext w:val="0"/>
                    <w:keepLines w:val="0"/>
                    <w:suppressLineNumbers w:val="0"/>
                    <w:spacing w:before="0" w:beforeAutospacing="0" w:after="0" w:afterAutospacing="0"/>
                    <w:ind w:left="0" w:right="0"/>
                    <w:jc w:val="center"/>
                    <w:rPr>
                      <w:rFonts w:hint="default" w:ascii="Times New Roman" w:hAnsi="Times New Roman"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2600</w:t>
                  </w:r>
                </w:p>
              </w:tc>
            </w:tr>
            <w:tr w14:paraId="7D17ED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577" w:type="pct"/>
                  <w:tcBorders>
                    <w:tl2br w:val="nil"/>
                    <w:tr2bl w:val="nil"/>
                  </w:tcBorders>
                  <w:noWrap w:val="0"/>
                  <w:vAlign w:val="center"/>
                </w:tcPr>
                <w:p w14:paraId="35ED53F3">
                  <w:pPr>
                    <w:pStyle w:val="37"/>
                    <w:keepNext w:val="0"/>
                    <w:keepLines w:val="0"/>
                    <w:suppressLineNumbers w:val="0"/>
                    <w:spacing w:before="0" w:beforeAutospacing="0" w:after="0" w:afterAutospacing="0"/>
                    <w:ind w:left="0" w:right="0"/>
                    <w:jc w:val="center"/>
                    <w:rPr>
                      <w:rFonts w:hint="default"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2</w:t>
                  </w:r>
                </w:p>
              </w:tc>
              <w:tc>
                <w:tcPr>
                  <w:tcW w:w="1545" w:type="pct"/>
                  <w:tcBorders>
                    <w:tl2br w:val="nil"/>
                    <w:tr2bl w:val="nil"/>
                  </w:tcBorders>
                  <w:noWrap w:val="0"/>
                  <w:vAlign w:val="center"/>
                </w:tcPr>
                <w:p w14:paraId="35A4EF12">
                  <w:pPr>
                    <w:pStyle w:val="37"/>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填充种类</w:t>
                  </w:r>
                </w:p>
              </w:tc>
              <w:tc>
                <w:tcPr>
                  <w:tcW w:w="866" w:type="pct"/>
                  <w:tcBorders>
                    <w:tl2br w:val="nil"/>
                    <w:tr2bl w:val="nil"/>
                  </w:tcBorders>
                  <w:noWrap w:val="0"/>
                  <w:vAlign w:val="center"/>
                </w:tcPr>
                <w:p w14:paraId="00FF6625">
                  <w:pPr>
                    <w:pStyle w:val="37"/>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2010" w:type="pct"/>
                  <w:tcBorders>
                    <w:tl2br w:val="nil"/>
                    <w:tr2bl w:val="nil"/>
                  </w:tcBorders>
                  <w:noWrap w:val="0"/>
                  <w:vAlign w:val="center"/>
                </w:tcPr>
                <w:p w14:paraId="468D3EE9">
                  <w:pPr>
                    <w:pStyle w:val="37"/>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颗粒状活性炭</w:t>
                  </w:r>
                </w:p>
              </w:tc>
            </w:tr>
            <w:tr w14:paraId="1741C4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577" w:type="pct"/>
                  <w:tcBorders>
                    <w:tl2br w:val="nil"/>
                    <w:tr2bl w:val="nil"/>
                  </w:tcBorders>
                  <w:noWrap w:val="0"/>
                  <w:vAlign w:val="center"/>
                </w:tcPr>
                <w:p w14:paraId="4C2BAB63">
                  <w:pPr>
                    <w:pStyle w:val="37"/>
                    <w:keepNext w:val="0"/>
                    <w:keepLines w:val="0"/>
                    <w:suppressLineNumbers w:val="0"/>
                    <w:spacing w:before="0" w:beforeAutospacing="0" w:after="0" w:afterAutospacing="0"/>
                    <w:ind w:left="0" w:right="0"/>
                    <w:jc w:val="center"/>
                    <w:rPr>
                      <w:rFonts w:hint="default"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3</w:t>
                  </w:r>
                </w:p>
              </w:tc>
              <w:tc>
                <w:tcPr>
                  <w:tcW w:w="1545" w:type="pct"/>
                  <w:tcBorders>
                    <w:tl2br w:val="nil"/>
                    <w:tr2bl w:val="nil"/>
                  </w:tcBorders>
                  <w:noWrap w:val="0"/>
                  <w:vAlign w:val="center"/>
                </w:tcPr>
                <w:p w14:paraId="4E3E35DC">
                  <w:pPr>
                    <w:pStyle w:val="37"/>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迎风面积</w:t>
                  </w:r>
                </w:p>
              </w:tc>
              <w:tc>
                <w:tcPr>
                  <w:tcW w:w="866" w:type="pct"/>
                  <w:tcBorders>
                    <w:tl2br w:val="nil"/>
                    <w:tr2bl w:val="nil"/>
                  </w:tcBorders>
                  <w:noWrap w:val="0"/>
                  <w:vAlign w:val="center"/>
                </w:tcPr>
                <w:p w14:paraId="6E89665D">
                  <w:pPr>
                    <w:pStyle w:val="37"/>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m</w:t>
                  </w:r>
                  <w:r>
                    <w:rPr>
                      <w:rFonts w:hint="eastAsia" w:ascii="Times New Roman" w:hAnsi="Times New Roman" w:eastAsia="宋体" w:cs="Times New Roman"/>
                      <w:b w:val="0"/>
                      <w:bCs/>
                      <w:color w:val="auto"/>
                      <w:sz w:val="21"/>
                      <w:szCs w:val="21"/>
                      <w:highlight w:val="none"/>
                      <w:vertAlign w:val="superscript"/>
                      <w:lang w:val="en-US" w:eastAsia="zh-CN"/>
                    </w:rPr>
                    <w:t>2</w:t>
                  </w:r>
                </w:p>
              </w:tc>
              <w:tc>
                <w:tcPr>
                  <w:tcW w:w="2010" w:type="pct"/>
                  <w:tcBorders>
                    <w:tl2br w:val="nil"/>
                    <w:tr2bl w:val="nil"/>
                  </w:tcBorders>
                  <w:noWrap w:val="0"/>
                  <w:vAlign w:val="center"/>
                </w:tcPr>
                <w:p w14:paraId="17CE6867">
                  <w:pPr>
                    <w:pStyle w:val="37"/>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1.875</w:t>
                  </w:r>
                </w:p>
              </w:tc>
            </w:tr>
            <w:tr w14:paraId="060806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577" w:type="pct"/>
                  <w:tcBorders>
                    <w:tl2br w:val="nil"/>
                    <w:tr2bl w:val="nil"/>
                  </w:tcBorders>
                  <w:noWrap w:val="0"/>
                  <w:vAlign w:val="center"/>
                </w:tcPr>
                <w:p w14:paraId="242F107F">
                  <w:pPr>
                    <w:pStyle w:val="37"/>
                    <w:keepNext w:val="0"/>
                    <w:keepLines w:val="0"/>
                    <w:suppressLineNumbers w:val="0"/>
                    <w:spacing w:before="0" w:beforeAutospacing="0" w:after="0" w:afterAutospacing="0"/>
                    <w:ind w:left="0" w:right="0"/>
                    <w:jc w:val="center"/>
                    <w:rPr>
                      <w:rFonts w:hint="eastAsia"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4</w:t>
                  </w:r>
                </w:p>
              </w:tc>
              <w:tc>
                <w:tcPr>
                  <w:tcW w:w="1545" w:type="pct"/>
                  <w:tcBorders>
                    <w:tl2br w:val="nil"/>
                    <w:tr2bl w:val="nil"/>
                  </w:tcBorders>
                  <w:noWrap w:val="0"/>
                  <w:vAlign w:val="center"/>
                </w:tcPr>
                <w:p w14:paraId="523E8EAB">
                  <w:pPr>
                    <w:pStyle w:val="37"/>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过滤风速</w:t>
                  </w:r>
                </w:p>
              </w:tc>
              <w:tc>
                <w:tcPr>
                  <w:tcW w:w="866" w:type="pct"/>
                  <w:tcBorders>
                    <w:tl2br w:val="nil"/>
                    <w:tr2bl w:val="nil"/>
                  </w:tcBorders>
                  <w:noWrap w:val="0"/>
                  <w:vAlign w:val="center"/>
                </w:tcPr>
                <w:p w14:paraId="46CBE4E0">
                  <w:pPr>
                    <w:pStyle w:val="37"/>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olor w:val="auto"/>
                      <w:sz w:val="21"/>
                      <w:szCs w:val="21"/>
                      <w:highlight w:val="none"/>
                    </w:rPr>
                  </w:pPr>
                  <w:r>
                    <w:rPr>
                      <w:rFonts w:hint="eastAsia" w:ascii="Times New Roman" w:hAnsi="Times New Roman" w:eastAsia="宋体"/>
                      <w:b w:val="0"/>
                      <w:bCs w:val="0"/>
                      <w:color w:val="auto"/>
                      <w:sz w:val="21"/>
                      <w:szCs w:val="21"/>
                      <w:highlight w:val="none"/>
                      <w:lang w:val="en-US" w:eastAsia="zh-CN"/>
                    </w:rPr>
                    <w:t>m/s</w:t>
                  </w:r>
                </w:p>
              </w:tc>
              <w:tc>
                <w:tcPr>
                  <w:tcW w:w="2010" w:type="pct"/>
                  <w:tcBorders>
                    <w:tl2br w:val="nil"/>
                    <w:tr2bl w:val="nil"/>
                  </w:tcBorders>
                  <w:noWrap w:val="0"/>
                  <w:vAlign w:val="center"/>
                </w:tcPr>
                <w:p w14:paraId="2123716B">
                  <w:pPr>
                    <w:pStyle w:val="37"/>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0.55</w:t>
                  </w:r>
                </w:p>
              </w:tc>
            </w:tr>
            <w:tr w14:paraId="61B5F4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577" w:type="pct"/>
                  <w:tcBorders>
                    <w:tl2br w:val="nil"/>
                    <w:tr2bl w:val="nil"/>
                  </w:tcBorders>
                  <w:noWrap w:val="0"/>
                  <w:vAlign w:val="center"/>
                </w:tcPr>
                <w:p w14:paraId="3AAF9275">
                  <w:pPr>
                    <w:pStyle w:val="37"/>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b w:val="0"/>
                      <w:bCs w:val="0"/>
                      <w:color w:val="auto"/>
                      <w:sz w:val="21"/>
                      <w:szCs w:val="21"/>
                      <w:highlight w:val="none"/>
                      <w:lang w:val="en-US" w:eastAsia="zh-CN"/>
                    </w:rPr>
                    <w:t>5</w:t>
                  </w:r>
                </w:p>
              </w:tc>
              <w:tc>
                <w:tcPr>
                  <w:tcW w:w="1545" w:type="pct"/>
                  <w:tcBorders>
                    <w:tl2br w:val="nil"/>
                    <w:tr2bl w:val="nil"/>
                  </w:tcBorders>
                  <w:shd w:val="clear" w:color="auto" w:fill="auto"/>
                  <w:noWrap w:val="0"/>
                  <w:vAlign w:val="center"/>
                </w:tcPr>
                <w:p w14:paraId="0007508D">
                  <w:pPr>
                    <w:pStyle w:val="37"/>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炭层厚度</w:t>
                  </w:r>
                </w:p>
              </w:tc>
              <w:tc>
                <w:tcPr>
                  <w:tcW w:w="866" w:type="pct"/>
                  <w:tcBorders>
                    <w:tl2br w:val="nil"/>
                    <w:tr2bl w:val="nil"/>
                  </w:tcBorders>
                  <w:shd w:val="clear" w:color="auto" w:fill="auto"/>
                  <w:noWrap w:val="0"/>
                  <w:vAlign w:val="center"/>
                </w:tcPr>
                <w:p w14:paraId="13D6B37C">
                  <w:pPr>
                    <w:pStyle w:val="37"/>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mm</w:t>
                  </w:r>
                </w:p>
              </w:tc>
              <w:tc>
                <w:tcPr>
                  <w:tcW w:w="2010" w:type="pct"/>
                  <w:tcBorders>
                    <w:tl2br w:val="nil"/>
                    <w:tr2bl w:val="nil"/>
                  </w:tcBorders>
                  <w:shd w:val="clear" w:color="auto" w:fill="auto"/>
                  <w:noWrap w:val="0"/>
                  <w:vAlign w:val="center"/>
                </w:tcPr>
                <w:p w14:paraId="7298135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0.4</w:t>
                  </w:r>
                </w:p>
              </w:tc>
            </w:tr>
            <w:tr w14:paraId="23FD27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577" w:type="pct"/>
                  <w:tcBorders>
                    <w:tl2br w:val="nil"/>
                    <w:tr2bl w:val="nil"/>
                  </w:tcBorders>
                  <w:noWrap w:val="0"/>
                  <w:vAlign w:val="center"/>
                </w:tcPr>
                <w:p w14:paraId="3532A736">
                  <w:pPr>
                    <w:pStyle w:val="37"/>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w:t>
                  </w:r>
                </w:p>
              </w:tc>
              <w:tc>
                <w:tcPr>
                  <w:tcW w:w="1545" w:type="pct"/>
                  <w:tcBorders>
                    <w:tl2br w:val="nil"/>
                    <w:tr2bl w:val="nil"/>
                  </w:tcBorders>
                  <w:shd w:val="clear" w:color="auto" w:fill="auto"/>
                  <w:noWrap w:val="0"/>
                  <w:vAlign w:val="center"/>
                </w:tcPr>
                <w:p w14:paraId="3C77D2E9">
                  <w:pPr>
                    <w:pStyle w:val="37"/>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碘值</w:t>
                  </w:r>
                </w:p>
              </w:tc>
              <w:tc>
                <w:tcPr>
                  <w:tcW w:w="866" w:type="pct"/>
                  <w:tcBorders>
                    <w:tl2br w:val="nil"/>
                    <w:tr2bl w:val="nil"/>
                  </w:tcBorders>
                  <w:shd w:val="clear" w:color="auto" w:fill="auto"/>
                  <w:noWrap w:val="0"/>
                  <w:vAlign w:val="center"/>
                </w:tcPr>
                <w:p w14:paraId="07744AC7">
                  <w:pPr>
                    <w:pStyle w:val="37"/>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mg/g</w:t>
                  </w:r>
                </w:p>
              </w:tc>
              <w:tc>
                <w:tcPr>
                  <w:tcW w:w="2010" w:type="pct"/>
                  <w:tcBorders>
                    <w:tl2br w:val="nil"/>
                    <w:tr2bl w:val="nil"/>
                  </w:tcBorders>
                  <w:shd w:val="clear" w:color="auto" w:fill="auto"/>
                  <w:noWrap w:val="0"/>
                  <w:vAlign w:val="center"/>
                </w:tcPr>
                <w:p w14:paraId="30E522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800</w:t>
                  </w:r>
                </w:p>
              </w:tc>
            </w:tr>
            <w:tr w14:paraId="2A277C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577" w:type="pct"/>
                  <w:tcBorders>
                    <w:tl2br w:val="nil"/>
                    <w:tr2bl w:val="nil"/>
                  </w:tcBorders>
                  <w:noWrap w:val="0"/>
                  <w:vAlign w:val="center"/>
                </w:tcPr>
                <w:p w14:paraId="5A2B3D33">
                  <w:pPr>
                    <w:pStyle w:val="37"/>
                    <w:keepNext w:val="0"/>
                    <w:keepLines w:val="0"/>
                    <w:suppressLineNumbers w:val="0"/>
                    <w:spacing w:before="0" w:beforeAutospacing="0" w:after="0" w:afterAutospacing="0"/>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7</w:t>
                  </w:r>
                </w:p>
              </w:tc>
              <w:tc>
                <w:tcPr>
                  <w:tcW w:w="1545" w:type="pct"/>
                  <w:tcBorders>
                    <w:tl2br w:val="nil"/>
                    <w:tr2bl w:val="nil"/>
                  </w:tcBorders>
                  <w:shd w:val="clear" w:color="auto" w:fill="auto"/>
                  <w:noWrap w:val="0"/>
                  <w:vAlign w:val="center"/>
                </w:tcPr>
                <w:p w14:paraId="2AD07206">
                  <w:pPr>
                    <w:pStyle w:val="37"/>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柱状颗粒活性炭填充量</w:t>
                  </w:r>
                </w:p>
              </w:tc>
              <w:tc>
                <w:tcPr>
                  <w:tcW w:w="866" w:type="pct"/>
                  <w:tcBorders>
                    <w:tl2br w:val="nil"/>
                    <w:tr2bl w:val="nil"/>
                  </w:tcBorders>
                  <w:shd w:val="clear" w:color="auto" w:fill="auto"/>
                  <w:noWrap w:val="0"/>
                  <w:vAlign w:val="center"/>
                </w:tcPr>
                <w:p w14:paraId="6F1BAD22">
                  <w:pPr>
                    <w:pStyle w:val="37"/>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t</w:t>
                  </w:r>
                </w:p>
              </w:tc>
              <w:tc>
                <w:tcPr>
                  <w:tcW w:w="2010" w:type="pct"/>
                  <w:tcBorders>
                    <w:tl2br w:val="nil"/>
                    <w:tr2bl w:val="nil"/>
                  </w:tcBorders>
                  <w:shd w:val="clear" w:color="auto" w:fill="auto"/>
                  <w:noWrap w:val="0"/>
                  <w:vAlign w:val="center"/>
                </w:tcPr>
                <w:p w14:paraId="0BCA28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4.22</w:t>
                  </w:r>
                </w:p>
              </w:tc>
            </w:tr>
          </w:tbl>
          <w:p w14:paraId="38AD2AA5">
            <w:pPr>
              <w:pStyle w:val="34"/>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76" w:firstLineChars="200"/>
              <w:textAlignment w:val="auto"/>
              <w:rPr>
                <w:rFonts w:hint="default" w:ascii="Times New Roman" w:hAnsi="Times New Roman" w:eastAsia="宋体"/>
                <w:color w:val="auto"/>
                <w:spacing w:val="-1"/>
                <w:position w:val="9"/>
                <w:sz w:val="21"/>
                <w:szCs w:val="21"/>
                <w:highlight w:val="none"/>
              </w:rPr>
            </w:pPr>
            <w:r>
              <w:rPr>
                <w:rFonts w:hint="default" w:ascii="Times New Roman" w:hAnsi="Times New Roman" w:eastAsia="宋体" w:cs="宋体"/>
                <w:color w:val="auto"/>
                <w:spacing w:val="-1"/>
                <w:position w:val="1"/>
                <w:sz w:val="24"/>
                <w:szCs w:val="24"/>
                <w:highlight w:val="none"/>
              </w:rPr>
              <w:t>①</w:t>
            </w:r>
            <w:r>
              <w:rPr>
                <w:rFonts w:hint="eastAsia" w:ascii="Times New Roman" w:hAnsi="Times New Roman" w:eastAsia="宋体"/>
                <w:color w:val="auto"/>
                <w:sz w:val="24"/>
                <w:highlight w:val="none"/>
                <w:lang w:val="en-US" w:eastAsia="zh-CN"/>
              </w:rPr>
              <w:t>根据建设单位提供资料，本项目配备</w:t>
            </w:r>
            <w:r>
              <w:rPr>
                <w:rFonts w:hint="eastAsia" w:ascii="Times New Roman" w:hAnsi="Times New Roman" w:eastAsia="宋体" w:cs="宋体"/>
                <w:color w:val="auto"/>
                <w:spacing w:val="-1"/>
                <w:position w:val="1"/>
                <w:sz w:val="24"/>
                <w:szCs w:val="24"/>
                <w:highlight w:val="none"/>
                <w:lang w:val="en-US" w:eastAsia="zh-CN"/>
              </w:rPr>
              <w:t>的颗粒状活性炭</w:t>
            </w:r>
            <w:r>
              <w:rPr>
                <w:rFonts w:hint="default" w:ascii="Times New Roman" w:hAnsi="Times New Roman" w:eastAsia="宋体" w:cs="宋体"/>
                <w:color w:val="auto"/>
                <w:spacing w:val="-1"/>
                <w:position w:val="1"/>
                <w:sz w:val="24"/>
                <w:szCs w:val="24"/>
                <w:highlight w:val="none"/>
              </w:rPr>
              <w:t>单层过滤面积</w:t>
            </w:r>
            <w:r>
              <w:rPr>
                <w:rFonts w:hint="default" w:ascii="Times New Roman" w:hAnsi="Times New Roman" w:eastAsia="宋体"/>
                <w:color w:val="auto"/>
                <w:spacing w:val="-1"/>
                <w:position w:val="1"/>
                <w:sz w:val="24"/>
                <w:szCs w:val="24"/>
                <w:highlight w:val="none"/>
              </w:rPr>
              <w:t>=</w:t>
            </w:r>
            <w:r>
              <w:rPr>
                <w:rFonts w:hint="default" w:ascii="Times New Roman" w:hAnsi="Times New Roman" w:eastAsia="宋体" w:cs="宋体"/>
                <w:color w:val="auto"/>
                <w:spacing w:val="-1"/>
                <w:position w:val="1"/>
                <w:sz w:val="24"/>
                <w:szCs w:val="24"/>
                <w:highlight w:val="none"/>
              </w:rPr>
              <w:t>炭层长度×炭层宽度</w:t>
            </w:r>
            <w:r>
              <w:rPr>
                <w:rFonts w:hint="default" w:ascii="Times New Roman" w:hAnsi="Times New Roman" w:eastAsia="宋体"/>
                <w:color w:val="auto"/>
                <w:spacing w:val="-1"/>
                <w:position w:val="1"/>
                <w:sz w:val="24"/>
                <w:szCs w:val="24"/>
                <w:highlight w:val="none"/>
              </w:rPr>
              <w:t>=</w:t>
            </w:r>
            <w:r>
              <w:rPr>
                <w:rFonts w:hint="eastAsia" w:ascii="Times New Roman" w:hAnsi="Times New Roman" w:eastAsia="宋体"/>
                <w:color w:val="auto"/>
                <w:spacing w:val="-1"/>
                <w:position w:val="1"/>
                <w:sz w:val="24"/>
                <w:szCs w:val="24"/>
                <w:highlight w:val="none"/>
                <w:lang w:val="en-US" w:eastAsia="zh-CN"/>
              </w:rPr>
              <w:t>3.75×0.5</w:t>
            </w:r>
            <w:r>
              <w:rPr>
                <w:rFonts w:hint="default" w:ascii="Times New Roman" w:hAnsi="Times New Roman" w:eastAsia="宋体"/>
                <w:color w:val="auto"/>
                <w:spacing w:val="-1"/>
                <w:position w:val="1"/>
                <w:sz w:val="24"/>
                <w:szCs w:val="24"/>
                <w:highlight w:val="none"/>
              </w:rPr>
              <w:t>=</w:t>
            </w:r>
            <w:r>
              <w:rPr>
                <w:rFonts w:hint="eastAsia" w:ascii="Times New Roman" w:hAnsi="Times New Roman" w:eastAsia="宋体"/>
                <w:color w:val="auto"/>
                <w:spacing w:val="-1"/>
                <w:position w:val="1"/>
                <w:sz w:val="24"/>
                <w:szCs w:val="24"/>
                <w:highlight w:val="none"/>
                <w:lang w:val="en-US" w:eastAsia="zh-CN"/>
              </w:rPr>
              <w:t>1.875</w:t>
            </w:r>
            <w:r>
              <w:rPr>
                <w:rFonts w:hint="default" w:ascii="Times New Roman" w:hAnsi="Times New Roman" w:eastAsia="宋体"/>
                <w:color w:val="auto"/>
                <w:spacing w:val="-1"/>
                <w:position w:val="1"/>
                <w:sz w:val="24"/>
                <w:szCs w:val="24"/>
                <w:highlight w:val="none"/>
              </w:rPr>
              <w:t>m</w:t>
            </w:r>
            <w:r>
              <w:rPr>
                <w:rFonts w:hint="default" w:ascii="Times New Roman" w:hAnsi="Times New Roman" w:eastAsia="宋体"/>
                <w:color w:val="auto"/>
                <w:spacing w:val="-1"/>
                <w:position w:val="9"/>
                <w:sz w:val="21"/>
                <w:szCs w:val="21"/>
                <w:highlight w:val="none"/>
              </w:rPr>
              <w:t>2</w:t>
            </w:r>
          </w:p>
          <w:p w14:paraId="5AABECDC">
            <w:pPr>
              <w:pStyle w:val="34"/>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76" w:firstLineChars="200"/>
              <w:textAlignment w:val="auto"/>
              <w:rPr>
                <w:rFonts w:hint="eastAsia" w:ascii="Times New Roman" w:hAnsi="Times New Roman" w:eastAsia="宋体"/>
                <w:color w:val="auto"/>
                <w:spacing w:val="-30"/>
                <w:sz w:val="24"/>
                <w:szCs w:val="24"/>
                <w:highlight w:val="none"/>
                <w:lang w:eastAsia="zh-CN"/>
              </w:rPr>
            </w:pPr>
            <w:r>
              <w:rPr>
                <w:rFonts w:hint="default" w:ascii="Times New Roman" w:hAnsi="Times New Roman" w:eastAsia="宋体" w:cs="宋体"/>
                <w:color w:val="auto"/>
                <w:spacing w:val="-1"/>
                <w:sz w:val="24"/>
                <w:szCs w:val="24"/>
                <w:highlight w:val="none"/>
              </w:rPr>
              <w:t>②</w:t>
            </w:r>
            <w:r>
              <w:rPr>
                <w:rFonts w:hint="eastAsia" w:ascii="Times New Roman" w:hAnsi="Times New Roman" w:eastAsia="宋体" w:cs="宋体"/>
                <w:color w:val="auto"/>
                <w:spacing w:val="-1"/>
                <w:sz w:val="24"/>
                <w:szCs w:val="24"/>
                <w:highlight w:val="none"/>
                <w:lang w:val="en-US" w:eastAsia="zh-CN"/>
              </w:rPr>
              <w:t>颗粒状活性炭</w:t>
            </w:r>
            <w:r>
              <w:rPr>
                <w:rFonts w:hint="default" w:ascii="Times New Roman" w:hAnsi="Times New Roman" w:eastAsia="宋体" w:cs="宋体"/>
                <w:color w:val="auto"/>
                <w:spacing w:val="-1"/>
                <w:sz w:val="24"/>
                <w:szCs w:val="24"/>
                <w:highlight w:val="none"/>
              </w:rPr>
              <w:t>单层过滤风速</w:t>
            </w:r>
            <w:r>
              <w:rPr>
                <w:rFonts w:hint="default" w:ascii="Times New Roman" w:hAnsi="Times New Roman" w:eastAsia="宋体"/>
                <w:color w:val="auto"/>
                <w:spacing w:val="-1"/>
                <w:sz w:val="24"/>
                <w:szCs w:val="24"/>
                <w:highlight w:val="none"/>
              </w:rPr>
              <w:t>=</w:t>
            </w:r>
            <w:r>
              <w:rPr>
                <w:rFonts w:hint="default" w:ascii="Times New Roman" w:hAnsi="Times New Roman" w:eastAsia="宋体" w:cs="宋体"/>
                <w:color w:val="auto"/>
                <w:spacing w:val="-1"/>
                <w:sz w:val="24"/>
                <w:szCs w:val="24"/>
                <w:highlight w:val="none"/>
              </w:rPr>
              <w:t>废气量÷</w:t>
            </w:r>
            <w:r>
              <w:rPr>
                <w:rFonts w:hint="default" w:ascii="Times New Roman" w:hAnsi="Times New Roman" w:eastAsia="宋体"/>
                <w:color w:val="auto"/>
                <w:spacing w:val="-1"/>
                <w:sz w:val="24"/>
                <w:szCs w:val="24"/>
                <w:highlight w:val="none"/>
              </w:rPr>
              <w:t>3600</w:t>
            </w:r>
            <w:r>
              <w:rPr>
                <w:rFonts w:hint="default" w:ascii="Times New Roman" w:hAnsi="Times New Roman" w:eastAsia="宋体" w:cs="宋体"/>
                <w:color w:val="auto"/>
                <w:spacing w:val="-1"/>
                <w:sz w:val="24"/>
                <w:szCs w:val="24"/>
                <w:highlight w:val="none"/>
              </w:rPr>
              <w:t>÷单层过</w:t>
            </w:r>
            <w:r>
              <w:rPr>
                <w:rFonts w:hint="default" w:ascii="Times New Roman" w:hAnsi="Times New Roman" w:eastAsia="宋体" w:cs="宋体"/>
                <w:color w:val="auto"/>
                <w:spacing w:val="-2"/>
                <w:sz w:val="24"/>
                <w:szCs w:val="24"/>
                <w:highlight w:val="none"/>
              </w:rPr>
              <w:t>滤面积（并联的装置还需乘单级装置中活性炭的装填层数）</w:t>
            </w:r>
            <w:r>
              <w:rPr>
                <w:rFonts w:hint="default" w:ascii="Times New Roman" w:hAnsi="Times New Roman" w:eastAsia="宋体" w:cs="宋体"/>
                <w:color w:val="auto"/>
                <w:spacing w:val="-91"/>
                <w:sz w:val="24"/>
                <w:szCs w:val="24"/>
                <w:highlight w:val="none"/>
              </w:rPr>
              <w:t xml:space="preserve"> </w:t>
            </w:r>
            <w:r>
              <w:rPr>
                <w:rFonts w:hint="default" w:ascii="Times New Roman" w:hAnsi="Times New Roman" w:eastAsia="宋体" w:cs="宋体"/>
                <w:color w:val="auto"/>
                <w:spacing w:val="-2"/>
                <w:sz w:val="24"/>
                <w:szCs w:val="24"/>
                <w:highlight w:val="none"/>
              </w:rPr>
              <w:t>÷孔隙率</w:t>
            </w:r>
            <w:r>
              <w:rPr>
                <w:rFonts w:hint="eastAsia" w:ascii="Times New Roman" w:hAnsi="Times New Roman" w:eastAsia="宋体" w:cs="宋体"/>
                <w:color w:val="auto"/>
                <w:spacing w:val="-2"/>
                <w:sz w:val="24"/>
                <w:szCs w:val="24"/>
                <w:highlight w:val="none"/>
                <w:lang w:eastAsia="zh-CN"/>
              </w:rPr>
              <w:t>（</w:t>
            </w:r>
            <w:r>
              <w:rPr>
                <w:rFonts w:hint="eastAsia" w:ascii="Times New Roman" w:hAnsi="Times New Roman" w:eastAsia="宋体" w:cs="宋体"/>
                <w:color w:val="auto"/>
                <w:spacing w:val="-2"/>
                <w:sz w:val="24"/>
                <w:szCs w:val="24"/>
                <w:highlight w:val="none"/>
                <w:lang w:val="en-US" w:eastAsia="zh-CN"/>
              </w:rPr>
              <w:t>本项目取一般值70%</w:t>
            </w:r>
            <w:r>
              <w:rPr>
                <w:rFonts w:hint="eastAsia" w:ascii="Times New Roman" w:hAnsi="Times New Roman" w:eastAsia="宋体" w:cs="宋体"/>
                <w:color w:val="auto"/>
                <w:spacing w:val="-2"/>
                <w:sz w:val="24"/>
                <w:szCs w:val="24"/>
                <w:highlight w:val="none"/>
                <w:lang w:eastAsia="zh-CN"/>
              </w:rPr>
              <w:t>）</w:t>
            </w:r>
            <w:r>
              <w:rPr>
                <w:rFonts w:hint="default" w:ascii="Times New Roman" w:hAnsi="Times New Roman" w:eastAsia="宋体"/>
                <w:color w:val="auto"/>
                <w:spacing w:val="-2"/>
                <w:sz w:val="24"/>
                <w:szCs w:val="24"/>
                <w:highlight w:val="none"/>
              </w:rPr>
              <w:t>=</w:t>
            </w:r>
            <w:r>
              <w:rPr>
                <w:rFonts w:hint="eastAsia" w:ascii="Times New Roman" w:hAnsi="Times New Roman" w:eastAsia="宋体"/>
                <w:color w:val="auto"/>
                <w:spacing w:val="-2"/>
                <w:sz w:val="24"/>
                <w:szCs w:val="24"/>
                <w:highlight w:val="none"/>
                <w:lang w:val="en-US" w:eastAsia="zh-CN"/>
              </w:rPr>
              <w:t>2600</w:t>
            </w:r>
            <w:r>
              <w:rPr>
                <w:rFonts w:hint="default" w:ascii="Times New Roman" w:hAnsi="Times New Roman" w:eastAsia="宋体" w:cs="宋体"/>
                <w:color w:val="auto"/>
                <w:spacing w:val="-2"/>
                <w:sz w:val="24"/>
                <w:szCs w:val="24"/>
                <w:highlight w:val="none"/>
              </w:rPr>
              <w:t>÷</w:t>
            </w:r>
            <w:r>
              <w:rPr>
                <w:rFonts w:hint="default" w:ascii="Times New Roman" w:hAnsi="Times New Roman" w:eastAsia="宋体"/>
                <w:color w:val="auto"/>
                <w:spacing w:val="-2"/>
                <w:sz w:val="24"/>
                <w:szCs w:val="24"/>
                <w:highlight w:val="none"/>
              </w:rPr>
              <w:t>360</w:t>
            </w:r>
            <w:r>
              <w:rPr>
                <w:rFonts w:hint="default" w:ascii="Times New Roman" w:hAnsi="Times New Roman" w:eastAsia="宋体"/>
                <w:color w:val="auto"/>
                <w:spacing w:val="-3"/>
                <w:sz w:val="24"/>
                <w:szCs w:val="24"/>
                <w:highlight w:val="none"/>
              </w:rPr>
              <w:t>0</w:t>
            </w:r>
            <w:r>
              <w:rPr>
                <w:rFonts w:hint="default" w:ascii="Times New Roman" w:hAnsi="Times New Roman" w:eastAsia="宋体" w:cs="宋体"/>
                <w:color w:val="auto"/>
                <w:spacing w:val="-3"/>
                <w:sz w:val="24"/>
                <w:szCs w:val="24"/>
                <w:highlight w:val="none"/>
              </w:rPr>
              <w:t>÷</w:t>
            </w:r>
            <w:r>
              <w:rPr>
                <w:rFonts w:hint="eastAsia" w:ascii="Times New Roman" w:hAnsi="Times New Roman" w:eastAsia="宋体" w:cs="宋体"/>
                <w:color w:val="auto"/>
                <w:spacing w:val="-3"/>
                <w:sz w:val="24"/>
                <w:szCs w:val="24"/>
                <w:highlight w:val="none"/>
                <w:lang w:val="en-US" w:eastAsia="zh-CN"/>
              </w:rPr>
              <w:t>1.875</w:t>
            </w:r>
            <w:r>
              <w:rPr>
                <w:rFonts w:hint="default" w:ascii="Times New Roman" w:hAnsi="Times New Roman" w:eastAsia="宋体" w:cs="宋体"/>
                <w:color w:val="auto"/>
                <w:spacing w:val="-3"/>
                <w:sz w:val="24"/>
                <w:szCs w:val="24"/>
                <w:highlight w:val="none"/>
              </w:rPr>
              <w:t>÷</w:t>
            </w:r>
            <w:r>
              <w:rPr>
                <w:rFonts w:hint="default" w:ascii="Times New Roman" w:hAnsi="Times New Roman" w:eastAsia="宋体"/>
                <w:color w:val="auto"/>
                <w:spacing w:val="-3"/>
                <w:sz w:val="24"/>
                <w:szCs w:val="24"/>
                <w:highlight w:val="none"/>
              </w:rPr>
              <w:t>7</w:t>
            </w:r>
            <w:r>
              <w:rPr>
                <w:rFonts w:hint="eastAsia" w:ascii="Times New Roman" w:hAnsi="Times New Roman" w:eastAsia="宋体"/>
                <w:color w:val="auto"/>
                <w:spacing w:val="-3"/>
                <w:sz w:val="24"/>
                <w:szCs w:val="24"/>
                <w:highlight w:val="none"/>
                <w:lang w:val="en-US" w:eastAsia="zh-CN"/>
              </w:rPr>
              <w:t>0</w:t>
            </w:r>
            <w:r>
              <w:rPr>
                <w:rFonts w:hint="default" w:ascii="Times New Roman" w:hAnsi="Times New Roman" w:eastAsia="宋体"/>
                <w:color w:val="auto"/>
                <w:spacing w:val="-3"/>
                <w:sz w:val="24"/>
                <w:szCs w:val="24"/>
                <w:highlight w:val="none"/>
              </w:rPr>
              <w:t>%=</w:t>
            </w:r>
            <w:r>
              <w:rPr>
                <w:rFonts w:hint="eastAsia" w:ascii="Times New Roman" w:hAnsi="Times New Roman" w:eastAsia="宋体"/>
                <w:b/>
                <w:bCs/>
                <w:color w:val="auto"/>
                <w:spacing w:val="-3"/>
                <w:sz w:val="24"/>
                <w:szCs w:val="24"/>
                <w:highlight w:val="none"/>
                <w:lang w:val="en-US" w:eastAsia="zh-CN"/>
              </w:rPr>
              <w:t>0.55</w:t>
            </w:r>
            <w:r>
              <w:rPr>
                <w:rFonts w:hint="default" w:ascii="Times New Roman" w:hAnsi="Times New Roman" w:eastAsia="宋体"/>
                <w:b/>
                <w:bCs/>
                <w:color w:val="auto"/>
                <w:spacing w:val="-3"/>
                <w:sz w:val="24"/>
                <w:szCs w:val="24"/>
                <w:highlight w:val="none"/>
              </w:rPr>
              <w:t>m/s</w:t>
            </w:r>
            <w:r>
              <w:rPr>
                <w:rFonts w:hint="default" w:ascii="Times New Roman" w:hAnsi="Times New Roman" w:eastAsia="宋体"/>
                <w:b/>
                <w:bCs/>
                <w:color w:val="auto"/>
                <w:spacing w:val="-30"/>
                <w:sz w:val="24"/>
                <w:szCs w:val="24"/>
                <w:highlight w:val="none"/>
              </w:rPr>
              <w:t xml:space="preserve"> </w:t>
            </w:r>
            <w:r>
              <w:rPr>
                <w:rFonts w:hint="eastAsia" w:ascii="Times New Roman" w:hAnsi="Times New Roman" w:eastAsia="宋体"/>
                <w:b/>
                <w:bCs/>
                <w:color w:val="auto"/>
                <w:spacing w:val="-30"/>
                <w:sz w:val="24"/>
                <w:szCs w:val="24"/>
                <w:highlight w:val="none"/>
                <w:lang w:eastAsia="zh-CN"/>
              </w:rPr>
              <w:t>（</w:t>
            </w:r>
            <w:r>
              <w:rPr>
                <w:rFonts w:hint="eastAsia" w:ascii="Times New Roman" w:hAnsi="Times New Roman" w:eastAsia="宋体"/>
                <w:b/>
                <w:bCs/>
                <w:color w:val="auto"/>
                <w:spacing w:val="0"/>
                <w:sz w:val="24"/>
                <w:szCs w:val="24"/>
                <w:highlight w:val="none"/>
                <w:lang w:val="en-US" w:eastAsia="zh-CN"/>
              </w:rPr>
              <w:t>＜0.6m/s</w:t>
            </w:r>
            <w:r>
              <w:rPr>
                <w:rFonts w:hint="eastAsia" w:ascii="Times New Roman" w:hAnsi="Times New Roman" w:eastAsia="宋体"/>
                <w:b/>
                <w:bCs/>
                <w:color w:val="auto"/>
                <w:spacing w:val="0"/>
                <w:sz w:val="24"/>
                <w:szCs w:val="24"/>
                <w:highlight w:val="none"/>
                <w:lang w:eastAsia="zh-CN"/>
              </w:rPr>
              <w:t>）</w:t>
            </w:r>
            <w:r>
              <w:rPr>
                <w:rFonts w:hint="eastAsia" w:ascii="Times New Roman" w:hAnsi="Times New Roman" w:eastAsia="宋体"/>
                <w:color w:val="auto"/>
                <w:spacing w:val="-30"/>
                <w:sz w:val="24"/>
                <w:szCs w:val="24"/>
                <w:highlight w:val="none"/>
                <w:lang w:eastAsia="zh-CN"/>
              </w:rPr>
              <w:t>；（</w:t>
            </w:r>
            <w:r>
              <w:rPr>
                <w:rFonts w:hint="eastAsia" w:ascii="Times New Roman" w:hAnsi="Times New Roman" w:eastAsia="宋体" w:cs="宋体"/>
                <w:color w:val="auto"/>
                <w:spacing w:val="-3"/>
                <w:sz w:val="24"/>
                <w:szCs w:val="24"/>
                <w:highlight w:val="none"/>
                <w:lang w:val="en-US" w:eastAsia="zh-CN"/>
              </w:rPr>
              <w:t>根据《省生态环境厅关于深入开展涉VOCs治理重点工作核查的通知》苏环办[2022]218号：</w:t>
            </w:r>
            <w:r>
              <w:rPr>
                <w:rFonts w:hint="default" w:ascii="Times New Roman" w:hAnsi="Times New Roman" w:eastAsia="宋体" w:cs="宋体"/>
                <w:color w:val="auto"/>
                <w:spacing w:val="-3"/>
                <w:sz w:val="24"/>
                <w:szCs w:val="24"/>
                <w:highlight w:val="none"/>
              </w:rPr>
              <w:t>采用颗粒</w:t>
            </w:r>
            <w:r>
              <w:rPr>
                <w:rFonts w:hint="eastAsia" w:ascii="Times New Roman" w:hAnsi="Times New Roman" w:eastAsia="宋体" w:cs="宋体"/>
                <w:color w:val="auto"/>
                <w:spacing w:val="-3"/>
                <w:sz w:val="24"/>
                <w:szCs w:val="24"/>
                <w:highlight w:val="none"/>
                <w:lang w:val="en-US" w:eastAsia="zh-CN"/>
              </w:rPr>
              <w:t>活性炭</w:t>
            </w:r>
            <w:r>
              <w:rPr>
                <w:rFonts w:hint="default" w:ascii="Times New Roman" w:hAnsi="Times New Roman" w:eastAsia="宋体" w:cs="宋体"/>
                <w:color w:val="auto"/>
                <w:spacing w:val="-3"/>
                <w:sz w:val="24"/>
                <w:szCs w:val="24"/>
                <w:highlight w:val="none"/>
              </w:rPr>
              <w:t>时，</w:t>
            </w:r>
            <w:r>
              <w:rPr>
                <w:rFonts w:hint="default" w:ascii="Times New Roman" w:hAnsi="Times New Roman" w:eastAsia="宋体" w:cs="宋体"/>
                <w:color w:val="auto"/>
                <w:spacing w:val="-6"/>
                <w:sz w:val="24"/>
                <w:szCs w:val="24"/>
                <w:highlight w:val="none"/>
              </w:rPr>
              <w:t>气体流速宜低于</w:t>
            </w:r>
            <w:r>
              <w:rPr>
                <w:rFonts w:hint="default" w:ascii="Times New Roman" w:hAnsi="Times New Roman" w:eastAsia="宋体" w:cs="宋体"/>
                <w:color w:val="auto"/>
                <w:spacing w:val="-49"/>
                <w:sz w:val="24"/>
                <w:szCs w:val="24"/>
                <w:highlight w:val="none"/>
              </w:rPr>
              <w:t xml:space="preserve"> </w:t>
            </w:r>
            <w:r>
              <w:rPr>
                <w:rFonts w:hint="default" w:ascii="Times New Roman" w:hAnsi="Times New Roman" w:eastAsia="宋体"/>
                <w:color w:val="auto"/>
                <w:spacing w:val="-6"/>
                <w:sz w:val="24"/>
                <w:szCs w:val="24"/>
                <w:highlight w:val="none"/>
              </w:rPr>
              <w:t>0.60m/</w:t>
            </w:r>
            <w:r>
              <w:rPr>
                <w:rFonts w:hint="default" w:ascii="Times New Roman" w:hAnsi="Times New Roman" w:eastAsia="宋体"/>
                <w:color w:val="auto"/>
                <w:spacing w:val="-2"/>
                <w:sz w:val="24"/>
                <w:szCs w:val="24"/>
                <w:highlight w:val="none"/>
              </w:rPr>
              <w:t>s</w:t>
            </w:r>
            <w:r>
              <w:rPr>
                <w:rFonts w:hint="eastAsia" w:ascii="Times New Roman" w:hAnsi="Times New Roman" w:eastAsia="宋体"/>
                <w:color w:val="auto"/>
                <w:spacing w:val="-30"/>
                <w:sz w:val="24"/>
                <w:szCs w:val="24"/>
                <w:highlight w:val="none"/>
                <w:lang w:eastAsia="zh-CN"/>
              </w:rPr>
              <w:t>）</w:t>
            </w:r>
          </w:p>
          <w:p w14:paraId="59266E19">
            <w:pPr>
              <w:pStyle w:val="34"/>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Times New Roman" w:hAnsi="Times New Roman" w:eastAsia="宋体"/>
                <w:color w:val="auto"/>
                <w:spacing w:val="0"/>
                <w:sz w:val="24"/>
                <w:szCs w:val="24"/>
                <w:highlight w:val="none"/>
                <w:lang w:eastAsia="zh-CN"/>
              </w:rPr>
            </w:pPr>
            <w:r>
              <w:rPr>
                <w:rFonts w:hint="eastAsia" w:ascii="Times New Roman" w:hAnsi="Times New Roman" w:eastAsia="宋体"/>
                <w:color w:val="auto"/>
                <w:spacing w:val="0"/>
                <w:sz w:val="24"/>
                <w:szCs w:val="24"/>
                <w:highlight w:val="none"/>
                <w:lang w:val="en-US" w:eastAsia="zh-CN"/>
              </w:rPr>
              <w:t>颗粒</w:t>
            </w:r>
            <w:r>
              <w:rPr>
                <w:rFonts w:hint="eastAsia" w:ascii="Times New Roman" w:hAnsi="Times New Roman" w:eastAsia="宋体" w:cs="宋体"/>
                <w:color w:val="auto"/>
                <w:spacing w:val="0"/>
                <w:sz w:val="24"/>
                <w:szCs w:val="24"/>
                <w:highlight w:val="none"/>
                <w:lang w:val="en-US" w:eastAsia="zh-CN"/>
              </w:rPr>
              <w:t>状活性炭</w:t>
            </w:r>
            <w:r>
              <w:rPr>
                <w:rFonts w:hint="default" w:ascii="Times New Roman" w:hAnsi="Times New Roman" w:eastAsia="宋体" w:cs="宋体"/>
                <w:color w:val="auto"/>
                <w:spacing w:val="0"/>
                <w:sz w:val="24"/>
                <w:szCs w:val="24"/>
                <w:highlight w:val="none"/>
              </w:rPr>
              <w:t>单层过滤风速</w:t>
            </w:r>
            <w:r>
              <w:rPr>
                <w:rFonts w:hint="default" w:ascii="Times New Roman" w:hAnsi="Times New Roman" w:eastAsia="宋体"/>
                <w:color w:val="auto"/>
                <w:spacing w:val="0"/>
                <w:sz w:val="24"/>
                <w:szCs w:val="24"/>
                <w:highlight w:val="none"/>
              </w:rPr>
              <w:t>=</w:t>
            </w:r>
            <w:r>
              <w:rPr>
                <w:rFonts w:hint="default" w:ascii="Times New Roman" w:hAnsi="Times New Roman" w:eastAsia="宋体" w:cs="宋体"/>
                <w:color w:val="auto"/>
                <w:spacing w:val="0"/>
                <w:sz w:val="24"/>
                <w:szCs w:val="24"/>
                <w:highlight w:val="none"/>
              </w:rPr>
              <w:t>废气量÷</w:t>
            </w:r>
            <w:r>
              <w:rPr>
                <w:rFonts w:hint="default" w:ascii="Times New Roman" w:hAnsi="Times New Roman" w:eastAsia="宋体"/>
                <w:color w:val="auto"/>
                <w:spacing w:val="0"/>
                <w:sz w:val="24"/>
                <w:szCs w:val="24"/>
                <w:highlight w:val="none"/>
              </w:rPr>
              <w:t>3600</w:t>
            </w:r>
            <w:r>
              <w:rPr>
                <w:rFonts w:hint="default" w:ascii="Times New Roman" w:hAnsi="Times New Roman" w:eastAsia="宋体" w:cs="宋体"/>
                <w:color w:val="auto"/>
                <w:spacing w:val="0"/>
                <w:sz w:val="24"/>
                <w:szCs w:val="24"/>
                <w:highlight w:val="none"/>
              </w:rPr>
              <w:t>÷单层过滤面积（并联的装置还需乘单级装置中活性炭的装填层数） ÷孔隙率</w:t>
            </w:r>
            <w:r>
              <w:rPr>
                <w:rFonts w:hint="eastAsia" w:ascii="Times New Roman" w:hAnsi="Times New Roman" w:eastAsia="宋体" w:cs="宋体"/>
                <w:color w:val="auto"/>
                <w:spacing w:val="0"/>
                <w:sz w:val="24"/>
                <w:szCs w:val="24"/>
                <w:highlight w:val="none"/>
                <w:lang w:eastAsia="zh-CN"/>
              </w:rPr>
              <w:t>（</w:t>
            </w:r>
            <w:r>
              <w:rPr>
                <w:rFonts w:hint="eastAsia" w:ascii="Times New Roman" w:hAnsi="Times New Roman" w:eastAsia="宋体" w:cs="宋体"/>
                <w:color w:val="auto"/>
                <w:spacing w:val="0"/>
                <w:sz w:val="24"/>
                <w:szCs w:val="24"/>
                <w:highlight w:val="none"/>
                <w:lang w:val="en-US" w:eastAsia="zh-CN"/>
              </w:rPr>
              <w:t>本项目取一般值70%</w:t>
            </w:r>
            <w:r>
              <w:rPr>
                <w:rFonts w:hint="eastAsia" w:ascii="Times New Roman" w:hAnsi="Times New Roman" w:eastAsia="宋体" w:cs="宋体"/>
                <w:color w:val="auto"/>
                <w:spacing w:val="0"/>
                <w:sz w:val="24"/>
                <w:szCs w:val="24"/>
                <w:highlight w:val="none"/>
                <w:lang w:eastAsia="zh-CN"/>
              </w:rPr>
              <w:t>）</w:t>
            </w:r>
            <w:r>
              <w:rPr>
                <w:rFonts w:hint="eastAsia" w:ascii="Times New Roman" w:hAnsi="Times New Roman" w:eastAsia="宋体" w:cs="宋体"/>
                <w:color w:val="auto"/>
                <w:spacing w:val="0"/>
                <w:sz w:val="24"/>
                <w:szCs w:val="24"/>
                <w:highlight w:val="none"/>
                <w:lang w:val="en-US" w:eastAsia="zh-CN"/>
              </w:rPr>
              <w:t>=2600</w:t>
            </w:r>
            <w:r>
              <w:rPr>
                <w:rFonts w:hint="default" w:ascii="Times New Roman" w:hAnsi="Times New Roman" w:eastAsia="宋体" w:cs="宋体"/>
                <w:color w:val="auto"/>
                <w:spacing w:val="0"/>
                <w:sz w:val="24"/>
                <w:szCs w:val="24"/>
                <w:highlight w:val="none"/>
              </w:rPr>
              <w:t>÷</w:t>
            </w:r>
            <w:r>
              <w:rPr>
                <w:rFonts w:hint="default" w:ascii="Times New Roman" w:hAnsi="Times New Roman" w:eastAsia="宋体"/>
                <w:color w:val="auto"/>
                <w:spacing w:val="0"/>
                <w:sz w:val="24"/>
                <w:szCs w:val="24"/>
                <w:highlight w:val="none"/>
              </w:rPr>
              <w:t>3600</w:t>
            </w:r>
            <w:r>
              <w:rPr>
                <w:rFonts w:hint="default" w:ascii="Times New Roman" w:hAnsi="Times New Roman" w:eastAsia="宋体" w:cs="宋体"/>
                <w:color w:val="auto"/>
                <w:spacing w:val="0"/>
                <w:sz w:val="24"/>
                <w:szCs w:val="24"/>
                <w:highlight w:val="none"/>
              </w:rPr>
              <w:t>÷（</w:t>
            </w:r>
            <w:r>
              <w:rPr>
                <w:rFonts w:hint="eastAsia" w:ascii="Times New Roman" w:hAnsi="Times New Roman" w:eastAsia="宋体"/>
                <w:color w:val="auto"/>
                <w:spacing w:val="0"/>
                <w:sz w:val="24"/>
                <w:szCs w:val="24"/>
                <w:highlight w:val="none"/>
                <w:lang w:val="en-US" w:eastAsia="zh-CN"/>
              </w:rPr>
              <w:t>1.875</w:t>
            </w:r>
            <w:r>
              <w:rPr>
                <w:rFonts w:hint="default" w:ascii="Times New Roman" w:hAnsi="Times New Roman" w:eastAsia="宋体" w:cs="宋体"/>
                <w:color w:val="auto"/>
                <w:spacing w:val="0"/>
                <w:sz w:val="24"/>
                <w:szCs w:val="24"/>
                <w:highlight w:val="none"/>
              </w:rPr>
              <w:t>×</w:t>
            </w:r>
            <w:r>
              <w:rPr>
                <w:rFonts w:hint="default" w:ascii="Times New Roman" w:hAnsi="Times New Roman" w:eastAsia="宋体"/>
                <w:color w:val="auto"/>
                <w:spacing w:val="0"/>
                <w:sz w:val="24"/>
                <w:szCs w:val="24"/>
                <w:highlight w:val="none"/>
              </w:rPr>
              <w:t>4</w:t>
            </w:r>
            <w:r>
              <w:rPr>
                <w:rFonts w:hint="default" w:ascii="Times New Roman" w:hAnsi="Times New Roman" w:eastAsia="宋体" w:cs="宋体"/>
                <w:color w:val="auto"/>
                <w:spacing w:val="0"/>
                <w:sz w:val="24"/>
                <w:szCs w:val="24"/>
                <w:highlight w:val="none"/>
              </w:rPr>
              <w:t>） ÷</w:t>
            </w:r>
            <w:r>
              <w:rPr>
                <w:rFonts w:hint="default" w:ascii="Times New Roman" w:hAnsi="Times New Roman" w:eastAsia="宋体"/>
                <w:color w:val="auto"/>
                <w:spacing w:val="0"/>
                <w:sz w:val="24"/>
                <w:szCs w:val="24"/>
                <w:highlight w:val="none"/>
              </w:rPr>
              <w:t>7</w:t>
            </w:r>
            <w:r>
              <w:rPr>
                <w:rFonts w:hint="eastAsia" w:ascii="Times New Roman" w:hAnsi="Times New Roman" w:eastAsia="宋体"/>
                <w:color w:val="auto"/>
                <w:spacing w:val="0"/>
                <w:sz w:val="24"/>
                <w:szCs w:val="24"/>
                <w:highlight w:val="none"/>
                <w:lang w:val="en-US" w:eastAsia="zh-CN"/>
              </w:rPr>
              <w:t>0</w:t>
            </w:r>
            <w:r>
              <w:rPr>
                <w:rFonts w:hint="default" w:ascii="Times New Roman" w:hAnsi="Times New Roman" w:eastAsia="宋体"/>
                <w:color w:val="auto"/>
                <w:spacing w:val="0"/>
                <w:sz w:val="24"/>
                <w:szCs w:val="24"/>
                <w:highlight w:val="none"/>
              </w:rPr>
              <w:t>%=</w:t>
            </w:r>
            <w:r>
              <w:rPr>
                <w:rFonts w:hint="eastAsia" w:ascii="Times New Roman" w:hAnsi="Times New Roman" w:eastAsia="宋体"/>
                <w:b/>
                <w:bCs/>
                <w:color w:val="auto"/>
                <w:spacing w:val="0"/>
                <w:sz w:val="24"/>
                <w:szCs w:val="24"/>
                <w:highlight w:val="none"/>
                <w:lang w:val="en-US" w:eastAsia="zh-CN"/>
              </w:rPr>
              <w:t>0.1376</w:t>
            </w:r>
            <w:r>
              <w:rPr>
                <w:rFonts w:hint="default" w:ascii="Times New Roman" w:hAnsi="Times New Roman" w:eastAsia="宋体"/>
                <w:b/>
                <w:bCs/>
                <w:color w:val="auto"/>
                <w:spacing w:val="0"/>
                <w:sz w:val="24"/>
                <w:szCs w:val="24"/>
                <w:highlight w:val="none"/>
              </w:rPr>
              <w:t xml:space="preserve">m/s </w:t>
            </w:r>
            <w:r>
              <w:rPr>
                <w:rFonts w:hint="eastAsia" w:ascii="Times New Roman" w:hAnsi="Times New Roman" w:eastAsia="宋体"/>
                <w:b/>
                <w:bCs/>
                <w:color w:val="auto"/>
                <w:spacing w:val="-30"/>
                <w:sz w:val="24"/>
                <w:szCs w:val="24"/>
                <w:highlight w:val="none"/>
                <w:lang w:eastAsia="zh-CN"/>
              </w:rPr>
              <w:t>（</w:t>
            </w:r>
            <w:r>
              <w:rPr>
                <w:rFonts w:hint="eastAsia" w:ascii="Times New Roman" w:hAnsi="Times New Roman" w:eastAsia="宋体"/>
                <w:b/>
                <w:bCs/>
                <w:color w:val="auto"/>
                <w:spacing w:val="0"/>
                <w:sz w:val="24"/>
                <w:szCs w:val="24"/>
                <w:highlight w:val="none"/>
                <w:lang w:val="en-US" w:eastAsia="zh-CN"/>
              </w:rPr>
              <w:t>＜0.6m/s</w:t>
            </w:r>
            <w:r>
              <w:rPr>
                <w:rFonts w:hint="eastAsia" w:ascii="Times New Roman" w:hAnsi="Times New Roman" w:eastAsia="宋体"/>
                <w:b/>
                <w:bCs/>
                <w:color w:val="auto"/>
                <w:spacing w:val="0"/>
                <w:sz w:val="24"/>
                <w:szCs w:val="24"/>
                <w:highlight w:val="none"/>
                <w:lang w:eastAsia="zh-CN"/>
              </w:rPr>
              <w:t>）</w:t>
            </w:r>
            <w:r>
              <w:rPr>
                <w:rFonts w:hint="eastAsia" w:ascii="Times New Roman" w:hAnsi="Times New Roman" w:eastAsia="宋体"/>
                <w:color w:val="auto"/>
                <w:spacing w:val="0"/>
                <w:sz w:val="24"/>
                <w:szCs w:val="24"/>
                <w:highlight w:val="none"/>
                <w:lang w:eastAsia="zh-CN"/>
              </w:rPr>
              <w:t>；</w:t>
            </w:r>
          </w:p>
          <w:p w14:paraId="348F29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olor w:val="auto"/>
                <w:kern w:val="0"/>
                <w:sz w:val="24"/>
                <w:highlight w:val="none"/>
                <w:lang w:eastAsia="zh-CN"/>
              </w:rPr>
            </w:pPr>
            <w:r>
              <w:rPr>
                <w:rFonts w:hint="default" w:ascii="Times New Roman" w:hAnsi="Times New Roman" w:eastAsia="宋体"/>
                <w:color w:val="auto"/>
                <w:kern w:val="0"/>
                <w:sz w:val="24"/>
                <w:highlight w:val="none"/>
              </w:rPr>
              <w:t>采用活性炭吸附去除有机废气已广泛应用于有机废气的治理工程中，其工艺较为成熟，理论吸附率一般在80%以上，采用两级吸附可达90%以上。</w:t>
            </w:r>
            <w:r>
              <w:rPr>
                <w:rFonts w:hint="eastAsia" w:ascii="Times New Roman" w:hAnsi="Times New Roman" w:eastAsia="宋体"/>
                <w:color w:val="auto"/>
                <w:kern w:val="0"/>
                <w:sz w:val="24"/>
                <w:highlight w:val="none"/>
                <w:lang w:val="en-US" w:eastAsia="zh-CN"/>
              </w:rPr>
              <w:t>本项目建成后，采用的</w:t>
            </w:r>
            <w:r>
              <w:rPr>
                <w:rFonts w:hint="eastAsia" w:ascii="Times New Roman" w:hAnsi="Times New Roman" w:eastAsia="宋体"/>
                <w:color w:val="auto"/>
                <w:kern w:val="0"/>
                <w:sz w:val="24"/>
                <w:highlight w:val="none"/>
                <w:lang w:eastAsia="zh-CN"/>
              </w:rPr>
              <w:t>活性炭吸附装置各参数</w:t>
            </w:r>
            <w:r>
              <w:rPr>
                <w:rFonts w:hint="eastAsia" w:ascii="Times New Roman" w:hAnsi="Times New Roman" w:eastAsia="宋体"/>
                <w:color w:val="auto"/>
                <w:kern w:val="0"/>
                <w:sz w:val="24"/>
                <w:highlight w:val="none"/>
                <w:lang w:val="en-US" w:eastAsia="zh-CN"/>
              </w:rPr>
              <w:t>应符合《吸附法工业有机废气治理工程技术规范》中规定。</w:t>
            </w:r>
          </w:p>
          <w:p w14:paraId="058D56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olor w:val="auto"/>
                <w:kern w:val="0"/>
                <w:sz w:val="24"/>
                <w:highlight w:val="none"/>
              </w:rPr>
              <w:t>根据《无锡科睿坦电子科技有限公司物联网RFID电子标签天线生产项目</w:t>
            </w:r>
            <w:r>
              <w:rPr>
                <w:rFonts w:hint="eastAsia" w:ascii="Times New Roman" w:hAnsi="Times New Roman" w:eastAsia="宋体"/>
                <w:color w:val="auto"/>
                <w:kern w:val="0"/>
                <w:sz w:val="24"/>
                <w:highlight w:val="none"/>
              </w:rPr>
              <w:t>（</w:t>
            </w:r>
            <w:r>
              <w:rPr>
                <w:rFonts w:hint="default" w:ascii="Times New Roman" w:hAnsi="Times New Roman" w:eastAsia="宋体"/>
                <w:color w:val="auto"/>
                <w:kern w:val="0"/>
                <w:sz w:val="24"/>
                <w:highlight w:val="none"/>
              </w:rPr>
              <w:t>年产12亿张物联网RFID电子标签天线搬迁扩建项目</w:t>
            </w:r>
            <w:r>
              <w:rPr>
                <w:rFonts w:hint="eastAsia" w:ascii="Times New Roman" w:hAnsi="Times New Roman" w:eastAsia="宋体"/>
                <w:color w:val="auto"/>
                <w:kern w:val="0"/>
                <w:sz w:val="24"/>
                <w:highlight w:val="none"/>
              </w:rPr>
              <w:t>）</w:t>
            </w:r>
            <w:r>
              <w:rPr>
                <w:rFonts w:hint="default" w:ascii="Times New Roman" w:hAnsi="Times New Roman" w:eastAsia="宋体"/>
                <w:color w:val="auto"/>
                <w:kern w:val="0"/>
                <w:sz w:val="24"/>
                <w:highlight w:val="none"/>
              </w:rPr>
              <w:t>竣工环境保护验收监测报告》的监测数据</w:t>
            </w:r>
            <w:r>
              <w:rPr>
                <w:rFonts w:hint="eastAsia" w:ascii="Times New Roman" w:hAnsi="Times New Roman" w:eastAsia="宋体"/>
                <w:color w:val="auto"/>
                <w:kern w:val="0"/>
                <w:sz w:val="24"/>
                <w:highlight w:val="none"/>
              </w:rPr>
              <w:t>，二级活性炭对有机废气的处理效率在91%~91.3%，因此本项目二级活性炭去除效率以90%计可行。综合可知，本项目产生的有机废气经二级活性炭吸附可达到90%。</w:t>
            </w:r>
          </w:p>
          <w:p w14:paraId="5E876E3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采用活性炭吸附去除有机废气，其工艺较为成熟，废气</w:t>
            </w:r>
            <w:r>
              <w:rPr>
                <w:rFonts w:hint="default" w:ascii="Times New Roman" w:hAnsi="Times New Roman" w:eastAsia="宋体" w:cs="Times New Roman"/>
                <w:color w:val="auto"/>
                <w:sz w:val="24"/>
                <w:lang w:val="en-US" w:eastAsia="zh-CN"/>
              </w:rPr>
              <w:t>管道</w:t>
            </w:r>
            <w:r>
              <w:rPr>
                <w:rFonts w:hint="default" w:ascii="Times New Roman" w:hAnsi="Times New Roman" w:eastAsia="宋体" w:cs="Times New Roman"/>
                <w:color w:val="auto"/>
                <w:sz w:val="24"/>
              </w:rPr>
              <w:t>收集、输送、过程控制参数和活性炭装运、处理</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且该处理工艺为</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排污许可证申请与核发技术规范 铁路、船舶、航空航天和其他运输设备制造业》（HJ1124-2020）</w:t>
            </w:r>
            <w:r>
              <w:rPr>
                <w:rFonts w:hint="eastAsia" w:ascii="Times New Roman" w:hAnsi="Times New Roman" w:eastAsia="宋体" w:cs="Times New Roman"/>
                <w:color w:val="auto"/>
                <w:sz w:val="24"/>
                <w:lang w:eastAsia="zh-CN"/>
              </w:rPr>
              <w:t>表</w:t>
            </w:r>
            <w:r>
              <w:rPr>
                <w:rFonts w:hint="eastAsia" w:ascii="Times New Roman" w:hAnsi="Times New Roman" w:eastAsia="宋体" w:cs="Times New Roman"/>
                <w:color w:val="auto"/>
                <w:sz w:val="24"/>
                <w:lang w:val="en-US" w:eastAsia="zh-CN"/>
              </w:rPr>
              <w:t>8</w:t>
            </w:r>
            <w:r>
              <w:rPr>
                <w:rFonts w:hint="eastAsia" w:ascii="Times New Roman" w:hAnsi="Times New Roman" w:eastAsia="宋体" w:cs="Times New Roman"/>
                <w:color w:val="auto"/>
                <w:sz w:val="24"/>
                <w:lang w:eastAsia="zh-CN"/>
              </w:rPr>
              <w:t>中的可行技术</w:t>
            </w:r>
            <w:r>
              <w:rPr>
                <w:rFonts w:hint="default" w:ascii="Times New Roman" w:hAnsi="Times New Roman" w:eastAsia="宋体" w:cs="Times New Roman"/>
                <w:color w:val="auto"/>
                <w:sz w:val="24"/>
              </w:rPr>
              <w:t>。</w:t>
            </w:r>
          </w:p>
          <w:p w14:paraId="0DEA004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活性炭吸附</w:t>
            </w:r>
            <w:r>
              <w:rPr>
                <w:rFonts w:hint="eastAsia" w:ascii="Times New Roman" w:hAnsi="Times New Roman" w:eastAsia="宋体" w:cs="Times New Roman"/>
                <w:color w:val="auto"/>
                <w:sz w:val="24"/>
              </w:rPr>
              <w:t>装置</w:t>
            </w:r>
            <w:r>
              <w:rPr>
                <w:rFonts w:hint="default" w:ascii="Times New Roman" w:hAnsi="Times New Roman" w:eastAsia="宋体" w:cs="Times New Roman"/>
                <w:color w:val="auto"/>
                <w:sz w:val="24"/>
              </w:rPr>
              <w:t>环境管理要求：</w:t>
            </w:r>
          </w:p>
          <w:p w14:paraId="1AEDBC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highlight w:val="none"/>
              </w:rPr>
              <w:t>当活性炭吸附一定量的废气后，吸附容量开始下降，吸附效率降低，当吸附效率降低到接近尾气浓度排放标准时，需要及时更换活性炭。建设单位应根据要求</w:t>
            </w:r>
            <w:r>
              <w:rPr>
                <w:rFonts w:hint="eastAsia" w:ascii="Times New Roman" w:hAnsi="Times New Roman" w:eastAsia="宋体" w:cs="Times New Roman"/>
                <w:color w:val="auto"/>
                <w:sz w:val="24"/>
                <w:highlight w:val="none"/>
                <w:lang w:eastAsia="zh-CN"/>
              </w:rPr>
              <w:t>及时更换</w:t>
            </w:r>
            <w:r>
              <w:rPr>
                <w:rFonts w:hint="default" w:ascii="Times New Roman" w:hAnsi="Times New Roman" w:eastAsia="宋体" w:cs="Times New Roman"/>
                <w:color w:val="auto"/>
                <w:sz w:val="24"/>
                <w:highlight w:val="none"/>
              </w:rPr>
              <w:t>活性炭，保证其去除效率。活性炭吸附塔进出口风管上设置压差计，以测定经过吸附器的气流压力（压降），从而确定是否需要更换活性炭</w:t>
            </w:r>
            <w:r>
              <w:rPr>
                <w:rFonts w:hint="default" w:ascii="Times New Roman" w:hAnsi="Times New Roman" w:eastAsia="宋体" w:cs="Times New Roman"/>
                <w:color w:val="auto"/>
                <w:highlight w:val="none"/>
              </w:rPr>
              <w:t>。</w:t>
            </w:r>
          </w:p>
          <w:p w14:paraId="7DDC9A91">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b/>
                <w:bCs/>
                <w:color w:val="auto"/>
                <w:sz w:val="24"/>
                <w:szCs w:val="24"/>
                <w:highlight w:val="yellow"/>
                <w:lang w:eastAsia="zh-CN"/>
              </w:rPr>
            </w:pPr>
            <w:r>
              <w:rPr>
                <w:rFonts w:hint="default" w:ascii="Times New Roman" w:hAnsi="Times New Roman" w:eastAsia="宋体" w:cs="Times New Roman"/>
                <w:color w:val="auto"/>
                <w:sz w:val="24"/>
                <w:highlight w:val="none"/>
                <w:lang w:eastAsia="zh-CN"/>
              </w:rPr>
              <w:t>综上所述，</w:t>
            </w:r>
            <w:r>
              <w:rPr>
                <w:rFonts w:hint="default" w:ascii="Times New Roman" w:hAnsi="Times New Roman" w:eastAsia="宋体" w:cs="Times New Roman"/>
                <w:color w:val="auto"/>
                <w:sz w:val="24"/>
                <w:highlight w:val="none"/>
              </w:rPr>
              <w:t>本项目采用的废气防治措施均为</w:t>
            </w:r>
            <w:r>
              <w:rPr>
                <w:rFonts w:hint="default" w:ascii="Times New Roman" w:hAnsi="Times New Roman" w:eastAsia="宋体" w:cs="Times New Roman"/>
                <w:color w:val="auto"/>
                <w:sz w:val="24"/>
                <w:highlight w:val="none"/>
                <w:lang w:val="en-US" w:eastAsia="zh-CN"/>
              </w:rPr>
              <w:t>可行</w:t>
            </w:r>
            <w:r>
              <w:rPr>
                <w:rFonts w:hint="default" w:ascii="Times New Roman" w:hAnsi="Times New Roman" w:eastAsia="宋体" w:cs="Times New Roman"/>
                <w:color w:val="auto"/>
                <w:sz w:val="24"/>
                <w:highlight w:val="none"/>
              </w:rPr>
              <w:t>。</w:t>
            </w:r>
          </w:p>
          <w:p w14:paraId="211A2313">
            <w:pPr>
              <w:keepNext w:val="0"/>
              <w:keepLines w:val="0"/>
              <w:widowControl w:val="0"/>
              <w:suppressLineNumbers w:val="0"/>
              <w:spacing w:before="0" w:beforeAutospacing="0" w:after="120" w:afterAutospacing="0"/>
              <w:ind w:left="0" w:leftChars="0" w:right="0" w:firstLine="482" w:firstLineChars="200"/>
              <w:jc w:val="both"/>
              <w:rPr>
                <w:rFonts w:hint="eastAsia" w:ascii="Times New Roman" w:hAnsi="Times New Roman" w:eastAsia="宋体" w:cs="Times New Roman"/>
                <w:b/>
                <w:bCs/>
                <w:color w:val="auto"/>
                <w:kern w:val="0"/>
                <w:sz w:val="24"/>
                <w:szCs w:val="24"/>
                <w:highlight w:val="none"/>
                <w:lang w:val="en-US" w:eastAsia="zh-CN" w:bidi="ar-SA"/>
              </w:rPr>
            </w:pPr>
            <w:r>
              <w:rPr>
                <w:rFonts w:hint="eastAsia" w:ascii="Times New Roman" w:hAnsi="Times New Roman" w:eastAsia="宋体" w:cs="Times New Roman"/>
                <w:b/>
                <w:bCs/>
                <w:color w:val="auto"/>
                <w:kern w:val="0"/>
                <w:sz w:val="24"/>
                <w:szCs w:val="24"/>
                <w:highlight w:val="none"/>
                <w:lang w:val="en-US" w:eastAsia="zh-CN" w:bidi="ar-SA"/>
              </w:rPr>
              <w:t>（5）排放口基本情况及达标分析</w:t>
            </w:r>
          </w:p>
          <w:p w14:paraId="20B7D69C">
            <w:pPr>
              <w:keepNext w:val="0"/>
              <w:keepLines w:val="0"/>
              <w:widowControl w:val="0"/>
              <w:suppressLineNumbers w:val="0"/>
              <w:spacing w:before="0" w:beforeAutospacing="0" w:after="120" w:afterAutospacing="0"/>
              <w:ind w:left="0" w:leftChars="0" w:right="0" w:firstLine="480" w:firstLineChars="200"/>
              <w:jc w:val="both"/>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本项目建成后，废气排气口基本情况如下表。</w:t>
            </w:r>
          </w:p>
          <w:p w14:paraId="019EDFBA">
            <w:pPr>
              <w:pStyle w:val="47"/>
              <w:keepNext w:val="0"/>
              <w:keepLines w:val="0"/>
              <w:pageBreakBefore w:val="0"/>
              <w:widowControl w:val="0"/>
              <w:numPr>
                <w:ilvl w:val="0"/>
                <w:numId w:val="7"/>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kern w:val="2"/>
                <w:sz w:val="24"/>
                <w:szCs w:val="24"/>
              </w:rPr>
            </w:pPr>
            <w:r>
              <w:rPr>
                <w:rFonts w:hint="default" w:ascii="Times New Roman" w:hAnsi="Times New Roman" w:eastAsia="宋体" w:cs="Times New Roman"/>
                <w:b/>
                <w:color w:val="auto"/>
                <w:kern w:val="2"/>
                <w:sz w:val="24"/>
                <w:szCs w:val="24"/>
              </w:rPr>
              <w:t>废气排放口基本情况表</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562"/>
              <w:gridCol w:w="492"/>
              <w:gridCol w:w="719"/>
              <w:gridCol w:w="696"/>
              <w:gridCol w:w="518"/>
              <w:gridCol w:w="388"/>
              <w:gridCol w:w="485"/>
              <w:gridCol w:w="388"/>
              <w:gridCol w:w="568"/>
              <w:gridCol w:w="1115"/>
              <w:gridCol w:w="926"/>
              <w:gridCol w:w="827"/>
              <w:gridCol w:w="908"/>
              <w:gridCol w:w="585"/>
            </w:tblGrid>
            <w:tr w14:paraId="07DEC3A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69" w:hRule="atLeast"/>
                <w:jc w:val="center"/>
              </w:trPr>
              <w:tc>
                <w:tcPr>
                  <w:tcW w:w="306" w:type="pct"/>
                  <w:vMerge w:val="restart"/>
                  <w:vAlign w:val="center"/>
                </w:tcPr>
                <w:p w14:paraId="2CAB944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b/>
                      <w:bCs/>
                      <w:color w:val="auto"/>
                      <w:szCs w:val="21"/>
                      <w:highlight w:val="none"/>
                    </w:rPr>
                  </w:pPr>
                  <w:r>
                    <w:rPr>
                      <w:rFonts w:hint="default"/>
                      <w:b/>
                      <w:bCs/>
                      <w:color w:val="auto"/>
                      <w:szCs w:val="21"/>
                      <w:highlight w:val="none"/>
                    </w:rPr>
                    <w:t>点源</w:t>
                  </w:r>
                </w:p>
                <w:p w14:paraId="19F9CA1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b/>
                      <w:bCs/>
                      <w:color w:val="auto"/>
                      <w:szCs w:val="21"/>
                      <w:highlight w:val="none"/>
                    </w:rPr>
                  </w:pPr>
                  <w:r>
                    <w:rPr>
                      <w:rFonts w:hint="default"/>
                      <w:b/>
                      <w:bCs/>
                      <w:color w:val="auto"/>
                      <w:szCs w:val="21"/>
                      <w:highlight w:val="none"/>
                    </w:rPr>
                    <w:t>编号</w:t>
                  </w:r>
                </w:p>
              </w:tc>
              <w:tc>
                <w:tcPr>
                  <w:tcW w:w="268" w:type="pct"/>
                  <w:vMerge w:val="restart"/>
                  <w:vAlign w:val="center"/>
                </w:tcPr>
                <w:p w14:paraId="606F25E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b/>
                      <w:bCs/>
                      <w:color w:val="auto"/>
                      <w:szCs w:val="21"/>
                      <w:highlight w:val="none"/>
                    </w:rPr>
                  </w:pPr>
                  <w:r>
                    <w:rPr>
                      <w:rFonts w:hint="default"/>
                      <w:b/>
                      <w:bCs/>
                      <w:color w:val="auto"/>
                      <w:szCs w:val="21"/>
                      <w:highlight w:val="none"/>
                    </w:rPr>
                    <w:t>名称</w:t>
                  </w:r>
                </w:p>
              </w:tc>
              <w:tc>
                <w:tcPr>
                  <w:tcW w:w="770" w:type="pct"/>
                  <w:gridSpan w:val="2"/>
                  <w:vAlign w:val="center"/>
                </w:tcPr>
                <w:p w14:paraId="20C6607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b/>
                      <w:bCs/>
                      <w:color w:val="auto"/>
                      <w:szCs w:val="21"/>
                      <w:highlight w:val="none"/>
                    </w:rPr>
                  </w:pPr>
                  <w:r>
                    <w:rPr>
                      <w:rFonts w:hint="eastAsia"/>
                      <w:b/>
                      <w:bCs/>
                      <w:color w:val="auto"/>
                      <w:szCs w:val="21"/>
                      <w:highlight w:val="none"/>
                    </w:rPr>
                    <w:t>排气筒底部</w:t>
                  </w:r>
                </w:p>
                <w:p w14:paraId="4ABFFFA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b/>
                      <w:bCs/>
                      <w:color w:val="auto"/>
                      <w:szCs w:val="21"/>
                      <w:highlight w:val="none"/>
                    </w:rPr>
                  </w:pPr>
                  <w:r>
                    <w:rPr>
                      <w:rFonts w:hint="eastAsia"/>
                      <w:b/>
                      <w:bCs/>
                      <w:color w:val="auto"/>
                      <w:szCs w:val="21"/>
                      <w:highlight w:val="none"/>
                    </w:rPr>
                    <w:t>中心坐标/°</w:t>
                  </w:r>
                </w:p>
              </w:tc>
              <w:tc>
                <w:tcPr>
                  <w:tcW w:w="282" w:type="pct"/>
                  <w:vMerge w:val="restart"/>
                  <w:vAlign w:val="center"/>
                </w:tcPr>
                <w:p w14:paraId="01B2210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b/>
                      <w:bCs/>
                      <w:color w:val="auto"/>
                      <w:szCs w:val="21"/>
                      <w:highlight w:val="none"/>
                    </w:rPr>
                  </w:pPr>
                  <w:r>
                    <w:rPr>
                      <w:rFonts w:hint="default"/>
                      <w:b/>
                      <w:bCs/>
                      <w:color w:val="auto"/>
                      <w:szCs w:val="21"/>
                      <w:highlight w:val="none"/>
                    </w:rPr>
                    <w:t>排气筒高度</w:t>
                  </w:r>
                  <w:r>
                    <w:rPr>
                      <w:rFonts w:hint="eastAsia"/>
                      <w:b/>
                      <w:bCs/>
                      <w:color w:val="auto"/>
                      <w:szCs w:val="21"/>
                      <w:highlight w:val="none"/>
                    </w:rPr>
                    <w:t>/</w:t>
                  </w:r>
                  <w:r>
                    <w:rPr>
                      <w:rFonts w:hint="default"/>
                      <w:b/>
                      <w:bCs/>
                      <w:color w:val="auto"/>
                      <w:szCs w:val="21"/>
                      <w:highlight w:val="none"/>
                    </w:rPr>
                    <w:t>m</w:t>
                  </w:r>
                </w:p>
              </w:tc>
              <w:tc>
                <w:tcPr>
                  <w:tcW w:w="211" w:type="pct"/>
                  <w:vMerge w:val="restart"/>
                  <w:vAlign w:val="center"/>
                </w:tcPr>
                <w:p w14:paraId="03FDFFE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b/>
                      <w:bCs/>
                      <w:color w:val="auto"/>
                      <w:szCs w:val="21"/>
                      <w:highlight w:val="none"/>
                    </w:rPr>
                  </w:pPr>
                  <w:r>
                    <w:rPr>
                      <w:rFonts w:hint="default"/>
                      <w:b/>
                      <w:bCs/>
                      <w:color w:val="auto"/>
                      <w:szCs w:val="21"/>
                      <w:highlight w:val="none"/>
                    </w:rPr>
                    <w:t>排气筒内径</w:t>
                  </w:r>
                  <w:r>
                    <w:rPr>
                      <w:rFonts w:hint="eastAsia"/>
                      <w:b/>
                      <w:bCs/>
                      <w:color w:val="auto"/>
                      <w:szCs w:val="21"/>
                      <w:highlight w:val="none"/>
                    </w:rPr>
                    <w:t>/</w:t>
                  </w:r>
                  <w:r>
                    <w:rPr>
                      <w:rFonts w:hint="default"/>
                      <w:b/>
                      <w:bCs/>
                      <w:color w:val="auto"/>
                      <w:szCs w:val="21"/>
                      <w:highlight w:val="none"/>
                    </w:rPr>
                    <w:t>m</w:t>
                  </w:r>
                </w:p>
              </w:tc>
              <w:tc>
                <w:tcPr>
                  <w:tcW w:w="264" w:type="pct"/>
                  <w:vMerge w:val="restart"/>
                  <w:vAlign w:val="center"/>
                </w:tcPr>
                <w:p w14:paraId="312514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b/>
                      <w:bCs/>
                      <w:color w:val="auto"/>
                      <w:szCs w:val="21"/>
                      <w:highlight w:val="none"/>
                    </w:rPr>
                  </w:pPr>
                  <w:r>
                    <w:rPr>
                      <w:rFonts w:hint="default"/>
                      <w:b/>
                      <w:bCs/>
                      <w:color w:val="auto"/>
                      <w:szCs w:val="21"/>
                      <w:highlight w:val="none"/>
                    </w:rPr>
                    <w:t>年排放小时数/h</w:t>
                  </w:r>
                </w:p>
              </w:tc>
              <w:tc>
                <w:tcPr>
                  <w:tcW w:w="211" w:type="pct"/>
                  <w:vMerge w:val="restart"/>
                  <w:vAlign w:val="center"/>
                </w:tcPr>
                <w:p w14:paraId="4132EC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烟气</w:t>
                  </w:r>
                </w:p>
                <w:p w14:paraId="6657476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温度/℃</w:t>
                  </w:r>
                </w:p>
              </w:tc>
              <w:tc>
                <w:tcPr>
                  <w:tcW w:w="1420" w:type="pct"/>
                  <w:gridSpan w:val="3"/>
                  <w:vAlign w:val="center"/>
                </w:tcPr>
                <w:p w14:paraId="2125C6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b/>
                      <w:bCs/>
                      <w:color w:val="auto"/>
                      <w:szCs w:val="21"/>
                      <w:highlight w:val="none"/>
                    </w:rPr>
                  </w:pPr>
                  <w:r>
                    <w:rPr>
                      <w:rFonts w:hint="eastAsia"/>
                      <w:b/>
                      <w:bCs/>
                      <w:color w:val="auto"/>
                      <w:szCs w:val="21"/>
                      <w:highlight w:val="none"/>
                    </w:rPr>
                    <w:t>污染物排放情况</w:t>
                  </w:r>
                </w:p>
              </w:tc>
              <w:tc>
                <w:tcPr>
                  <w:tcW w:w="944" w:type="pct"/>
                  <w:gridSpan w:val="2"/>
                  <w:vAlign w:val="center"/>
                </w:tcPr>
                <w:p w14:paraId="7945D88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b/>
                      <w:bCs/>
                      <w:color w:val="auto"/>
                      <w:szCs w:val="21"/>
                      <w:highlight w:val="none"/>
                    </w:rPr>
                  </w:pPr>
                  <w:r>
                    <w:rPr>
                      <w:rFonts w:hint="eastAsia"/>
                      <w:b/>
                      <w:bCs/>
                      <w:color w:val="auto"/>
                      <w:szCs w:val="21"/>
                      <w:highlight w:val="none"/>
                    </w:rPr>
                    <w:t>污染物排放标准</w:t>
                  </w:r>
                </w:p>
              </w:tc>
              <w:tc>
                <w:tcPr>
                  <w:tcW w:w="318" w:type="pct"/>
                  <w:vMerge w:val="restart"/>
                  <w:vAlign w:val="center"/>
                </w:tcPr>
                <w:p w14:paraId="57538F8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b/>
                      <w:bCs/>
                      <w:color w:val="auto"/>
                      <w:szCs w:val="21"/>
                      <w:highlight w:val="none"/>
                    </w:rPr>
                  </w:pPr>
                  <w:r>
                    <w:rPr>
                      <w:rFonts w:hint="eastAsia"/>
                      <w:b/>
                      <w:bCs/>
                      <w:color w:val="auto"/>
                      <w:szCs w:val="21"/>
                      <w:highlight w:val="none"/>
                    </w:rPr>
                    <w:t>排口</w:t>
                  </w:r>
                </w:p>
                <w:p w14:paraId="47FB8D4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b/>
                      <w:bCs/>
                      <w:color w:val="auto"/>
                      <w:szCs w:val="21"/>
                      <w:highlight w:val="none"/>
                    </w:rPr>
                  </w:pPr>
                  <w:r>
                    <w:rPr>
                      <w:rFonts w:hint="eastAsia"/>
                      <w:b/>
                      <w:bCs/>
                      <w:color w:val="auto"/>
                      <w:szCs w:val="21"/>
                      <w:highlight w:val="none"/>
                    </w:rPr>
                    <w:t>类型</w:t>
                  </w:r>
                </w:p>
              </w:tc>
            </w:tr>
            <w:tr w14:paraId="049F3A9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112" w:hRule="atLeast"/>
                <w:jc w:val="center"/>
              </w:trPr>
              <w:tc>
                <w:tcPr>
                  <w:tcW w:w="306" w:type="pct"/>
                  <w:vMerge w:val="continue"/>
                  <w:vAlign w:val="center"/>
                </w:tcPr>
                <w:p w14:paraId="16E31B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rPr>
                      <w:rFonts w:hint="default"/>
                      <w:b/>
                      <w:bCs/>
                      <w:color w:val="auto"/>
                      <w:szCs w:val="21"/>
                      <w:highlight w:val="none"/>
                    </w:rPr>
                  </w:pPr>
                </w:p>
              </w:tc>
              <w:tc>
                <w:tcPr>
                  <w:tcW w:w="268" w:type="pct"/>
                  <w:vMerge w:val="continue"/>
                  <w:vAlign w:val="center"/>
                </w:tcPr>
                <w:p w14:paraId="6616E4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rPr>
                      <w:rFonts w:hint="default"/>
                      <w:b/>
                      <w:bCs/>
                      <w:color w:val="auto"/>
                      <w:szCs w:val="21"/>
                      <w:highlight w:val="none"/>
                    </w:rPr>
                  </w:pPr>
                </w:p>
              </w:tc>
              <w:tc>
                <w:tcPr>
                  <w:tcW w:w="391" w:type="pct"/>
                  <w:vAlign w:val="center"/>
                </w:tcPr>
                <w:p w14:paraId="7F9AE76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b/>
                      <w:bCs/>
                      <w:color w:val="auto"/>
                      <w:szCs w:val="21"/>
                      <w:highlight w:val="none"/>
                    </w:rPr>
                  </w:pPr>
                  <w:r>
                    <w:rPr>
                      <w:rFonts w:hint="eastAsia"/>
                      <w:b/>
                      <w:bCs/>
                      <w:color w:val="auto"/>
                      <w:szCs w:val="21"/>
                      <w:highlight w:val="none"/>
                    </w:rPr>
                    <w:t>X</w:t>
                  </w:r>
                </w:p>
              </w:tc>
              <w:tc>
                <w:tcPr>
                  <w:tcW w:w="379" w:type="pct"/>
                  <w:vAlign w:val="center"/>
                </w:tcPr>
                <w:p w14:paraId="5E2B35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b/>
                      <w:bCs/>
                      <w:color w:val="auto"/>
                      <w:szCs w:val="21"/>
                      <w:highlight w:val="none"/>
                    </w:rPr>
                  </w:pPr>
                  <w:r>
                    <w:rPr>
                      <w:rFonts w:hint="eastAsia"/>
                      <w:b/>
                      <w:bCs/>
                      <w:color w:val="auto"/>
                      <w:szCs w:val="21"/>
                      <w:highlight w:val="none"/>
                    </w:rPr>
                    <w:t>Y</w:t>
                  </w:r>
                </w:p>
              </w:tc>
              <w:tc>
                <w:tcPr>
                  <w:tcW w:w="282" w:type="pct"/>
                  <w:vMerge w:val="continue"/>
                  <w:vAlign w:val="center"/>
                </w:tcPr>
                <w:p w14:paraId="475B58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rPr>
                      <w:rFonts w:hint="default"/>
                      <w:b/>
                      <w:bCs/>
                      <w:color w:val="auto"/>
                      <w:szCs w:val="21"/>
                      <w:highlight w:val="none"/>
                    </w:rPr>
                  </w:pPr>
                </w:p>
              </w:tc>
              <w:tc>
                <w:tcPr>
                  <w:tcW w:w="211" w:type="pct"/>
                  <w:vMerge w:val="continue"/>
                  <w:vAlign w:val="center"/>
                </w:tcPr>
                <w:p w14:paraId="7C0303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rPr>
                      <w:rFonts w:hint="default"/>
                      <w:b/>
                      <w:bCs/>
                      <w:color w:val="auto"/>
                      <w:szCs w:val="21"/>
                      <w:highlight w:val="none"/>
                    </w:rPr>
                  </w:pPr>
                </w:p>
              </w:tc>
              <w:tc>
                <w:tcPr>
                  <w:tcW w:w="264" w:type="pct"/>
                  <w:vMerge w:val="continue"/>
                  <w:vAlign w:val="center"/>
                </w:tcPr>
                <w:p w14:paraId="2FC048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rPr>
                      <w:rFonts w:hint="default"/>
                      <w:b/>
                      <w:bCs/>
                      <w:color w:val="auto"/>
                      <w:szCs w:val="21"/>
                      <w:highlight w:val="none"/>
                    </w:rPr>
                  </w:pPr>
                </w:p>
              </w:tc>
              <w:tc>
                <w:tcPr>
                  <w:tcW w:w="211" w:type="pct"/>
                  <w:vMerge w:val="continue"/>
                  <w:vAlign w:val="center"/>
                </w:tcPr>
                <w:p w14:paraId="62E510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rPr>
                      <w:rFonts w:hint="default" w:ascii="Times New Roman" w:hAnsi="Times New Roman" w:cs="Times New Roman"/>
                      <w:b/>
                      <w:bCs/>
                      <w:color w:val="auto"/>
                      <w:szCs w:val="21"/>
                      <w:highlight w:val="none"/>
                    </w:rPr>
                  </w:pPr>
                </w:p>
              </w:tc>
              <w:tc>
                <w:tcPr>
                  <w:tcW w:w="309" w:type="pct"/>
                  <w:vAlign w:val="center"/>
                </w:tcPr>
                <w:p w14:paraId="02AD62F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b/>
                      <w:bCs/>
                      <w:color w:val="auto"/>
                      <w:szCs w:val="21"/>
                      <w:highlight w:val="none"/>
                    </w:rPr>
                  </w:pPr>
                  <w:r>
                    <w:rPr>
                      <w:rFonts w:hint="default"/>
                      <w:b/>
                      <w:bCs/>
                      <w:color w:val="auto"/>
                      <w:szCs w:val="21"/>
                      <w:highlight w:val="none"/>
                    </w:rPr>
                    <w:t>污染物名称</w:t>
                  </w:r>
                </w:p>
              </w:tc>
              <w:tc>
                <w:tcPr>
                  <w:tcW w:w="607" w:type="pct"/>
                  <w:vAlign w:val="center"/>
                </w:tcPr>
                <w:p w14:paraId="64C62BC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b/>
                      <w:bCs/>
                      <w:color w:val="auto"/>
                      <w:szCs w:val="21"/>
                      <w:highlight w:val="none"/>
                    </w:rPr>
                  </w:pPr>
                  <w:r>
                    <w:rPr>
                      <w:rFonts w:hint="default"/>
                      <w:b/>
                      <w:bCs/>
                      <w:color w:val="auto"/>
                      <w:szCs w:val="21"/>
                      <w:highlight w:val="none"/>
                    </w:rPr>
                    <w:t>排放浓度（mg/m</w:t>
                  </w:r>
                  <w:r>
                    <w:rPr>
                      <w:rFonts w:hint="default"/>
                      <w:b/>
                      <w:bCs/>
                      <w:color w:val="auto"/>
                      <w:szCs w:val="21"/>
                      <w:highlight w:val="none"/>
                      <w:vertAlign w:val="superscript"/>
                    </w:rPr>
                    <w:t>3</w:t>
                  </w:r>
                  <w:r>
                    <w:rPr>
                      <w:rFonts w:hint="default"/>
                      <w:b/>
                      <w:bCs/>
                      <w:color w:val="auto"/>
                      <w:szCs w:val="21"/>
                      <w:highlight w:val="none"/>
                    </w:rPr>
                    <w:t>）</w:t>
                  </w:r>
                </w:p>
              </w:tc>
              <w:tc>
                <w:tcPr>
                  <w:tcW w:w="503" w:type="pct"/>
                  <w:vAlign w:val="center"/>
                </w:tcPr>
                <w:p w14:paraId="1715A1B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b/>
                      <w:bCs/>
                      <w:color w:val="auto"/>
                      <w:szCs w:val="21"/>
                      <w:highlight w:val="none"/>
                    </w:rPr>
                  </w:pPr>
                  <w:r>
                    <w:rPr>
                      <w:rFonts w:hint="default"/>
                      <w:b/>
                      <w:bCs/>
                      <w:color w:val="auto"/>
                      <w:szCs w:val="21"/>
                      <w:highlight w:val="none"/>
                    </w:rPr>
                    <w:t>排放速率（kg/h）</w:t>
                  </w:r>
                </w:p>
              </w:tc>
              <w:tc>
                <w:tcPr>
                  <w:tcW w:w="450" w:type="pct"/>
                  <w:vAlign w:val="center"/>
                </w:tcPr>
                <w:p w14:paraId="26F85A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b/>
                      <w:bCs/>
                      <w:color w:val="auto"/>
                      <w:szCs w:val="21"/>
                      <w:highlight w:val="none"/>
                    </w:rPr>
                  </w:pPr>
                  <w:r>
                    <w:rPr>
                      <w:rFonts w:hint="default"/>
                      <w:b/>
                      <w:bCs/>
                      <w:color w:val="auto"/>
                      <w:szCs w:val="21"/>
                      <w:highlight w:val="none"/>
                    </w:rPr>
                    <w:t>浓度（mg/m</w:t>
                  </w:r>
                  <w:r>
                    <w:rPr>
                      <w:rFonts w:hint="default"/>
                      <w:b/>
                      <w:bCs/>
                      <w:color w:val="auto"/>
                      <w:szCs w:val="21"/>
                      <w:highlight w:val="none"/>
                      <w:vertAlign w:val="superscript"/>
                    </w:rPr>
                    <w:t>3</w:t>
                  </w:r>
                  <w:r>
                    <w:rPr>
                      <w:rFonts w:hint="default"/>
                      <w:b/>
                      <w:bCs/>
                      <w:color w:val="auto"/>
                      <w:szCs w:val="21"/>
                      <w:highlight w:val="none"/>
                    </w:rPr>
                    <w:t>）</w:t>
                  </w:r>
                </w:p>
              </w:tc>
              <w:tc>
                <w:tcPr>
                  <w:tcW w:w="494" w:type="pct"/>
                  <w:vAlign w:val="center"/>
                </w:tcPr>
                <w:p w14:paraId="26C7CBC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b/>
                      <w:bCs/>
                      <w:color w:val="auto"/>
                      <w:szCs w:val="21"/>
                      <w:highlight w:val="none"/>
                    </w:rPr>
                  </w:pPr>
                  <w:r>
                    <w:rPr>
                      <w:rFonts w:hint="eastAsia"/>
                      <w:b/>
                      <w:bCs/>
                      <w:color w:val="auto"/>
                      <w:szCs w:val="21"/>
                      <w:highlight w:val="none"/>
                    </w:rPr>
                    <w:t>速率</w:t>
                  </w:r>
                  <w:r>
                    <w:rPr>
                      <w:rFonts w:hint="default"/>
                      <w:b/>
                      <w:bCs/>
                      <w:color w:val="auto"/>
                      <w:szCs w:val="21"/>
                      <w:highlight w:val="none"/>
                    </w:rPr>
                    <w:t>（kg/h）</w:t>
                  </w:r>
                </w:p>
              </w:tc>
              <w:tc>
                <w:tcPr>
                  <w:tcW w:w="318" w:type="pct"/>
                  <w:vMerge w:val="continue"/>
                  <w:vAlign w:val="center"/>
                </w:tcPr>
                <w:p w14:paraId="5D9086F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b/>
                      <w:bCs/>
                      <w:color w:val="auto"/>
                      <w:szCs w:val="21"/>
                      <w:highlight w:val="none"/>
                    </w:rPr>
                  </w:pPr>
                </w:p>
              </w:tc>
            </w:tr>
            <w:tr w14:paraId="6A4A5A7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6" w:type="pct"/>
                  <w:vMerge w:val="restart"/>
                  <w:vAlign w:val="center"/>
                </w:tcPr>
                <w:p w14:paraId="659CDC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color w:val="auto"/>
                      <w:szCs w:val="21"/>
                      <w:highlight w:val="none"/>
                      <w:lang w:val="en-US"/>
                    </w:rPr>
                  </w:pPr>
                  <w:r>
                    <w:rPr>
                      <w:rFonts w:hint="eastAsia"/>
                      <w:color w:val="auto"/>
                      <w:szCs w:val="21"/>
                      <w:highlight w:val="none"/>
                      <w:lang w:val="en-US" w:eastAsia="zh-CN"/>
                    </w:rPr>
                    <w:t>FQ01</w:t>
                  </w:r>
                </w:p>
              </w:tc>
              <w:tc>
                <w:tcPr>
                  <w:tcW w:w="268" w:type="pct"/>
                  <w:vMerge w:val="restart"/>
                  <w:vAlign w:val="center"/>
                </w:tcPr>
                <w:p w14:paraId="605FABB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color w:val="auto"/>
                      <w:szCs w:val="21"/>
                      <w:highlight w:val="none"/>
                    </w:rPr>
                  </w:pPr>
                  <w:r>
                    <w:rPr>
                      <w:rFonts w:hint="eastAsia"/>
                      <w:color w:val="auto"/>
                      <w:szCs w:val="21"/>
                      <w:highlight w:val="none"/>
                    </w:rPr>
                    <w:t>排气筒</w:t>
                  </w:r>
                </w:p>
              </w:tc>
              <w:tc>
                <w:tcPr>
                  <w:tcW w:w="391" w:type="pct"/>
                  <w:vMerge w:val="restart"/>
                  <w:vAlign w:val="center"/>
                </w:tcPr>
                <w:p w14:paraId="3AB04F9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eastAsia="宋体"/>
                      <w:color w:val="auto"/>
                      <w:szCs w:val="21"/>
                      <w:highlight w:val="none"/>
                      <w:lang w:val="en-US" w:eastAsia="zh-CN"/>
                    </w:rPr>
                  </w:pPr>
                  <w:r>
                    <w:rPr>
                      <w:rFonts w:hint="default" w:eastAsia="宋体"/>
                      <w:color w:val="auto"/>
                      <w:szCs w:val="21"/>
                      <w:highlight w:val="none"/>
                      <w:lang w:val="en-US" w:eastAsia="zh-CN"/>
                    </w:rPr>
                    <w:t>120°21′10.94951″″</w:t>
                  </w:r>
                </w:p>
              </w:tc>
              <w:tc>
                <w:tcPr>
                  <w:tcW w:w="379" w:type="pct"/>
                  <w:vMerge w:val="restart"/>
                  <w:vAlign w:val="center"/>
                </w:tcPr>
                <w:p w14:paraId="21AD449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eastAsia="宋体"/>
                      <w:color w:val="auto"/>
                      <w:szCs w:val="21"/>
                      <w:highlight w:val="none"/>
                      <w:lang w:val="en-US" w:eastAsia="zh-CN"/>
                    </w:rPr>
                  </w:pPr>
                  <w:r>
                    <w:rPr>
                      <w:rFonts w:hint="default" w:eastAsia="宋体"/>
                      <w:color w:val="auto"/>
                      <w:szCs w:val="21"/>
                      <w:highlight w:val="none"/>
                      <w:lang w:val="en-US" w:eastAsia="zh-CN"/>
                    </w:rPr>
                    <w:t>31°30′29.96316</w:t>
                  </w:r>
                </w:p>
              </w:tc>
              <w:tc>
                <w:tcPr>
                  <w:tcW w:w="282" w:type="pct"/>
                  <w:vMerge w:val="restart"/>
                  <w:vAlign w:val="center"/>
                </w:tcPr>
                <w:p w14:paraId="173BDB8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15</w:t>
                  </w:r>
                </w:p>
              </w:tc>
              <w:tc>
                <w:tcPr>
                  <w:tcW w:w="211" w:type="pct"/>
                  <w:vMerge w:val="restart"/>
                  <w:vAlign w:val="center"/>
                </w:tcPr>
                <w:p w14:paraId="1D63300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0.5</w:t>
                  </w:r>
                </w:p>
              </w:tc>
              <w:tc>
                <w:tcPr>
                  <w:tcW w:w="264" w:type="pct"/>
                  <w:vMerge w:val="restart"/>
                  <w:vAlign w:val="center"/>
                </w:tcPr>
                <w:p w14:paraId="7E914E7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2000</w:t>
                  </w:r>
                </w:p>
              </w:tc>
              <w:tc>
                <w:tcPr>
                  <w:tcW w:w="211" w:type="pct"/>
                  <w:vMerge w:val="restart"/>
                  <w:vAlign w:val="center"/>
                </w:tcPr>
                <w:p w14:paraId="229349D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25</w:t>
                  </w:r>
                </w:p>
              </w:tc>
              <w:tc>
                <w:tcPr>
                  <w:tcW w:w="309" w:type="pct"/>
                  <w:vAlign w:val="center"/>
                </w:tcPr>
                <w:p w14:paraId="345F58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非甲烷总烃</w:t>
                  </w:r>
                </w:p>
              </w:tc>
              <w:tc>
                <w:tcPr>
                  <w:tcW w:w="1097" w:type="dxa"/>
                  <w:shd w:val="clear" w:color="auto" w:fill="auto"/>
                  <w:vAlign w:val="center"/>
                </w:tcPr>
                <w:p w14:paraId="20B7D6F8">
                  <w:pPr>
                    <w:keepNext w:val="0"/>
                    <w:keepLines w:val="0"/>
                    <w:suppressLineNumbers w:val="0"/>
                    <w:adjustRightInd w:val="0"/>
                    <w:snapToGrid w:val="0"/>
                    <w:spacing w:before="0" w:beforeAutospacing="0" w:after="0" w:afterAutospacing="0"/>
                    <w:ind w:left="0" w:leftChars="0" w:right="0" w:rightChars="0"/>
                    <w:jc w:val="center"/>
                    <w:rPr>
                      <w:rFonts w:hint="default"/>
                      <w:color w:val="auto"/>
                      <w:sz w:val="21"/>
                      <w:szCs w:val="21"/>
                      <w:highlight w:val="none"/>
                      <w:lang w:val="en-US" w:eastAsia="zh-CN"/>
                    </w:rPr>
                  </w:pPr>
                  <w:r>
                    <w:rPr>
                      <w:rFonts w:hint="default"/>
                      <w:color w:val="auto"/>
                      <w:sz w:val="21"/>
                      <w:szCs w:val="21"/>
                      <w:highlight w:val="none"/>
                      <w:lang w:val="en-US" w:eastAsia="zh-CN"/>
                    </w:rPr>
                    <w:t>0.8758</w:t>
                  </w:r>
                </w:p>
              </w:tc>
              <w:tc>
                <w:tcPr>
                  <w:tcW w:w="908" w:type="dxa"/>
                  <w:shd w:val="clear" w:color="auto" w:fill="auto"/>
                  <w:vAlign w:val="center"/>
                </w:tcPr>
                <w:p w14:paraId="1631DF90">
                  <w:pPr>
                    <w:keepNext w:val="0"/>
                    <w:keepLines w:val="0"/>
                    <w:suppressLineNumbers w:val="0"/>
                    <w:adjustRightInd w:val="0"/>
                    <w:snapToGrid w:val="0"/>
                    <w:spacing w:before="0" w:beforeAutospacing="0" w:after="0" w:afterAutospacing="0"/>
                    <w:ind w:left="0" w:leftChars="0" w:right="0" w:rightChars="0"/>
                    <w:jc w:val="center"/>
                    <w:rPr>
                      <w:rFonts w:hint="default"/>
                      <w:color w:val="auto"/>
                      <w:sz w:val="21"/>
                      <w:szCs w:val="21"/>
                      <w:highlight w:val="none"/>
                      <w:lang w:val="en-US" w:eastAsia="zh-CN"/>
                    </w:rPr>
                  </w:pPr>
                  <w:r>
                    <w:rPr>
                      <w:rFonts w:hint="default"/>
                      <w:color w:val="auto"/>
                      <w:sz w:val="21"/>
                      <w:szCs w:val="21"/>
                      <w:highlight w:val="none"/>
                      <w:lang w:val="en-US" w:eastAsia="zh-CN"/>
                    </w:rPr>
                    <w:t>0.002</w:t>
                  </w:r>
                  <w:r>
                    <w:rPr>
                      <w:rFonts w:hint="eastAsia"/>
                      <w:color w:val="auto"/>
                      <w:sz w:val="21"/>
                      <w:szCs w:val="21"/>
                      <w:highlight w:val="none"/>
                      <w:lang w:val="en-US" w:eastAsia="zh-CN"/>
                    </w:rPr>
                    <w:t>3</w:t>
                  </w:r>
                </w:p>
              </w:tc>
              <w:tc>
                <w:tcPr>
                  <w:tcW w:w="765" w:type="dxa"/>
                  <w:vAlign w:val="center"/>
                </w:tcPr>
                <w:p w14:paraId="0626AE9B">
                  <w:pPr>
                    <w:keepNext w:val="0"/>
                    <w:keepLines w:val="0"/>
                    <w:suppressLineNumbers w:val="0"/>
                    <w:adjustRightInd w:val="0"/>
                    <w:snapToGrid w:val="0"/>
                    <w:spacing w:before="0" w:beforeAutospacing="0" w:after="0" w:afterAutospacing="0"/>
                    <w:ind w:left="0" w:leftChars="0" w:right="0" w:rightChars="0"/>
                    <w:jc w:val="center"/>
                    <w:rPr>
                      <w:rFonts w:hint="default" w:eastAsia="宋体"/>
                      <w:color w:val="auto"/>
                      <w:kern w:val="0"/>
                      <w:szCs w:val="21"/>
                      <w:highlight w:val="none"/>
                      <w:lang w:val="en-US" w:eastAsia="zh-CN" w:bidi="ar"/>
                    </w:rPr>
                  </w:pPr>
                  <w:r>
                    <w:rPr>
                      <w:rFonts w:hint="eastAsia"/>
                      <w:color w:val="auto"/>
                      <w:sz w:val="21"/>
                      <w:szCs w:val="21"/>
                      <w:highlight w:val="none"/>
                      <w:lang w:val="en-US" w:eastAsia="zh-CN"/>
                    </w:rPr>
                    <w:t>60</w:t>
                  </w:r>
                </w:p>
              </w:tc>
              <w:tc>
                <w:tcPr>
                  <w:tcW w:w="840" w:type="dxa"/>
                  <w:vAlign w:val="center"/>
                </w:tcPr>
                <w:p w14:paraId="1357336D">
                  <w:pPr>
                    <w:keepNext w:val="0"/>
                    <w:keepLines w:val="0"/>
                    <w:suppressLineNumbers w:val="0"/>
                    <w:adjustRightInd w:val="0"/>
                    <w:snapToGrid w:val="0"/>
                    <w:spacing w:before="0" w:beforeAutospacing="0" w:after="0" w:afterAutospacing="0"/>
                    <w:ind w:left="0" w:leftChars="0" w:right="0" w:rightChars="0"/>
                    <w:jc w:val="center"/>
                    <w:rPr>
                      <w:rFonts w:hint="default" w:eastAsia="宋体"/>
                      <w:color w:val="auto"/>
                      <w:kern w:val="0"/>
                      <w:szCs w:val="21"/>
                      <w:highlight w:val="none"/>
                      <w:lang w:val="en-US" w:eastAsia="zh-CN" w:bidi="ar"/>
                    </w:rPr>
                  </w:pPr>
                  <w:r>
                    <w:rPr>
                      <w:rFonts w:hint="eastAsia"/>
                      <w:color w:val="auto"/>
                      <w:sz w:val="21"/>
                      <w:szCs w:val="21"/>
                      <w:highlight w:val="none"/>
                      <w:lang w:val="en-US" w:eastAsia="zh-CN"/>
                    </w:rPr>
                    <w:t>2.0</w:t>
                  </w:r>
                </w:p>
              </w:tc>
              <w:tc>
                <w:tcPr>
                  <w:tcW w:w="318" w:type="pct"/>
                  <w:vMerge w:val="restart"/>
                  <w:vAlign w:val="center"/>
                </w:tcPr>
                <w:p w14:paraId="34D6AF7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color w:val="auto"/>
                      <w:kern w:val="0"/>
                      <w:szCs w:val="21"/>
                      <w:highlight w:val="none"/>
                      <w:lang w:bidi="ar"/>
                    </w:rPr>
                  </w:pPr>
                  <w:r>
                    <w:rPr>
                      <w:rFonts w:hint="eastAsia"/>
                      <w:color w:val="auto"/>
                      <w:kern w:val="0"/>
                      <w:szCs w:val="21"/>
                      <w:highlight w:val="none"/>
                      <w:lang w:bidi="ar"/>
                    </w:rPr>
                    <w:t>一般排放口</w:t>
                  </w:r>
                </w:p>
              </w:tc>
            </w:tr>
            <w:tr w14:paraId="570B365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6" w:type="pct"/>
                  <w:vMerge w:val="continue"/>
                  <w:vAlign w:val="center"/>
                </w:tcPr>
                <w:p w14:paraId="03C35C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eastAsia="宋体"/>
                      <w:color w:val="auto"/>
                      <w:szCs w:val="21"/>
                      <w:highlight w:val="none"/>
                      <w:lang w:val="en-US" w:eastAsia="zh-CN"/>
                    </w:rPr>
                  </w:pPr>
                </w:p>
              </w:tc>
              <w:tc>
                <w:tcPr>
                  <w:tcW w:w="268" w:type="pct"/>
                  <w:vMerge w:val="continue"/>
                  <w:vAlign w:val="center"/>
                </w:tcPr>
                <w:p w14:paraId="270D1A4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color w:val="auto"/>
                      <w:szCs w:val="21"/>
                      <w:highlight w:val="none"/>
                    </w:rPr>
                  </w:pPr>
                </w:p>
              </w:tc>
              <w:tc>
                <w:tcPr>
                  <w:tcW w:w="391" w:type="pct"/>
                  <w:vMerge w:val="continue"/>
                  <w:vAlign w:val="center"/>
                </w:tcPr>
                <w:p w14:paraId="783E430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eastAsia="宋体"/>
                      <w:color w:val="auto"/>
                      <w:szCs w:val="21"/>
                      <w:highlight w:val="none"/>
                      <w:lang w:val="en-US" w:eastAsia="zh-CN"/>
                    </w:rPr>
                  </w:pPr>
                </w:p>
              </w:tc>
              <w:tc>
                <w:tcPr>
                  <w:tcW w:w="379" w:type="pct"/>
                  <w:vMerge w:val="continue"/>
                  <w:vAlign w:val="center"/>
                </w:tcPr>
                <w:p w14:paraId="7FF1AD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eastAsia="宋体"/>
                      <w:color w:val="auto"/>
                      <w:szCs w:val="21"/>
                      <w:highlight w:val="none"/>
                      <w:lang w:val="en-US" w:eastAsia="zh-CN"/>
                    </w:rPr>
                  </w:pPr>
                </w:p>
              </w:tc>
              <w:tc>
                <w:tcPr>
                  <w:tcW w:w="282" w:type="pct"/>
                  <w:vMerge w:val="continue"/>
                  <w:vAlign w:val="center"/>
                </w:tcPr>
                <w:p w14:paraId="4786C7A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eastAsia="宋体"/>
                      <w:color w:val="auto"/>
                      <w:szCs w:val="21"/>
                      <w:highlight w:val="none"/>
                      <w:lang w:val="en-US" w:eastAsia="zh-CN"/>
                    </w:rPr>
                  </w:pPr>
                </w:p>
              </w:tc>
              <w:tc>
                <w:tcPr>
                  <w:tcW w:w="211" w:type="pct"/>
                  <w:vMerge w:val="continue"/>
                  <w:vAlign w:val="center"/>
                </w:tcPr>
                <w:p w14:paraId="1879E91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eastAsia="宋体"/>
                      <w:color w:val="auto"/>
                      <w:szCs w:val="21"/>
                      <w:highlight w:val="none"/>
                      <w:lang w:val="en-US" w:eastAsia="zh-CN"/>
                    </w:rPr>
                  </w:pPr>
                </w:p>
              </w:tc>
              <w:tc>
                <w:tcPr>
                  <w:tcW w:w="264" w:type="pct"/>
                  <w:vMerge w:val="continue"/>
                  <w:vAlign w:val="center"/>
                </w:tcPr>
                <w:p w14:paraId="7654B31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eastAsia="宋体"/>
                      <w:color w:val="auto"/>
                      <w:szCs w:val="21"/>
                      <w:highlight w:val="none"/>
                      <w:lang w:val="en-US" w:eastAsia="zh-CN"/>
                    </w:rPr>
                  </w:pPr>
                </w:p>
              </w:tc>
              <w:tc>
                <w:tcPr>
                  <w:tcW w:w="211" w:type="pct"/>
                  <w:vMerge w:val="continue"/>
                  <w:vAlign w:val="center"/>
                </w:tcPr>
                <w:p w14:paraId="6CE1640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eastAsia="宋体"/>
                      <w:color w:val="auto"/>
                      <w:szCs w:val="21"/>
                      <w:highlight w:val="none"/>
                      <w:lang w:val="en-US" w:eastAsia="zh-CN"/>
                    </w:rPr>
                  </w:pPr>
                </w:p>
              </w:tc>
              <w:tc>
                <w:tcPr>
                  <w:tcW w:w="309" w:type="pct"/>
                  <w:vAlign w:val="center"/>
                </w:tcPr>
                <w:p w14:paraId="7B7056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包含甲醇</w:t>
                  </w:r>
                </w:p>
              </w:tc>
              <w:tc>
                <w:tcPr>
                  <w:tcW w:w="1097" w:type="dxa"/>
                  <w:shd w:val="clear" w:color="auto" w:fill="auto"/>
                  <w:vAlign w:val="center"/>
                </w:tcPr>
                <w:p w14:paraId="3FB20A7F">
                  <w:pPr>
                    <w:keepNext w:val="0"/>
                    <w:keepLines w:val="0"/>
                    <w:suppressLineNumbers w:val="0"/>
                    <w:adjustRightInd w:val="0"/>
                    <w:snapToGrid w:val="0"/>
                    <w:spacing w:before="0" w:beforeAutospacing="0" w:after="0" w:afterAutospacing="0"/>
                    <w:ind w:left="0" w:leftChars="0" w:right="0" w:rightChars="0"/>
                    <w:jc w:val="center"/>
                    <w:rPr>
                      <w:rFonts w:hint="default"/>
                      <w:color w:val="auto"/>
                      <w:sz w:val="21"/>
                      <w:szCs w:val="21"/>
                      <w:highlight w:val="none"/>
                      <w:lang w:val="en-US" w:eastAsia="zh-CN"/>
                    </w:rPr>
                  </w:pPr>
                  <w:r>
                    <w:rPr>
                      <w:rFonts w:hint="default"/>
                      <w:color w:val="auto"/>
                      <w:sz w:val="21"/>
                      <w:szCs w:val="21"/>
                      <w:highlight w:val="none"/>
                      <w:lang w:val="en-US" w:eastAsia="zh-CN"/>
                    </w:rPr>
                    <w:t>0.0577</w:t>
                  </w:r>
                </w:p>
              </w:tc>
              <w:tc>
                <w:tcPr>
                  <w:tcW w:w="908" w:type="dxa"/>
                  <w:shd w:val="clear" w:color="auto" w:fill="auto"/>
                  <w:vAlign w:val="center"/>
                </w:tcPr>
                <w:p w14:paraId="34478410">
                  <w:pPr>
                    <w:keepNext w:val="0"/>
                    <w:keepLines w:val="0"/>
                    <w:suppressLineNumbers w:val="0"/>
                    <w:adjustRightInd w:val="0"/>
                    <w:snapToGrid w:val="0"/>
                    <w:spacing w:before="0" w:beforeAutospacing="0" w:after="0" w:afterAutospacing="0"/>
                    <w:ind w:left="0" w:leftChars="0" w:right="0" w:rightChars="0"/>
                    <w:jc w:val="center"/>
                    <w:rPr>
                      <w:rFonts w:hint="default"/>
                      <w:color w:val="auto"/>
                      <w:sz w:val="21"/>
                      <w:szCs w:val="21"/>
                      <w:highlight w:val="none"/>
                      <w:lang w:val="en-US" w:eastAsia="zh-CN"/>
                    </w:rPr>
                  </w:pPr>
                  <w:r>
                    <w:rPr>
                      <w:rFonts w:hint="default"/>
                      <w:color w:val="auto"/>
                      <w:sz w:val="21"/>
                      <w:szCs w:val="21"/>
                      <w:highlight w:val="none"/>
                      <w:lang w:val="en-US" w:eastAsia="zh-CN"/>
                    </w:rPr>
                    <w:t>0.0001</w:t>
                  </w:r>
                  <w:r>
                    <w:rPr>
                      <w:rFonts w:hint="eastAsia"/>
                      <w:color w:val="auto"/>
                      <w:sz w:val="21"/>
                      <w:szCs w:val="21"/>
                      <w:highlight w:val="none"/>
                      <w:lang w:val="en-US" w:eastAsia="zh-CN"/>
                    </w:rPr>
                    <w:t>5</w:t>
                  </w:r>
                </w:p>
              </w:tc>
              <w:tc>
                <w:tcPr>
                  <w:tcW w:w="765" w:type="dxa"/>
                  <w:vAlign w:val="center"/>
                </w:tcPr>
                <w:p w14:paraId="484780A5">
                  <w:pPr>
                    <w:keepNext w:val="0"/>
                    <w:keepLines w:val="0"/>
                    <w:suppressLineNumbers w:val="0"/>
                    <w:adjustRightInd w:val="0"/>
                    <w:snapToGrid w:val="0"/>
                    <w:spacing w:before="0" w:beforeAutospacing="0" w:after="0" w:afterAutospacing="0"/>
                    <w:ind w:left="0" w:leftChars="0" w:right="0" w:rightChars="0"/>
                    <w:jc w:val="center"/>
                    <w:rPr>
                      <w:rFonts w:hint="eastAsia" w:eastAsia="宋体"/>
                      <w:color w:val="auto"/>
                      <w:kern w:val="0"/>
                      <w:szCs w:val="21"/>
                      <w:highlight w:val="none"/>
                      <w:lang w:val="en-US" w:eastAsia="zh-CN" w:bidi="ar"/>
                    </w:rPr>
                  </w:pPr>
                  <w:r>
                    <w:rPr>
                      <w:rFonts w:hint="eastAsia"/>
                      <w:color w:val="auto"/>
                      <w:sz w:val="21"/>
                      <w:szCs w:val="21"/>
                      <w:highlight w:val="none"/>
                      <w:lang w:val="en-US" w:eastAsia="zh-CN"/>
                    </w:rPr>
                    <w:t>50</w:t>
                  </w:r>
                </w:p>
              </w:tc>
              <w:tc>
                <w:tcPr>
                  <w:tcW w:w="840" w:type="dxa"/>
                  <w:vAlign w:val="center"/>
                </w:tcPr>
                <w:p w14:paraId="711807D5">
                  <w:pPr>
                    <w:keepNext w:val="0"/>
                    <w:keepLines w:val="0"/>
                    <w:suppressLineNumbers w:val="0"/>
                    <w:adjustRightInd w:val="0"/>
                    <w:snapToGrid w:val="0"/>
                    <w:spacing w:before="0" w:beforeAutospacing="0" w:after="0" w:afterAutospacing="0"/>
                    <w:ind w:left="0" w:leftChars="0" w:right="0" w:rightChars="0"/>
                    <w:jc w:val="center"/>
                    <w:rPr>
                      <w:rFonts w:hint="default" w:eastAsia="宋体"/>
                      <w:color w:val="auto"/>
                      <w:kern w:val="0"/>
                      <w:szCs w:val="21"/>
                      <w:highlight w:val="none"/>
                      <w:lang w:val="en-US" w:eastAsia="zh-CN" w:bidi="ar"/>
                    </w:rPr>
                  </w:pPr>
                  <w:r>
                    <w:rPr>
                      <w:rFonts w:hint="eastAsia"/>
                      <w:color w:val="auto"/>
                      <w:sz w:val="21"/>
                      <w:szCs w:val="21"/>
                      <w:highlight w:val="none"/>
                      <w:lang w:val="en-US" w:eastAsia="zh-CN"/>
                    </w:rPr>
                    <w:t>3.0</w:t>
                  </w:r>
                </w:p>
              </w:tc>
              <w:tc>
                <w:tcPr>
                  <w:tcW w:w="318" w:type="pct"/>
                  <w:vMerge w:val="continue"/>
                  <w:vAlign w:val="center"/>
                </w:tcPr>
                <w:p w14:paraId="0193AD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color w:val="auto"/>
                      <w:kern w:val="0"/>
                      <w:szCs w:val="21"/>
                      <w:highlight w:val="none"/>
                      <w:lang w:bidi="ar"/>
                    </w:rPr>
                  </w:pPr>
                </w:p>
              </w:tc>
            </w:tr>
          </w:tbl>
          <w:p w14:paraId="78379388">
            <w:pPr>
              <w:pStyle w:val="13"/>
              <w:keepNext w:val="0"/>
              <w:keepLines w:val="0"/>
              <w:pageBreakBefore w:val="0"/>
              <w:widowControl w:val="0"/>
              <w:numPr>
                <w:ilvl w:val="0"/>
                <w:numId w:val="0"/>
              </w:numPr>
              <w:suppressLineNumbers w:val="0"/>
              <w:tabs>
                <w:tab w:val="clear" w:pos="2040"/>
              </w:tabs>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ascii="Times New Roman" w:hAnsi="Times New Roman" w:eastAsia="宋体" w:cs="宋体"/>
                <w:b w:val="0"/>
                <w:bCs w:val="0"/>
                <w:color w:val="auto"/>
                <w:sz w:val="24"/>
                <w:szCs w:val="24"/>
                <w:highlight w:val="none"/>
                <w:lang w:val="en-US" w:eastAsia="zh-CN"/>
              </w:rPr>
            </w:pPr>
            <w:r>
              <w:rPr>
                <w:rFonts w:hint="eastAsia"/>
                <w:b w:val="0"/>
                <w:bCs w:val="0"/>
                <w:color w:val="auto"/>
                <w:sz w:val="24"/>
                <w:highlight w:val="none"/>
                <w:shd w:val="clear" w:color="auto" w:fill="auto"/>
                <w:lang w:eastAsia="zh-CN"/>
              </w:rPr>
              <w:t>由上表可见，</w:t>
            </w:r>
            <w:r>
              <w:rPr>
                <w:rFonts w:hint="eastAsia"/>
                <w:b w:val="0"/>
                <w:bCs w:val="0"/>
                <w:color w:val="auto"/>
                <w:sz w:val="24"/>
                <w:highlight w:val="none"/>
                <w:shd w:val="clear" w:color="auto" w:fill="auto"/>
                <w:lang w:val="en-US" w:eastAsia="zh-CN"/>
              </w:rPr>
              <w:t>FQ01排放的非甲烷总烃（包含甲醇）</w:t>
            </w:r>
            <w:r>
              <w:rPr>
                <w:rFonts w:hint="default" w:ascii="Times New Roman" w:hAnsi="Times New Roman" w:cs="Times New Roman"/>
                <w:color w:val="auto"/>
                <w:sz w:val="24"/>
                <w:szCs w:val="24"/>
                <w:highlight w:val="none"/>
              </w:rPr>
              <w:t>排放浓度</w:t>
            </w:r>
            <w:r>
              <w:rPr>
                <w:rFonts w:hint="eastAsia" w:cs="Times New Roman"/>
                <w:color w:val="auto"/>
                <w:sz w:val="24"/>
                <w:szCs w:val="24"/>
                <w:highlight w:val="none"/>
                <w:lang w:eastAsia="zh-CN"/>
              </w:rPr>
              <w:t>及排放速率</w:t>
            </w:r>
            <w:r>
              <w:rPr>
                <w:rFonts w:hint="eastAsia" w:ascii="宋体" w:hAnsi="宋体" w:eastAsia="宋体"/>
                <w:color w:val="auto"/>
                <w:sz w:val="24"/>
                <w:szCs w:val="24"/>
              </w:rPr>
              <w:t>达到</w:t>
            </w:r>
            <w:r>
              <w:rPr>
                <w:rFonts w:hint="eastAsia" w:ascii="Times New Roman" w:hAnsi="Times New Roman" w:eastAsia="宋体" w:cs="宋体"/>
                <w:b w:val="0"/>
                <w:bCs w:val="0"/>
                <w:color w:val="auto"/>
                <w:sz w:val="24"/>
                <w:szCs w:val="24"/>
                <w:highlight w:val="none"/>
                <w:lang w:val="en-US" w:eastAsia="zh-CN"/>
              </w:rPr>
              <w:t>江苏省《制药工业大气污染物排放标准》（DB32/4042-2021） 表 1、表 2、表 C.1 限值。</w:t>
            </w:r>
          </w:p>
          <w:p w14:paraId="64FD32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宋体"/>
                <w:b w:val="0"/>
                <w:bCs w:val="0"/>
                <w:color w:val="auto"/>
                <w:sz w:val="24"/>
                <w:szCs w:val="24"/>
                <w:highlight w:val="none"/>
                <w:lang w:val="en-US" w:eastAsia="zh-CN"/>
              </w:rPr>
            </w:pPr>
            <w:r>
              <w:rPr>
                <w:rFonts w:hint="eastAsia" w:ascii="Times New Roman" w:hAnsi="Times New Roman" w:eastAsia="宋体" w:cs="Times New Roman"/>
                <w:color w:val="auto"/>
                <w:sz w:val="24"/>
                <w:highlight w:val="none"/>
                <w:lang w:val="en-US" w:eastAsia="zh-CN"/>
              </w:rPr>
              <w:t>同时，企业应加强废气的产生源控制和管理，加强废气收集处理设施的维护和管理，确保厂界非甲烷总烃</w:t>
            </w:r>
            <w:r>
              <w:rPr>
                <w:rFonts w:hint="eastAsia" w:cs="Times New Roman"/>
                <w:color w:val="auto"/>
                <w:sz w:val="24"/>
                <w:highlight w:val="none"/>
                <w:lang w:val="en-US" w:eastAsia="zh-CN"/>
              </w:rPr>
              <w:t>、</w:t>
            </w:r>
            <w:r>
              <w:rPr>
                <w:rFonts w:hint="eastAsia" w:ascii="Times New Roman" w:hAnsi="Times New Roman" w:eastAsia="宋体" w:cs="宋体"/>
                <w:b w:val="0"/>
                <w:bCs w:val="0"/>
                <w:color w:val="auto"/>
                <w:sz w:val="24"/>
                <w:szCs w:val="24"/>
                <w:highlight w:val="none"/>
                <w:lang w:val="en-US" w:eastAsia="zh-CN"/>
              </w:rPr>
              <w:t>甲醇执行江苏省《大气污染物综合排放标准》（DB32/4041-2021）表 3 标准限值。</w:t>
            </w:r>
          </w:p>
          <w:p w14:paraId="0C1E3F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cs="宋体"/>
                <w:b w:val="0"/>
                <w:bCs w:val="0"/>
                <w:color w:val="auto"/>
                <w:sz w:val="24"/>
                <w:szCs w:val="24"/>
                <w:highlight w:val="none"/>
                <w:lang w:val="en-US" w:eastAsia="zh-CN"/>
              </w:rPr>
              <w:t>本项目</w:t>
            </w:r>
            <w:r>
              <w:rPr>
                <w:rFonts w:hint="eastAsia" w:ascii="Times New Roman" w:hAnsi="Times New Roman" w:eastAsia="宋体" w:cs="宋体"/>
                <w:b w:val="0"/>
                <w:bCs w:val="0"/>
                <w:color w:val="auto"/>
                <w:sz w:val="24"/>
                <w:szCs w:val="24"/>
                <w:highlight w:val="none"/>
                <w:lang w:val="en-US" w:eastAsia="zh-CN"/>
              </w:rPr>
              <w:t>厂区内无组织非甲烷总烃排放限值执行</w:t>
            </w:r>
            <w:r>
              <w:rPr>
                <w:rFonts w:hint="eastAsia" w:cs="宋体"/>
                <w:b w:val="0"/>
                <w:bCs w:val="0"/>
                <w:color w:val="auto"/>
                <w:sz w:val="24"/>
                <w:szCs w:val="24"/>
                <w:highlight w:val="none"/>
                <w:lang w:val="en-US" w:eastAsia="zh-CN"/>
              </w:rPr>
              <w:t>江苏省</w:t>
            </w:r>
            <w:r>
              <w:rPr>
                <w:rFonts w:hint="eastAsia" w:ascii="Times New Roman" w:hAnsi="Times New Roman" w:eastAsia="宋体" w:cs="宋体"/>
                <w:b w:val="0"/>
                <w:bCs w:val="0"/>
                <w:color w:val="auto"/>
                <w:sz w:val="24"/>
                <w:szCs w:val="24"/>
                <w:highlight w:val="none"/>
                <w:lang w:val="en-US" w:eastAsia="zh-CN"/>
              </w:rPr>
              <w:t>《制药工业大气污染物排放标准》（DB 32/4042-2021）表 6 限值</w:t>
            </w:r>
            <w:r>
              <w:rPr>
                <w:rFonts w:hint="eastAsia" w:ascii="Times New Roman" w:hAnsi="Times New Roman" w:eastAsia="宋体" w:cs="Times New Roman"/>
                <w:color w:val="auto"/>
                <w:sz w:val="24"/>
                <w:highlight w:val="none"/>
                <w:lang w:val="en-US" w:eastAsia="zh-CN"/>
              </w:rPr>
              <w:t>：NMHC≤6mg/m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（监控点处1h平均浓度）、NMHC≤20mg/m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（监控点处任意一次平均浓度值）。</w:t>
            </w:r>
          </w:p>
          <w:p w14:paraId="45711B79">
            <w:pPr>
              <w:keepNext w:val="0"/>
              <w:keepLines w:val="0"/>
              <w:numPr>
                <w:ilvl w:val="0"/>
                <w:numId w:val="0"/>
              </w:numPr>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kern w:val="2"/>
                <w:sz w:val="24"/>
                <w:szCs w:val="24"/>
                <w:u w:val="none" w:color="auto"/>
                <w:lang w:val="en-US" w:eastAsia="zh-CN" w:bidi="ar-SA"/>
              </w:rPr>
              <w:t>（</w:t>
            </w:r>
            <w:r>
              <w:rPr>
                <w:rFonts w:hint="eastAsia" w:ascii="Times New Roman" w:hAnsi="Times New Roman" w:eastAsia="宋体" w:cs="Times New Roman"/>
                <w:b/>
                <w:bCs/>
                <w:color w:val="auto"/>
                <w:kern w:val="2"/>
                <w:sz w:val="24"/>
                <w:szCs w:val="24"/>
                <w:u w:val="none" w:color="auto"/>
                <w:lang w:val="en-US" w:eastAsia="zh-CN" w:bidi="ar-SA"/>
              </w:rPr>
              <w:t>6</w:t>
            </w:r>
            <w:r>
              <w:rPr>
                <w:rFonts w:hint="default" w:ascii="Times New Roman" w:hAnsi="Times New Roman" w:eastAsia="宋体" w:cs="Times New Roman"/>
                <w:b/>
                <w:bCs/>
                <w:color w:val="auto"/>
                <w:kern w:val="2"/>
                <w:sz w:val="24"/>
                <w:szCs w:val="24"/>
                <w:u w:val="none" w:color="auto"/>
                <w:lang w:val="en-US" w:eastAsia="zh-CN" w:bidi="ar-SA"/>
              </w:rPr>
              <w:t>）</w:t>
            </w:r>
            <w:r>
              <w:rPr>
                <w:rFonts w:hint="default" w:ascii="Times New Roman" w:hAnsi="Times New Roman" w:eastAsia="宋体" w:cs="Times New Roman"/>
                <w:b/>
                <w:bCs/>
                <w:color w:val="auto"/>
                <w:sz w:val="24"/>
                <w:highlight w:val="none"/>
              </w:rPr>
              <w:t>卫生防护距离</w:t>
            </w:r>
          </w:p>
          <w:p w14:paraId="3C3584A1">
            <w:pPr>
              <w:keepNext w:val="0"/>
              <w:keepLines w:val="0"/>
              <w:suppressLineNumbers w:val="0"/>
              <w:snapToGrid w:val="0"/>
              <w:spacing w:before="0" w:beforeAutospacing="0" w:after="0" w:afterAutospacing="0" w:line="360" w:lineRule="auto"/>
              <w:ind w:left="0" w:right="0" w:firstLine="480" w:firstLineChars="200"/>
              <w:rPr>
                <w:rFonts w:hint="eastAsia"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①主要特征大气有害物质</w:t>
            </w:r>
          </w:p>
          <w:p w14:paraId="55C7C94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宋体"/>
                <w:color w:val="auto"/>
                <w:sz w:val="24"/>
                <w:szCs w:val="24"/>
                <w:highlight w:val="none"/>
              </w:rPr>
              <w:t>根据《大气有害物质无组织排放卫生防护距离推导技术导</w:t>
            </w:r>
            <w:r>
              <w:rPr>
                <w:rFonts w:hint="default" w:ascii="Times New Roman" w:hAnsi="Times New Roman" w:eastAsia="宋体" w:cs="Times New Roman"/>
                <w:color w:val="auto"/>
                <w:sz w:val="24"/>
                <w:szCs w:val="24"/>
                <w:highlight w:val="none"/>
              </w:rPr>
              <w:t>则》（GB/T 39499-2020）</w:t>
            </w:r>
            <w:r>
              <w:rPr>
                <w:rFonts w:hint="eastAsia" w:ascii="Times New Roman" w:hAnsi="Times New Roman" w:eastAsia="宋体" w:cs="Times New Roman"/>
                <w:color w:val="auto"/>
                <w:sz w:val="24"/>
                <w:szCs w:val="24"/>
                <w:highlight w:val="none"/>
              </w:rPr>
              <w:t>选取特征大气有害物质，确定等标排放量（Q</w:t>
            </w:r>
            <w:r>
              <w:rPr>
                <w:rFonts w:hint="eastAsia" w:ascii="Times New Roman" w:hAnsi="Times New Roman" w:eastAsia="宋体" w:cs="Times New Roman"/>
                <w:color w:val="auto"/>
                <w:sz w:val="24"/>
                <w:szCs w:val="24"/>
                <w:highlight w:val="none"/>
                <w:vertAlign w:val="subscript"/>
              </w:rPr>
              <w:t>c</w:t>
            </w:r>
            <w:r>
              <w:rPr>
                <w:rFonts w:hint="eastAsia" w:ascii="Times New Roman" w:hAnsi="Times New Roman" w:eastAsia="宋体" w:cs="Times New Roman"/>
                <w:color w:val="auto"/>
                <w:sz w:val="24"/>
                <w:szCs w:val="24"/>
                <w:highlight w:val="none"/>
              </w:rPr>
              <w:t>/c</w:t>
            </w:r>
            <w:r>
              <w:rPr>
                <w:rFonts w:hint="eastAsia" w:ascii="Times New Roman" w:hAnsi="Times New Roman" w:eastAsia="宋体" w:cs="Times New Roman"/>
                <w:color w:val="auto"/>
                <w:sz w:val="24"/>
                <w:szCs w:val="24"/>
                <w:highlight w:val="none"/>
                <w:vertAlign w:val="subscript"/>
              </w:rPr>
              <w:t>m</w:t>
            </w:r>
            <w:r>
              <w:rPr>
                <w:rFonts w:hint="eastAsia" w:ascii="Times New Roman" w:hAnsi="Times New Roman" w:eastAsia="宋体" w:cs="Times New Roman"/>
                <w:color w:val="auto"/>
                <w:sz w:val="24"/>
                <w:szCs w:val="24"/>
                <w:highlight w:val="none"/>
              </w:rPr>
              <w:t>），最终确定卫生防护距离相关的主要特征大气有害物质1~2种。</w:t>
            </w:r>
          </w:p>
          <w:p w14:paraId="37C44845">
            <w:pPr>
              <w:pStyle w:val="6"/>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eastAsia"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表4-</w:t>
            </w:r>
            <w:r>
              <w:rPr>
                <w:rFonts w:hint="eastAsia" w:ascii="Times New Roman" w:hAnsi="Times New Roman" w:eastAsia="宋体" w:cs="Times New Roman"/>
                <w:b/>
                <w:bCs/>
                <w:color w:val="auto"/>
                <w:kern w:val="2"/>
                <w:sz w:val="24"/>
                <w:szCs w:val="24"/>
                <w:highlight w:val="none"/>
                <w:lang w:val="en-US" w:eastAsia="zh-CN" w:bidi="ar-SA"/>
              </w:rPr>
              <w:t xml:space="preserve">11  </w:t>
            </w:r>
            <w:r>
              <w:rPr>
                <w:rFonts w:hint="eastAsia" w:ascii="Times New Roman" w:hAnsi="Times New Roman" w:eastAsia="宋体" w:cs="Times New Roman"/>
                <w:b/>
                <w:bCs/>
                <w:color w:val="auto"/>
                <w:sz w:val="24"/>
                <w:highlight w:val="none"/>
                <w:lang w:val="en-US" w:eastAsia="zh-CN"/>
              </w:rPr>
              <w:t>全厂大气污染物等标排放量情况表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832"/>
              <w:gridCol w:w="857"/>
              <w:gridCol w:w="1764"/>
              <w:gridCol w:w="1605"/>
              <w:gridCol w:w="1517"/>
              <w:gridCol w:w="1327"/>
            </w:tblGrid>
            <w:tr w14:paraId="0DE261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692" w:type="pct"/>
                  <w:noWrap w:val="0"/>
                  <w:vAlign w:val="center"/>
                </w:tcPr>
                <w:p w14:paraId="707C3637">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rPr>
                  </w:pPr>
                  <w:r>
                    <w:rPr>
                      <w:rFonts w:hint="eastAsia" w:ascii="Times New Roman" w:hAnsi="Times New Roman" w:eastAsia="宋体" w:cs="Times New Roman"/>
                      <w:b/>
                      <w:color w:val="auto"/>
                      <w:szCs w:val="21"/>
                      <w:highlight w:val="none"/>
                      <w:lang w:eastAsia="zh-CN"/>
                    </w:rPr>
                    <w:t>废气来源</w:t>
                  </w:r>
                </w:p>
              </w:tc>
              <w:tc>
                <w:tcPr>
                  <w:tcW w:w="920" w:type="pct"/>
                  <w:gridSpan w:val="2"/>
                  <w:noWrap w:val="0"/>
                  <w:vAlign w:val="center"/>
                </w:tcPr>
                <w:p w14:paraId="74EF1A95">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rPr>
                  </w:pPr>
                  <w:r>
                    <w:rPr>
                      <w:rFonts w:hint="eastAsia" w:ascii="Times New Roman" w:hAnsi="Times New Roman" w:eastAsia="宋体" w:cs="Times New Roman"/>
                      <w:b/>
                      <w:color w:val="auto"/>
                      <w:szCs w:val="21"/>
                      <w:highlight w:val="none"/>
                    </w:rPr>
                    <w:t>污染物名称</w:t>
                  </w:r>
                </w:p>
              </w:tc>
              <w:tc>
                <w:tcPr>
                  <w:tcW w:w="961" w:type="pct"/>
                  <w:noWrap w:val="0"/>
                  <w:vAlign w:val="center"/>
                </w:tcPr>
                <w:p w14:paraId="356C28CE">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b/>
                      <w:bCs/>
                      <w:color w:val="auto"/>
                      <w:sz w:val="21"/>
                      <w:szCs w:val="21"/>
                      <w:highlight w:val="none"/>
                    </w:rPr>
                    <w:t>Q</w:t>
                  </w:r>
                  <w:r>
                    <w:rPr>
                      <w:rFonts w:hint="default" w:ascii="Times New Roman" w:hAnsi="Times New Roman" w:eastAsia="宋体"/>
                      <w:b/>
                      <w:bCs/>
                      <w:color w:val="auto"/>
                      <w:sz w:val="21"/>
                      <w:szCs w:val="21"/>
                      <w:highlight w:val="none"/>
                      <w:vertAlign w:val="subscript"/>
                    </w:rPr>
                    <w:t>c</w:t>
                  </w:r>
                  <w:r>
                    <w:rPr>
                      <w:rFonts w:hint="default" w:ascii="Times New Roman" w:hAnsi="Times New Roman" w:eastAsia="宋体"/>
                      <w:b/>
                      <w:bCs/>
                      <w:color w:val="auto"/>
                      <w:sz w:val="21"/>
                      <w:szCs w:val="21"/>
                      <w:highlight w:val="none"/>
                    </w:rPr>
                    <w:t>（kg/h）</w:t>
                  </w:r>
                </w:p>
              </w:tc>
              <w:tc>
                <w:tcPr>
                  <w:tcW w:w="874" w:type="pct"/>
                  <w:noWrap w:val="0"/>
                  <w:vAlign w:val="center"/>
                </w:tcPr>
                <w:p w14:paraId="32AD7965">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b/>
                      <w:bCs/>
                      <w:color w:val="auto"/>
                      <w:sz w:val="21"/>
                      <w:szCs w:val="21"/>
                      <w:highlight w:val="none"/>
                    </w:rPr>
                    <w:t>C</w:t>
                  </w:r>
                  <w:r>
                    <w:rPr>
                      <w:rFonts w:hint="default" w:ascii="Times New Roman" w:hAnsi="Times New Roman" w:eastAsia="宋体"/>
                      <w:b/>
                      <w:bCs/>
                      <w:color w:val="auto"/>
                      <w:sz w:val="21"/>
                      <w:szCs w:val="21"/>
                      <w:highlight w:val="none"/>
                      <w:vertAlign w:val="subscript"/>
                    </w:rPr>
                    <w:t>m</w:t>
                  </w:r>
                  <w:r>
                    <w:rPr>
                      <w:rFonts w:hint="default" w:ascii="Times New Roman" w:hAnsi="Times New Roman" w:eastAsia="宋体"/>
                      <w:b/>
                      <w:bCs/>
                      <w:color w:val="auto"/>
                      <w:sz w:val="21"/>
                      <w:szCs w:val="21"/>
                      <w:highlight w:val="none"/>
                    </w:rPr>
                    <w:t>（mg/m</w:t>
                  </w:r>
                  <w:r>
                    <w:rPr>
                      <w:rFonts w:hint="default" w:ascii="Times New Roman" w:hAnsi="Times New Roman" w:eastAsia="宋体"/>
                      <w:b/>
                      <w:bCs/>
                      <w:color w:val="auto"/>
                      <w:sz w:val="21"/>
                      <w:szCs w:val="21"/>
                      <w:highlight w:val="none"/>
                      <w:vertAlign w:val="superscript"/>
                    </w:rPr>
                    <w:t>3</w:t>
                  </w:r>
                  <w:r>
                    <w:rPr>
                      <w:rFonts w:hint="default" w:ascii="Times New Roman" w:hAnsi="Times New Roman" w:eastAsia="宋体"/>
                      <w:b/>
                      <w:bCs/>
                      <w:color w:val="auto"/>
                      <w:sz w:val="21"/>
                      <w:szCs w:val="21"/>
                      <w:highlight w:val="none"/>
                    </w:rPr>
                    <w:t>）</w:t>
                  </w:r>
                </w:p>
              </w:tc>
              <w:tc>
                <w:tcPr>
                  <w:tcW w:w="826" w:type="pct"/>
                  <w:noWrap w:val="0"/>
                  <w:vAlign w:val="center"/>
                </w:tcPr>
                <w:p w14:paraId="1669E6B6">
                  <w:pPr>
                    <w:keepNext w:val="0"/>
                    <w:keepLines w:val="0"/>
                    <w:suppressLineNumbers w:val="0"/>
                    <w:autoSpaceDN w:val="0"/>
                    <w:snapToGrid w:val="0"/>
                    <w:spacing w:before="0" w:beforeAutospacing="0" w:after="0" w:afterAutospacing="0"/>
                    <w:ind w:left="0" w:right="0"/>
                    <w:jc w:val="center"/>
                    <w:textAlignment w:val="center"/>
                    <w:rPr>
                      <w:rFonts w:hint="default" w:ascii="Times New Roman" w:hAnsi="Times New Roman" w:eastAsia="宋体"/>
                      <w:b/>
                      <w:bCs/>
                      <w:color w:val="auto"/>
                      <w:sz w:val="21"/>
                      <w:szCs w:val="21"/>
                      <w:highlight w:val="none"/>
                    </w:rPr>
                  </w:pPr>
                  <w:r>
                    <w:rPr>
                      <w:rFonts w:hint="default" w:ascii="Times New Roman" w:hAnsi="Times New Roman" w:eastAsia="宋体"/>
                      <w:b/>
                      <w:bCs/>
                      <w:color w:val="auto"/>
                      <w:sz w:val="21"/>
                      <w:szCs w:val="21"/>
                      <w:highlight w:val="none"/>
                    </w:rPr>
                    <w:t>等标排放量（Q</w:t>
                  </w:r>
                  <w:r>
                    <w:rPr>
                      <w:rFonts w:hint="default" w:ascii="Times New Roman" w:hAnsi="Times New Roman" w:eastAsia="宋体"/>
                      <w:b/>
                      <w:bCs/>
                      <w:color w:val="auto"/>
                      <w:sz w:val="21"/>
                      <w:szCs w:val="21"/>
                      <w:highlight w:val="none"/>
                      <w:vertAlign w:val="subscript"/>
                    </w:rPr>
                    <w:t>c</w:t>
                  </w:r>
                  <w:r>
                    <w:rPr>
                      <w:rFonts w:hint="default" w:ascii="Times New Roman" w:hAnsi="Times New Roman" w:eastAsia="宋体"/>
                      <w:b/>
                      <w:bCs/>
                      <w:color w:val="auto"/>
                      <w:sz w:val="21"/>
                      <w:szCs w:val="21"/>
                      <w:highlight w:val="none"/>
                    </w:rPr>
                    <w:t>/c</w:t>
                  </w:r>
                  <w:r>
                    <w:rPr>
                      <w:rFonts w:hint="default" w:ascii="Times New Roman" w:hAnsi="Times New Roman" w:eastAsia="宋体"/>
                      <w:b/>
                      <w:bCs/>
                      <w:color w:val="auto"/>
                      <w:sz w:val="21"/>
                      <w:szCs w:val="21"/>
                      <w:highlight w:val="none"/>
                      <w:vertAlign w:val="subscript"/>
                    </w:rPr>
                    <w:t>m</w:t>
                  </w:r>
                  <w:r>
                    <w:rPr>
                      <w:rFonts w:hint="default" w:ascii="Times New Roman" w:hAnsi="Times New Roman" w:eastAsia="宋体"/>
                      <w:b/>
                      <w:bCs/>
                      <w:color w:val="auto"/>
                      <w:sz w:val="21"/>
                      <w:szCs w:val="21"/>
                      <w:highlight w:val="none"/>
                    </w:rPr>
                    <w:t>）</w:t>
                  </w:r>
                </w:p>
              </w:tc>
              <w:tc>
                <w:tcPr>
                  <w:tcW w:w="723" w:type="pct"/>
                  <w:noWrap w:val="0"/>
                  <w:vAlign w:val="center"/>
                </w:tcPr>
                <w:p w14:paraId="266BA086">
                  <w:pPr>
                    <w:keepNext w:val="0"/>
                    <w:keepLines w:val="0"/>
                    <w:suppressLineNumbers w:val="0"/>
                    <w:autoSpaceDN w:val="0"/>
                    <w:snapToGrid w:val="0"/>
                    <w:spacing w:before="0" w:beforeAutospacing="0" w:after="0" w:afterAutospacing="0"/>
                    <w:ind w:left="0" w:right="0"/>
                    <w:jc w:val="center"/>
                    <w:textAlignment w:val="center"/>
                    <w:rPr>
                      <w:rFonts w:hint="default" w:ascii="Times New Roman" w:hAnsi="Times New Roman" w:eastAsia="宋体"/>
                      <w:b/>
                      <w:bCs/>
                      <w:color w:val="auto"/>
                      <w:sz w:val="21"/>
                      <w:szCs w:val="21"/>
                      <w:highlight w:val="none"/>
                    </w:rPr>
                  </w:pPr>
                  <w:r>
                    <w:rPr>
                      <w:rFonts w:hint="default" w:ascii="Times New Roman" w:hAnsi="Times New Roman" w:eastAsia="宋体"/>
                      <w:b/>
                      <w:color w:val="auto"/>
                      <w:sz w:val="21"/>
                      <w:szCs w:val="21"/>
                      <w:highlight w:val="none"/>
                    </w:rPr>
                    <w:t>排序</w:t>
                  </w:r>
                </w:p>
              </w:tc>
            </w:tr>
            <w:tr w14:paraId="2D5273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692" w:type="pct"/>
                  <w:vMerge w:val="restart"/>
                  <w:noWrap w:val="0"/>
                  <w:vAlign w:val="center"/>
                </w:tcPr>
                <w:p w14:paraId="34728EE7">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整个车间</w:t>
                  </w:r>
                </w:p>
              </w:tc>
              <w:tc>
                <w:tcPr>
                  <w:tcW w:w="920" w:type="pct"/>
                  <w:gridSpan w:val="2"/>
                  <w:noWrap w:val="0"/>
                  <w:vAlign w:val="center"/>
                </w:tcPr>
                <w:p w14:paraId="76E5CAE5">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非甲烷总烃</w:t>
                  </w:r>
                </w:p>
              </w:tc>
              <w:tc>
                <w:tcPr>
                  <w:tcW w:w="1764" w:type="dxa"/>
                  <w:noWrap w:val="0"/>
                  <w:vAlign w:val="center"/>
                </w:tcPr>
                <w:p w14:paraId="074E3EA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Cs w:val="21"/>
                      <w:highlight w:val="none"/>
                      <w:lang w:val="en-US" w:eastAsia="zh-CN"/>
                    </w:rPr>
                  </w:pPr>
                  <w:r>
                    <w:rPr>
                      <w:rFonts w:hint="default" w:cs="Times New Roman"/>
                      <w:b w:val="0"/>
                      <w:bCs w:val="0"/>
                      <w:color w:val="auto"/>
                      <w:szCs w:val="21"/>
                      <w:highlight w:val="none"/>
                      <w:lang w:val="en-US" w:eastAsia="zh-CN"/>
                    </w:rPr>
                    <w:t>0.002</w:t>
                  </w:r>
                  <w:r>
                    <w:rPr>
                      <w:rFonts w:hint="eastAsia" w:cs="Times New Roman"/>
                      <w:b w:val="0"/>
                      <w:bCs w:val="0"/>
                      <w:color w:val="auto"/>
                      <w:szCs w:val="21"/>
                      <w:highlight w:val="none"/>
                      <w:lang w:val="en-US" w:eastAsia="zh-CN"/>
                    </w:rPr>
                    <w:t>3</w:t>
                  </w:r>
                </w:p>
              </w:tc>
              <w:tc>
                <w:tcPr>
                  <w:tcW w:w="874" w:type="pct"/>
                  <w:noWrap w:val="0"/>
                  <w:vAlign w:val="center"/>
                </w:tcPr>
                <w:p w14:paraId="40EA1AA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2.0</w:t>
                  </w:r>
                </w:p>
              </w:tc>
              <w:tc>
                <w:tcPr>
                  <w:tcW w:w="826" w:type="pct"/>
                  <w:noWrap w:val="0"/>
                  <w:vAlign w:val="center"/>
                </w:tcPr>
                <w:p w14:paraId="4BB5F89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0.00115</w:t>
                  </w:r>
                </w:p>
              </w:tc>
              <w:tc>
                <w:tcPr>
                  <w:tcW w:w="723" w:type="pct"/>
                  <w:noWrap w:val="0"/>
                  <w:vAlign w:val="center"/>
                </w:tcPr>
                <w:p w14:paraId="0DBF9DA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r>
            <w:tr w14:paraId="057931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2" w:hRule="atLeast"/>
                <w:jc w:val="center"/>
              </w:trPr>
              <w:tc>
                <w:tcPr>
                  <w:tcW w:w="692" w:type="pct"/>
                  <w:vMerge w:val="continue"/>
                  <w:noWrap w:val="0"/>
                  <w:vAlign w:val="center"/>
                </w:tcPr>
                <w:p w14:paraId="6723056F">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rPr>
                  </w:pPr>
                </w:p>
              </w:tc>
              <w:tc>
                <w:tcPr>
                  <w:tcW w:w="453" w:type="pct"/>
                  <w:noWrap w:val="0"/>
                  <w:vAlign w:val="center"/>
                </w:tcPr>
                <w:p w14:paraId="19D02D8A">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包含</w:t>
                  </w:r>
                </w:p>
              </w:tc>
              <w:tc>
                <w:tcPr>
                  <w:tcW w:w="467" w:type="pct"/>
                  <w:noWrap w:val="0"/>
                  <w:vAlign w:val="center"/>
                </w:tcPr>
                <w:p w14:paraId="1D76C047">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甲醇</w:t>
                  </w:r>
                </w:p>
              </w:tc>
              <w:tc>
                <w:tcPr>
                  <w:tcW w:w="1764" w:type="dxa"/>
                  <w:noWrap w:val="0"/>
                  <w:vAlign w:val="center"/>
                </w:tcPr>
                <w:p w14:paraId="5155942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cs="Times New Roman"/>
                      <w:b w:val="0"/>
                      <w:bCs w:val="0"/>
                      <w:color w:val="auto"/>
                      <w:szCs w:val="21"/>
                      <w:highlight w:val="none"/>
                      <w:lang w:val="en-US" w:eastAsia="zh-CN"/>
                    </w:rPr>
                    <w:t>0.0001</w:t>
                  </w:r>
                  <w:r>
                    <w:rPr>
                      <w:rFonts w:hint="eastAsia" w:cs="Times New Roman"/>
                      <w:b w:val="0"/>
                      <w:bCs w:val="0"/>
                      <w:color w:val="auto"/>
                      <w:szCs w:val="21"/>
                      <w:highlight w:val="none"/>
                      <w:lang w:val="en-US" w:eastAsia="zh-CN"/>
                    </w:rPr>
                    <w:t>5</w:t>
                  </w:r>
                </w:p>
              </w:tc>
              <w:tc>
                <w:tcPr>
                  <w:tcW w:w="874" w:type="pct"/>
                  <w:noWrap w:val="0"/>
                  <w:vAlign w:val="center"/>
                </w:tcPr>
                <w:p w14:paraId="478E683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50.0</w:t>
                  </w:r>
                </w:p>
              </w:tc>
              <w:tc>
                <w:tcPr>
                  <w:tcW w:w="826" w:type="pct"/>
                  <w:noWrap w:val="0"/>
                  <w:vAlign w:val="center"/>
                </w:tcPr>
                <w:p w14:paraId="664928B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0.000003</w:t>
                  </w:r>
                </w:p>
              </w:tc>
              <w:tc>
                <w:tcPr>
                  <w:tcW w:w="723" w:type="pct"/>
                  <w:noWrap w:val="0"/>
                  <w:vAlign w:val="center"/>
                </w:tcPr>
                <w:p w14:paraId="5FF47A3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w:t>
                  </w:r>
                </w:p>
              </w:tc>
            </w:tr>
          </w:tbl>
          <w:p w14:paraId="0F3E36D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kern w:val="2"/>
                <w:sz w:val="24"/>
                <w:szCs w:val="24"/>
                <w:shd w:val="clear" w:color="auto" w:fill="auto"/>
              </w:rPr>
              <w:t>根据上表可见，</w:t>
            </w:r>
            <w:r>
              <w:rPr>
                <w:rFonts w:hint="eastAsia" w:cs="Times New Roman"/>
                <w:color w:val="auto"/>
                <w:kern w:val="2"/>
                <w:sz w:val="24"/>
                <w:szCs w:val="24"/>
                <w:shd w:val="clear" w:color="auto" w:fill="auto"/>
                <w:lang w:eastAsia="zh-CN"/>
              </w:rPr>
              <w:t>生产车间无组织排放</w:t>
            </w:r>
            <w:r>
              <w:rPr>
                <w:rFonts w:hint="eastAsia" w:cs="Times New Roman"/>
                <w:color w:val="auto"/>
                <w:kern w:val="2"/>
                <w:sz w:val="24"/>
                <w:szCs w:val="24"/>
                <w:shd w:val="clear" w:color="auto" w:fill="auto"/>
                <w:lang w:val="en-US" w:eastAsia="zh-CN"/>
              </w:rPr>
              <w:t>主要为非甲烷总烃（包含甲醇）</w:t>
            </w:r>
            <w:r>
              <w:rPr>
                <w:rFonts w:hint="eastAsia" w:cs="Times New Roman"/>
                <w:color w:val="auto"/>
                <w:kern w:val="2"/>
                <w:sz w:val="24"/>
                <w:szCs w:val="24"/>
                <w:shd w:val="clear" w:color="auto" w:fill="auto"/>
                <w:lang w:eastAsia="zh-CN"/>
              </w:rPr>
              <w:t>，其中</w:t>
            </w:r>
            <w:r>
              <w:rPr>
                <w:rFonts w:hint="eastAsia" w:cs="Times New Roman"/>
                <w:color w:val="auto"/>
                <w:kern w:val="2"/>
                <w:sz w:val="24"/>
                <w:szCs w:val="24"/>
                <w:shd w:val="clear" w:color="auto" w:fill="auto"/>
                <w:lang w:val="en-US" w:eastAsia="zh-CN"/>
              </w:rPr>
              <w:t>非甲烷总烃</w:t>
            </w:r>
            <w:r>
              <w:rPr>
                <w:rFonts w:hint="eastAsia" w:cs="Times New Roman"/>
                <w:color w:val="auto"/>
                <w:kern w:val="2"/>
                <w:sz w:val="24"/>
                <w:szCs w:val="24"/>
                <w:shd w:val="clear" w:color="auto" w:fill="auto"/>
                <w:lang w:eastAsia="zh-CN"/>
              </w:rPr>
              <w:t>的等标排放量最大，且与颗粒物的等标排放量相差大于10%</w:t>
            </w:r>
            <w:r>
              <w:rPr>
                <w:rFonts w:hint="eastAsia" w:ascii="Times New Roman" w:hAnsi="Times New Roman" w:cs="Times New Roman"/>
                <w:color w:val="auto"/>
                <w:kern w:val="2"/>
                <w:sz w:val="24"/>
                <w:szCs w:val="24"/>
                <w:shd w:val="clear" w:color="auto" w:fill="auto"/>
                <w:lang w:val="en-US" w:eastAsia="zh-CN"/>
              </w:rPr>
              <w:t>，故</w:t>
            </w:r>
            <w:r>
              <w:rPr>
                <w:rFonts w:hint="default" w:ascii="Times New Roman" w:hAnsi="Times New Roman" w:eastAsia="宋体" w:cs="Times New Roman"/>
                <w:color w:val="auto"/>
                <w:kern w:val="2"/>
                <w:sz w:val="24"/>
                <w:szCs w:val="24"/>
                <w:shd w:val="clear" w:color="auto" w:fill="auto"/>
              </w:rPr>
              <w:t>本项目选取</w:t>
            </w:r>
            <w:r>
              <w:rPr>
                <w:rFonts w:hint="eastAsia" w:cs="Times New Roman"/>
                <w:color w:val="auto"/>
                <w:kern w:val="2"/>
                <w:sz w:val="24"/>
                <w:szCs w:val="24"/>
                <w:shd w:val="clear" w:color="auto" w:fill="auto"/>
                <w:lang w:val="en-US" w:eastAsia="zh-CN"/>
              </w:rPr>
              <w:t>非甲烷总烃</w:t>
            </w:r>
            <w:r>
              <w:rPr>
                <w:rFonts w:hint="default" w:ascii="Times New Roman" w:hAnsi="Times New Roman" w:eastAsia="宋体" w:cs="Times New Roman"/>
                <w:color w:val="auto"/>
                <w:kern w:val="2"/>
                <w:sz w:val="24"/>
                <w:highlight w:val="none"/>
                <w:shd w:val="clear" w:color="auto" w:fill="auto"/>
              </w:rPr>
              <w:t>为主要特征大气有害物质计算卫生防护距离</w:t>
            </w:r>
            <w:r>
              <w:rPr>
                <w:rFonts w:hint="eastAsia"/>
                <w:color w:val="auto"/>
                <w:sz w:val="24"/>
                <w:highlight w:val="none"/>
              </w:rPr>
              <w:t>。</w:t>
            </w:r>
          </w:p>
          <w:p w14:paraId="4FB3560D">
            <w:pPr>
              <w:keepNext w:val="0"/>
              <w:keepLines w:val="0"/>
              <w:widowControl/>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1"/>
                <w:szCs w:val="22"/>
                <w:highlight w:val="none"/>
                <w:lang w:val="en-US" w:eastAsia="zh-CN" w:bidi="ar-SA"/>
              </w:rPr>
            </w:pPr>
            <w:r>
              <w:rPr>
                <w:rFonts w:hint="eastAsia" w:ascii="Times New Roman" w:hAnsi="Times New Roman" w:eastAsia="宋体" w:cs="宋体"/>
                <w:color w:val="auto"/>
                <w:kern w:val="0"/>
                <w:sz w:val="24"/>
                <w:szCs w:val="28"/>
                <w:highlight w:val="none"/>
                <w:lang w:val="en-US" w:eastAsia="zh-CN" w:bidi="ar-SA"/>
              </w:rPr>
              <w:t>②</w:t>
            </w:r>
            <w:r>
              <w:rPr>
                <w:rFonts w:hint="eastAsia" w:ascii="Times New Roman" w:hAnsi="Times New Roman" w:eastAsia="宋体" w:cs="Times New Roman"/>
                <w:color w:val="auto"/>
                <w:kern w:val="0"/>
                <w:sz w:val="24"/>
                <w:szCs w:val="24"/>
                <w:highlight w:val="none"/>
                <w:lang w:val="en-US" w:eastAsia="zh-CN" w:bidi="ar-SA"/>
              </w:rPr>
              <w:t>卫生防护距离计算</w:t>
            </w:r>
          </w:p>
          <w:p w14:paraId="733CA749">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eastAsia" w:ascii="Times New Roman" w:hAnsi="Times New Roman" w:eastAsia="宋体"/>
                <w:color w:val="auto"/>
                <w:sz w:val="24"/>
                <w:highlight w:val="none"/>
              </w:rPr>
              <w:t>根据《大气有害物质无组织排放 卫生防护距离推导技术导则》（GB/T 39499-2020）</w:t>
            </w:r>
            <w:r>
              <w:rPr>
                <w:rFonts w:hint="eastAsia" w:ascii="Times New Roman" w:hAnsi="Times New Roman" w:eastAsia="宋体" w:cs="Times New Roman"/>
                <w:color w:val="auto"/>
                <w:sz w:val="24"/>
                <w:highlight w:val="none"/>
              </w:rPr>
              <w:t>，具体计算公式如下</w:t>
            </w:r>
            <w:r>
              <w:rPr>
                <w:rFonts w:hint="default" w:ascii="Times New Roman" w:hAnsi="Times New Roman" w:eastAsia="宋体" w:cs="Times New Roman"/>
                <w:color w:val="auto"/>
                <w:sz w:val="24"/>
                <w:highlight w:val="none"/>
              </w:rPr>
              <w:t>：</w:t>
            </w:r>
          </w:p>
          <w:p w14:paraId="41286C6B">
            <w:pPr>
              <w:keepNext w:val="0"/>
              <w:keepLines w:val="0"/>
              <w:suppressLineNumbers w:val="0"/>
              <w:snapToGrid w:val="0"/>
              <w:spacing w:before="0" w:beforeAutospacing="0" w:after="0" w:afterAutospacing="0" w:line="360" w:lineRule="auto"/>
              <w:ind w:left="0" w:right="0" w:firstLine="555"/>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24"/>
                <w:sz w:val="24"/>
                <w:highlight w:val="none"/>
              </w:rPr>
              <w:object>
                <v:shape id="_x0000_i1028" o:spt="75" type="#_x0000_t75" style="height:30.75pt;width:138.75pt;" o:ole="t" filled="f" o:preferrelative="t" stroked="f" coordsize="21600,21600">
                  <v:path/>
                  <v:fill on="f" focussize="0,0"/>
                  <v:stroke on="f"/>
                  <v:imagedata r:id="rId19" o:title=""/>
                  <o:lock v:ext="edit" aspectratio="t"/>
                  <w10:wrap type="none"/>
                  <w10:anchorlock/>
                </v:shape>
                <o:OLEObject Type="Embed" ProgID="Equation.3" ShapeID="_x0000_i1028" DrawAspect="Content" ObjectID="_1468075728" r:id="rId18">
                  <o:LockedField>false</o:LockedField>
                </o:OLEObject>
              </w:object>
            </w:r>
          </w:p>
          <w:p w14:paraId="7C28B821">
            <w:pPr>
              <w:keepNext w:val="0"/>
              <w:keepLines w:val="0"/>
              <w:suppressLineNumbers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式中：Q</w:t>
            </w:r>
            <w:r>
              <w:rPr>
                <w:rFonts w:hint="default" w:ascii="Times New Roman" w:hAnsi="Times New Roman" w:eastAsia="宋体" w:cs="Times New Roman"/>
                <w:color w:val="auto"/>
                <w:sz w:val="24"/>
                <w:highlight w:val="none"/>
                <w:vertAlign w:val="subscript"/>
              </w:rPr>
              <w:t>c</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大气有害物质的无组织排放量</w:t>
            </w:r>
            <w:r>
              <w:rPr>
                <w:rFonts w:hint="default" w:ascii="Times New Roman" w:hAnsi="Times New Roman" w:eastAsia="宋体" w:cs="Times New Roman"/>
                <w:color w:val="auto"/>
                <w:sz w:val="24"/>
                <w:highlight w:val="none"/>
              </w:rPr>
              <w:t>，kg/h</w:t>
            </w:r>
            <w:r>
              <w:rPr>
                <w:rFonts w:hint="eastAsia" w:ascii="Times New Roman" w:hAnsi="Times New Roman" w:eastAsia="宋体" w:cs="Times New Roman"/>
                <w:color w:val="auto"/>
                <w:sz w:val="24"/>
                <w:highlight w:val="none"/>
              </w:rPr>
              <w:t>；</w:t>
            </w:r>
          </w:p>
          <w:p w14:paraId="08AAA843">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w:t>
            </w:r>
            <w:r>
              <w:rPr>
                <w:rFonts w:hint="default" w:ascii="Times New Roman" w:hAnsi="Times New Roman" w:eastAsia="宋体" w:cs="Times New Roman"/>
                <w:color w:val="auto"/>
                <w:sz w:val="24"/>
                <w:highlight w:val="none"/>
                <w:vertAlign w:val="subscript"/>
              </w:rPr>
              <w:t>m</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大气有害物质环境空气质量的</w:t>
            </w:r>
            <w:r>
              <w:rPr>
                <w:rFonts w:hint="default" w:ascii="Times New Roman" w:hAnsi="Times New Roman" w:eastAsia="宋体" w:cs="Times New Roman"/>
                <w:color w:val="auto"/>
                <w:sz w:val="24"/>
                <w:highlight w:val="none"/>
              </w:rPr>
              <w:t>标准限值，mg/m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w:t>
            </w:r>
          </w:p>
          <w:p w14:paraId="34219E4F">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eastAsia" w:ascii="Times New Roman" w:hAnsi="Times New Roman" w:eastAsia="宋体" w:cs="Times New Roman"/>
                <w:color w:val="auto"/>
                <w:sz w:val="24"/>
                <w:highlight w:val="none"/>
              </w:rPr>
              <w:t>大气有害物质</w:t>
            </w:r>
            <w:r>
              <w:rPr>
                <w:rFonts w:hint="default" w:ascii="Times New Roman" w:hAnsi="Times New Roman" w:eastAsia="宋体" w:cs="Times New Roman"/>
                <w:color w:val="auto"/>
                <w:sz w:val="24"/>
                <w:highlight w:val="none"/>
              </w:rPr>
              <w:t>卫生防护距离</w:t>
            </w:r>
            <w:r>
              <w:rPr>
                <w:rFonts w:hint="eastAsia" w:ascii="Times New Roman" w:hAnsi="Times New Roman" w:eastAsia="宋体" w:cs="Times New Roman"/>
                <w:color w:val="auto"/>
                <w:sz w:val="24"/>
                <w:highlight w:val="none"/>
              </w:rPr>
              <w:t>初值</w:t>
            </w:r>
            <w:r>
              <w:rPr>
                <w:rFonts w:hint="default" w:ascii="Times New Roman" w:hAnsi="Times New Roman" w:eastAsia="宋体" w:cs="Times New Roman"/>
                <w:color w:val="auto"/>
                <w:sz w:val="24"/>
                <w:highlight w:val="none"/>
              </w:rPr>
              <w:t>，m；</w:t>
            </w:r>
          </w:p>
          <w:p w14:paraId="1F4B79D1">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r----</w:t>
            </w:r>
            <w:r>
              <w:rPr>
                <w:rFonts w:hint="eastAsia" w:ascii="Times New Roman" w:hAnsi="Times New Roman" w:eastAsia="宋体" w:cs="Times New Roman"/>
                <w:color w:val="auto"/>
                <w:sz w:val="24"/>
                <w:highlight w:val="none"/>
              </w:rPr>
              <w:t>大气有害物质</w:t>
            </w:r>
            <w:r>
              <w:rPr>
                <w:rFonts w:hint="default" w:ascii="Times New Roman" w:hAnsi="Times New Roman" w:eastAsia="宋体" w:cs="Times New Roman"/>
                <w:color w:val="auto"/>
                <w:sz w:val="24"/>
                <w:highlight w:val="none"/>
              </w:rPr>
              <w:t>无组织排放源所在生产单元的等效半径，m。根据该生产单元占地面积S（m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）计算，r=(s/π)</w:t>
            </w:r>
            <w:r>
              <w:rPr>
                <w:rFonts w:hint="default" w:ascii="Times New Roman" w:hAnsi="Times New Roman" w:eastAsia="宋体" w:cs="Times New Roman"/>
                <w:color w:val="auto"/>
                <w:sz w:val="24"/>
                <w:highlight w:val="none"/>
                <w:vertAlign w:val="superscript"/>
              </w:rPr>
              <w:t>0.5</w:t>
            </w:r>
            <w:r>
              <w:rPr>
                <w:rFonts w:hint="default" w:ascii="Times New Roman" w:hAnsi="Times New Roman" w:eastAsia="宋体" w:cs="Times New Roman"/>
                <w:color w:val="auto"/>
                <w:sz w:val="24"/>
                <w:highlight w:val="none"/>
              </w:rPr>
              <w:t xml:space="preserve"> ；</w:t>
            </w:r>
          </w:p>
          <w:p w14:paraId="11FC8DA3">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A、B、C、D----卫生防护距离计算系数，无因次。根据工业企业所在地区近5年平均风速及大气污染源构成类别从表1查取。</w:t>
            </w:r>
          </w:p>
          <w:p w14:paraId="3149466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卫生防护距离在100m内时，级差为50m；超过100m，但小于1000m时，级差为100m</w:t>
            </w:r>
            <w:r>
              <w:rPr>
                <w:rFonts w:hint="eastAsia" w:ascii="Times New Roman" w:hAnsi="Times New Roman" w:eastAsia="宋体" w:cs="Times New Roman"/>
                <w:color w:val="auto"/>
                <w:sz w:val="24"/>
                <w:highlight w:val="none"/>
              </w:rPr>
              <w:t>；超过1000m时，级差为200m。</w:t>
            </w:r>
            <w:r>
              <w:rPr>
                <w:rFonts w:hint="default" w:ascii="Times New Roman" w:hAnsi="Times New Roman" w:eastAsia="宋体" w:cs="Times New Roman"/>
                <w:color w:val="auto"/>
                <w:sz w:val="24"/>
                <w:highlight w:val="none"/>
              </w:rPr>
              <w:t>当</w:t>
            </w:r>
            <w:r>
              <w:rPr>
                <w:rFonts w:hint="eastAsia" w:ascii="Times New Roman" w:hAnsi="Times New Roman" w:eastAsia="宋体" w:cs="Times New Roman"/>
                <w:color w:val="auto"/>
                <w:sz w:val="24"/>
                <w:highlight w:val="none"/>
              </w:rPr>
              <w:t>推导出的卫生防护距离初值在同一级别时</w:t>
            </w:r>
            <w:r>
              <w:rPr>
                <w:rFonts w:hint="default" w:ascii="Times New Roman" w:hAnsi="Times New Roman" w:eastAsia="宋体" w:cs="Times New Roman"/>
                <w:color w:val="auto"/>
                <w:sz w:val="24"/>
                <w:highlight w:val="none"/>
              </w:rPr>
              <w:t>，该企业的卫生防护距离提高一级</w:t>
            </w:r>
            <w:r>
              <w:rPr>
                <w:rFonts w:hint="eastAsia" w:ascii="Times New Roman" w:hAnsi="Times New Roman" w:eastAsia="宋体" w:cs="Times New Roman"/>
                <w:color w:val="auto"/>
                <w:sz w:val="24"/>
                <w:highlight w:val="none"/>
              </w:rPr>
              <w:t>，不在同一级别时，以卫生防护距离终值较大者为准</w:t>
            </w:r>
            <w:r>
              <w:rPr>
                <w:rFonts w:hint="default" w:ascii="Times New Roman" w:hAnsi="Times New Roman" w:eastAsia="宋体" w:cs="Times New Roman"/>
                <w:color w:val="auto"/>
                <w:sz w:val="24"/>
                <w:highlight w:val="none"/>
              </w:rPr>
              <w:t>。</w:t>
            </w:r>
          </w:p>
          <w:p w14:paraId="159FAD1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该地区的平均风速为2.63m/s，A、B、C、D值的选取见</w:t>
            </w:r>
            <w:r>
              <w:rPr>
                <w:rFonts w:hint="eastAsia" w:ascii="Times New Roman" w:hAnsi="Times New Roman" w:eastAsia="宋体" w:cs="Times New Roman"/>
                <w:color w:val="auto"/>
                <w:sz w:val="24"/>
                <w:highlight w:val="none"/>
                <w:lang w:val="en-US" w:eastAsia="zh-CN"/>
              </w:rPr>
              <w:t>下表</w:t>
            </w:r>
            <w:r>
              <w:rPr>
                <w:rFonts w:hint="default" w:ascii="Times New Roman" w:hAnsi="Times New Roman" w:eastAsia="宋体" w:cs="Times New Roman"/>
                <w:color w:val="auto"/>
                <w:sz w:val="24"/>
                <w:highlight w:val="none"/>
              </w:rPr>
              <w:t>。</w:t>
            </w:r>
          </w:p>
          <w:p w14:paraId="159515B5">
            <w:pPr>
              <w:pStyle w:val="6"/>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color w:val="auto"/>
                <w:sz w:val="24"/>
                <w:szCs w:val="36"/>
                <w:highlight w:val="none"/>
                <w:lang w:val="en-US" w:eastAsia="zh-CN"/>
              </w:rPr>
            </w:pPr>
            <w:r>
              <w:rPr>
                <w:rFonts w:hint="default" w:ascii="Times New Roman" w:hAnsi="Times New Roman" w:eastAsia="宋体" w:cs="Times New Roman"/>
                <w:b/>
                <w:bCs/>
                <w:color w:val="auto"/>
                <w:kern w:val="2"/>
                <w:sz w:val="24"/>
                <w:szCs w:val="24"/>
                <w:lang w:val="en-US" w:eastAsia="zh-CN" w:bidi="ar-SA"/>
              </w:rPr>
              <w:t>表4-</w:t>
            </w:r>
            <w:r>
              <w:rPr>
                <w:rFonts w:hint="eastAsia" w:ascii="Times New Roman" w:hAnsi="Times New Roman" w:eastAsia="宋体" w:cs="Times New Roman"/>
                <w:b/>
                <w:bCs/>
                <w:color w:val="auto"/>
                <w:kern w:val="2"/>
                <w:sz w:val="24"/>
                <w:szCs w:val="24"/>
                <w:lang w:val="en-US" w:eastAsia="zh-CN" w:bidi="ar-SA"/>
              </w:rPr>
              <w:t xml:space="preserve">12 </w:t>
            </w:r>
            <w:r>
              <w:rPr>
                <w:rFonts w:hint="eastAsia" w:ascii="Times New Roman" w:hAnsi="Times New Roman" w:eastAsia="宋体" w:cs="Times New Roman"/>
                <w:b/>
                <w:bCs/>
                <w:color w:val="auto"/>
                <w:sz w:val="24"/>
                <w:szCs w:val="36"/>
                <w:highlight w:val="none"/>
                <w:lang w:val="en-US" w:eastAsia="zh-CN"/>
              </w:rPr>
              <w:t>卫生防护距离计算系数</w:t>
            </w:r>
          </w:p>
          <w:tbl>
            <w:tblPr>
              <w:tblStyle w:val="25"/>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18"/>
              <w:gridCol w:w="960"/>
              <w:gridCol w:w="842"/>
              <w:gridCol w:w="840"/>
              <w:gridCol w:w="848"/>
              <w:gridCol w:w="842"/>
              <w:gridCol w:w="840"/>
              <w:gridCol w:w="848"/>
              <w:gridCol w:w="842"/>
              <w:gridCol w:w="841"/>
              <w:gridCol w:w="854"/>
            </w:tblGrid>
            <w:tr w14:paraId="3268A1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337" w:type="pct"/>
                  <w:vMerge w:val="restart"/>
                  <w:tcBorders>
                    <w:top w:val="single" w:color="auto" w:sz="12" w:space="0"/>
                    <w:bottom w:val="single" w:color="auto" w:sz="4" w:space="0"/>
                    <w:right w:val="single" w:color="auto" w:sz="4" w:space="0"/>
                  </w:tcBorders>
                  <w:noWrap w:val="0"/>
                  <w:vAlign w:val="center"/>
                </w:tcPr>
                <w:p w14:paraId="3947D80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计算</w:t>
                  </w:r>
                </w:p>
                <w:p w14:paraId="1161F2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系数</w:t>
                  </w:r>
                </w:p>
              </w:tc>
              <w:tc>
                <w:tcPr>
                  <w:tcW w:w="523" w:type="pct"/>
                  <w:vMerge w:val="restart"/>
                  <w:tcBorders>
                    <w:top w:val="single" w:color="auto" w:sz="12" w:space="0"/>
                    <w:left w:val="single" w:color="auto" w:sz="4" w:space="0"/>
                    <w:bottom w:val="single" w:color="auto" w:sz="4" w:space="0"/>
                    <w:right w:val="single" w:color="auto" w:sz="4" w:space="0"/>
                  </w:tcBorders>
                  <w:noWrap w:val="0"/>
                  <w:vAlign w:val="center"/>
                </w:tcPr>
                <w:p w14:paraId="0E6964A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5年平均风速</w:t>
                  </w:r>
                </w:p>
                <w:p w14:paraId="21387C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m/s</w:t>
                  </w:r>
                </w:p>
              </w:tc>
              <w:tc>
                <w:tcPr>
                  <w:tcW w:w="4139" w:type="pct"/>
                  <w:gridSpan w:val="9"/>
                  <w:tcBorders>
                    <w:top w:val="single" w:color="auto" w:sz="12" w:space="0"/>
                    <w:left w:val="single" w:color="auto" w:sz="4" w:space="0"/>
                    <w:bottom w:val="single" w:color="auto" w:sz="4" w:space="0"/>
                  </w:tcBorders>
                  <w:noWrap w:val="0"/>
                  <w:vAlign w:val="center"/>
                </w:tcPr>
                <w:p w14:paraId="266DCB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卫生防护距离L，m</w:t>
                  </w:r>
                </w:p>
              </w:tc>
            </w:tr>
            <w:tr w14:paraId="3D764C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37" w:type="pct"/>
                  <w:vMerge w:val="continue"/>
                  <w:tcBorders>
                    <w:top w:val="single" w:color="auto" w:sz="4" w:space="0"/>
                    <w:bottom w:val="single" w:color="auto" w:sz="4" w:space="0"/>
                    <w:right w:val="single" w:color="auto" w:sz="4" w:space="0"/>
                  </w:tcBorders>
                  <w:noWrap w:val="0"/>
                  <w:vAlign w:val="center"/>
                </w:tcPr>
                <w:p w14:paraId="1CE702B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523" w:type="pct"/>
                  <w:vMerge w:val="continue"/>
                  <w:tcBorders>
                    <w:top w:val="single" w:color="auto" w:sz="4" w:space="0"/>
                    <w:left w:val="single" w:color="auto" w:sz="4" w:space="0"/>
                    <w:bottom w:val="single" w:color="auto" w:sz="4" w:space="0"/>
                    <w:right w:val="single" w:color="auto" w:sz="4" w:space="0"/>
                  </w:tcBorders>
                  <w:noWrap w:val="0"/>
                  <w:vAlign w:val="center"/>
                </w:tcPr>
                <w:p w14:paraId="23259B6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1379" w:type="pct"/>
                  <w:gridSpan w:val="3"/>
                  <w:tcBorders>
                    <w:top w:val="single" w:color="auto" w:sz="4" w:space="0"/>
                    <w:left w:val="single" w:color="auto" w:sz="4" w:space="0"/>
                    <w:bottom w:val="single" w:color="auto" w:sz="4" w:space="0"/>
                    <w:right w:val="single" w:color="auto" w:sz="4" w:space="0"/>
                  </w:tcBorders>
                  <w:noWrap w:val="0"/>
                  <w:vAlign w:val="center"/>
                </w:tcPr>
                <w:p w14:paraId="4A8D875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L≤1000</w:t>
                  </w:r>
                </w:p>
              </w:tc>
              <w:tc>
                <w:tcPr>
                  <w:tcW w:w="1379" w:type="pct"/>
                  <w:gridSpan w:val="3"/>
                  <w:tcBorders>
                    <w:top w:val="single" w:color="auto" w:sz="4" w:space="0"/>
                    <w:left w:val="single" w:color="auto" w:sz="4" w:space="0"/>
                    <w:bottom w:val="single" w:color="auto" w:sz="4" w:space="0"/>
                    <w:right w:val="single" w:color="auto" w:sz="4" w:space="0"/>
                  </w:tcBorders>
                  <w:noWrap w:val="0"/>
                  <w:vAlign w:val="center"/>
                </w:tcPr>
                <w:p w14:paraId="1DBA47E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1000＜L≤2000</w:t>
                  </w:r>
                </w:p>
              </w:tc>
              <w:tc>
                <w:tcPr>
                  <w:tcW w:w="1379" w:type="pct"/>
                  <w:gridSpan w:val="3"/>
                  <w:tcBorders>
                    <w:top w:val="single" w:color="auto" w:sz="4" w:space="0"/>
                    <w:left w:val="single" w:color="auto" w:sz="4" w:space="0"/>
                    <w:bottom w:val="single" w:color="auto" w:sz="4" w:space="0"/>
                  </w:tcBorders>
                  <w:noWrap w:val="0"/>
                  <w:vAlign w:val="center"/>
                </w:tcPr>
                <w:p w14:paraId="7B24105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L＞2000</w:t>
                  </w:r>
                </w:p>
              </w:tc>
            </w:tr>
            <w:tr w14:paraId="6787DA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37" w:type="pct"/>
                  <w:vMerge w:val="continue"/>
                  <w:tcBorders>
                    <w:top w:val="single" w:color="auto" w:sz="4" w:space="0"/>
                    <w:bottom w:val="single" w:color="auto" w:sz="4" w:space="0"/>
                    <w:right w:val="single" w:color="auto" w:sz="4" w:space="0"/>
                  </w:tcBorders>
                  <w:noWrap w:val="0"/>
                  <w:vAlign w:val="center"/>
                </w:tcPr>
                <w:p w14:paraId="01FFCFA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523" w:type="pct"/>
                  <w:vMerge w:val="continue"/>
                  <w:tcBorders>
                    <w:top w:val="single" w:color="auto" w:sz="4" w:space="0"/>
                    <w:left w:val="single" w:color="auto" w:sz="4" w:space="0"/>
                    <w:bottom w:val="single" w:color="auto" w:sz="4" w:space="0"/>
                    <w:right w:val="single" w:color="auto" w:sz="4" w:space="0"/>
                  </w:tcBorders>
                  <w:noWrap w:val="0"/>
                  <w:vAlign w:val="center"/>
                </w:tcPr>
                <w:p w14:paraId="3B00E32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4139" w:type="pct"/>
                  <w:gridSpan w:val="9"/>
                  <w:tcBorders>
                    <w:top w:val="single" w:color="auto" w:sz="4" w:space="0"/>
                    <w:left w:val="single" w:color="auto" w:sz="4" w:space="0"/>
                    <w:bottom w:val="single" w:color="auto" w:sz="4" w:space="0"/>
                  </w:tcBorders>
                  <w:noWrap w:val="0"/>
                  <w:vAlign w:val="center"/>
                </w:tcPr>
                <w:p w14:paraId="69EFC3F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工业大气污染源构成类别</w:t>
                  </w:r>
                </w:p>
              </w:tc>
            </w:tr>
            <w:tr w14:paraId="64798E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37" w:type="pct"/>
                  <w:vMerge w:val="continue"/>
                  <w:tcBorders>
                    <w:top w:val="single" w:color="auto" w:sz="4" w:space="0"/>
                    <w:bottom w:val="single" w:color="auto" w:sz="4" w:space="0"/>
                    <w:right w:val="single" w:color="auto" w:sz="4" w:space="0"/>
                  </w:tcBorders>
                  <w:noWrap w:val="0"/>
                  <w:vAlign w:val="center"/>
                </w:tcPr>
                <w:p w14:paraId="2E2568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523" w:type="pct"/>
                  <w:vMerge w:val="continue"/>
                  <w:tcBorders>
                    <w:top w:val="single" w:color="auto" w:sz="4" w:space="0"/>
                    <w:left w:val="single" w:color="auto" w:sz="4" w:space="0"/>
                    <w:bottom w:val="single" w:color="auto" w:sz="4" w:space="0"/>
                    <w:right w:val="single" w:color="auto" w:sz="4" w:space="0"/>
                  </w:tcBorders>
                  <w:noWrap w:val="0"/>
                  <w:vAlign w:val="center"/>
                </w:tcPr>
                <w:p w14:paraId="3F72F8A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459" w:type="pct"/>
                  <w:tcBorders>
                    <w:top w:val="single" w:color="auto" w:sz="4" w:space="0"/>
                    <w:left w:val="single" w:color="auto" w:sz="4" w:space="0"/>
                    <w:bottom w:val="single" w:color="auto" w:sz="4" w:space="0"/>
                    <w:right w:val="single" w:color="auto" w:sz="4" w:space="0"/>
                  </w:tcBorders>
                  <w:noWrap w:val="0"/>
                  <w:vAlign w:val="center"/>
                </w:tcPr>
                <w:p w14:paraId="65D327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Ⅰ</w:t>
                  </w:r>
                </w:p>
              </w:tc>
              <w:tc>
                <w:tcPr>
                  <w:tcW w:w="458" w:type="pct"/>
                  <w:tcBorders>
                    <w:top w:val="single" w:color="auto" w:sz="4" w:space="0"/>
                    <w:left w:val="single" w:color="auto" w:sz="4" w:space="0"/>
                    <w:bottom w:val="single" w:color="auto" w:sz="4" w:space="0"/>
                    <w:right w:val="single" w:color="auto" w:sz="4" w:space="0"/>
                  </w:tcBorders>
                  <w:noWrap w:val="0"/>
                  <w:vAlign w:val="center"/>
                </w:tcPr>
                <w:p w14:paraId="349A49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Ⅱ</w:t>
                  </w:r>
                </w:p>
              </w:tc>
              <w:tc>
                <w:tcPr>
                  <w:tcW w:w="460" w:type="pct"/>
                  <w:tcBorders>
                    <w:top w:val="single" w:color="auto" w:sz="4" w:space="0"/>
                    <w:left w:val="single" w:color="auto" w:sz="4" w:space="0"/>
                    <w:bottom w:val="single" w:color="auto" w:sz="4" w:space="0"/>
                    <w:right w:val="single" w:color="auto" w:sz="4" w:space="0"/>
                  </w:tcBorders>
                  <w:noWrap w:val="0"/>
                  <w:vAlign w:val="center"/>
                </w:tcPr>
                <w:p w14:paraId="1087543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Ⅲ</w:t>
                  </w:r>
                </w:p>
              </w:tc>
              <w:tc>
                <w:tcPr>
                  <w:tcW w:w="459" w:type="pct"/>
                  <w:tcBorders>
                    <w:top w:val="single" w:color="auto" w:sz="4" w:space="0"/>
                    <w:left w:val="single" w:color="auto" w:sz="4" w:space="0"/>
                    <w:bottom w:val="single" w:color="auto" w:sz="4" w:space="0"/>
                    <w:right w:val="single" w:color="auto" w:sz="4" w:space="0"/>
                  </w:tcBorders>
                  <w:noWrap w:val="0"/>
                  <w:vAlign w:val="center"/>
                </w:tcPr>
                <w:p w14:paraId="468A5A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Ⅰ</w:t>
                  </w:r>
                </w:p>
              </w:tc>
              <w:tc>
                <w:tcPr>
                  <w:tcW w:w="458" w:type="pct"/>
                  <w:tcBorders>
                    <w:top w:val="single" w:color="auto" w:sz="4" w:space="0"/>
                    <w:left w:val="single" w:color="auto" w:sz="4" w:space="0"/>
                    <w:bottom w:val="single" w:color="auto" w:sz="4" w:space="0"/>
                    <w:right w:val="single" w:color="auto" w:sz="4" w:space="0"/>
                  </w:tcBorders>
                  <w:noWrap w:val="0"/>
                  <w:vAlign w:val="center"/>
                </w:tcPr>
                <w:p w14:paraId="04470F1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Ⅱ</w:t>
                  </w:r>
                </w:p>
              </w:tc>
              <w:tc>
                <w:tcPr>
                  <w:tcW w:w="460" w:type="pct"/>
                  <w:tcBorders>
                    <w:top w:val="single" w:color="auto" w:sz="4" w:space="0"/>
                    <w:left w:val="single" w:color="auto" w:sz="4" w:space="0"/>
                    <w:bottom w:val="single" w:color="auto" w:sz="4" w:space="0"/>
                    <w:right w:val="single" w:color="auto" w:sz="4" w:space="0"/>
                  </w:tcBorders>
                  <w:noWrap w:val="0"/>
                  <w:vAlign w:val="center"/>
                </w:tcPr>
                <w:p w14:paraId="0AF0A5F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Ⅲ</w:t>
                  </w:r>
                </w:p>
              </w:tc>
              <w:tc>
                <w:tcPr>
                  <w:tcW w:w="459" w:type="pct"/>
                  <w:tcBorders>
                    <w:top w:val="single" w:color="auto" w:sz="4" w:space="0"/>
                    <w:left w:val="single" w:color="auto" w:sz="4" w:space="0"/>
                    <w:bottom w:val="single" w:color="auto" w:sz="4" w:space="0"/>
                    <w:right w:val="single" w:color="auto" w:sz="4" w:space="0"/>
                  </w:tcBorders>
                  <w:noWrap w:val="0"/>
                  <w:vAlign w:val="center"/>
                </w:tcPr>
                <w:p w14:paraId="4C031DB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Ⅰ</w:t>
                  </w:r>
                </w:p>
              </w:tc>
              <w:tc>
                <w:tcPr>
                  <w:tcW w:w="458" w:type="pct"/>
                  <w:tcBorders>
                    <w:top w:val="single" w:color="auto" w:sz="4" w:space="0"/>
                    <w:left w:val="single" w:color="auto" w:sz="4" w:space="0"/>
                    <w:bottom w:val="single" w:color="auto" w:sz="4" w:space="0"/>
                    <w:right w:val="single" w:color="auto" w:sz="4" w:space="0"/>
                  </w:tcBorders>
                  <w:noWrap w:val="0"/>
                  <w:vAlign w:val="center"/>
                </w:tcPr>
                <w:p w14:paraId="60C792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Ⅱ</w:t>
                  </w:r>
                </w:p>
              </w:tc>
              <w:tc>
                <w:tcPr>
                  <w:tcW w:w="460" w:type="pct"/>
                  <w:tcBorders>
                    <w:top w:val="single" w:color="auto" w:sz="4" w:space="0"/>
                    <w:left w:val="single" w:color="auto" w:sz="4" w:space="0"/>
                    <w:bottom w:val="single" w:color="auto" w:sz="4" w:space="0"/>
                  </w:tcBorders>
                  <w:noWrap w:val="0"/>
                  <w:vAlign w:val="center"/>
                </w:tcPr>
                <w:p w14:paraId="1CC5513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Ⅲ</w:t>
                  </w:r>
                </w:p>
              </w:tc>
            </w:tr>
            <w:tr w14:paraId="5D0F06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37" w:type="pct"/>
                  <w:vMerge w:val="restart"/>
                  <w:tcBorders>
                    <w:top w:val="single" w:color="auto" w:sz="4" w:space="0"/>
                    <w:bottom w:val="single" w:color="auto" w:sz="4" w:space="0"/>
                    <w:right w:val="single" w:color="auto" w:sz="4" w:space="0"/>
                  </w:tcBorders>
                  <w:noWrap w:val="0"/>
                  <w:vAlign w:val="center"/>
                </w:tcPr>
                <w:p w14:paraId="5E6A5D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A</w:t>
                  </w:r>
                </w:p>
              </w:tc>
              <w:tc>
                <w:tcPr>
                  <w:tcW w:w="523" w:type="pct"/>
                  <w:tcBorders>
                    <w:top w:val="single" w:color="auto" w:sz="4" w:space="0"/>
                    <w:left w:val="single" w:color="auto" w:sz="4" w:space="0"/>
                    <w:bottom w:val="single" w:color="auto" w:sz="4" w:space="0"/>
                    <w:right w:val="single" w:color="auto" w:sz="4" w:space="0"/>
                  </w:tcBorders>
                  <w:noWrap w:val="0"/>
                  <w:vAlign w:val="center"/>
                </w:tcPr>
                <w:p w14:paraId="4E054E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459" w:type="pct"/>
                  <w:tcBorders>
                    <w:top w:val="single" w:color="auto" w:sz="4" w:space="0"/>
                    <w:left w:val="single" w:color="auto" w:sz="4" w:space="0"/>
                    <w:bottom w:val="single" w:color="auto" w:sz="4" w:space="0"/>
                    <w:right w:val="single" w:color="auto" w:sz="4" w:space="0"/>
                  </w:tcBorders>
                  <w:noWrap w:val="0"/>
                  <w:vAlign w:val="center"/>
                </w:tcPr>
                <w:p w14:paraId="015F79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400</w:t>
                  </w:r>
                </w:p>
              </w:tc>
              <w:tc>
                <w:tcPr>
                  <w:tcW w:w="458" w:type="pct"/>
                  <w:tcBorders>
                    <w:top w:val="single" w:color="auto" w:sz="4" w:space="0"/>
                    <w:left w:val="single" w:color="auto" w:sz="4" w:space="0"/>
                    <w:bottom w:val="single" w:color="auto" w:sz="4" w:space="0"/>
                    <w:right w:val="single" w:color="auto" w:sz="4" w:space="0"/>
                  </w:tcBorders>
                  <w:noWrap w:val="0"/>
                  <w:vAlign w:val="center"/>
                </w:tcPr>
                <w:p w14:paraId="4445FB9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400</w:t>
                  </w:r>
                </w:p>
              </w:tc>
              <w:tc>
                <w:tcPr>
                  <w:tcW w:w="460" w:type="pct"/>
                  <w:tcBorders>
                    <w:top w:val="single" w:color="auto" w:sz="4" w:space="0"/>
                    <w:left w:val="single" w:color="auto" w:sz="4" w:space="0"/>
                    <w:bottom w:val="single" w:color="auto" w:sz="4" w:space="0"/>
                    <w:right w:val="single" w:color="auto" w:sz="4" w:space="0"/>
                  </w:tcBorders>
                  <w:noWrap w:val="0"/>
                  <w:vAlign w:val="center"/>
                </w:tcPr>
                <w:p w14:paraId="65C58EB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400</w:t>
                  </w:r>
                </w:p>
              </w:tc>
              <w:tc>
                <w:tcPr>
                  <w:tcW w:w="459" w:type="pct"/>
                  <w:tcBorders>
                    <w:top w:val="single" w:color="auto" w:sz="4" w:space="0"/>
                    <w:left w:val="single" w:color="auto" w:sz="4" w:space="0"/>
                    <w:bottom w:val="single" w:color="auto" w:sz="4" w:space="0"/>
                    <w:right w:val="single" w:color="auto" w:sz="4" w:space="0"/>
                  </w:tcBorders>
                  <w:noWrap w:val="0"/>
                  <w:vAlign w:val="center"/>
                </w:tcPr>
                <w:p w14:paraId="7301FC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400</w:t>
                  </w:r>
                </w:p>
              </w:tc>
              <w:tc>
                <w:tcPr>
                  <w:tcW w:w="458" w:type="pct"/>
                  <w:tcBorders>
                    <w:top w:val="single" w:color="auto" w:sz="4" w:space="0"/>
                    <w:left w:val="single" w:color="auto" w:sz="4" w:space="0"/>
                    <w:bottom w:val="single" w:color="auto" w:sz="4" w:space="0"/>
                    <w:right w:val="single" w:color="auto" w:sz="4" w:space="0"/>
                  </w:tcBorders>
                  <w:noWrap w:val="0"/>
                  <w:vAlign w:val="center"/>
                </w:tcPr>
                <w:p w14:paraId="6CB565E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400</w:t>
                  </w:r>
                </w:p>
              </w:tc>
              <w:tc>
                <w:tcPr>
                  <w:tcW w:w="460" w:type="pct"/>
                  <w:tcBorders>
                    <w:top w:val="single" w:color="auto" w:sz="4" w:space="0"/>
                    <w:left w:val="single" w:color="auto" w:sz="4" w:space="0"/>
                    <w:bottom w:val="single" w:color="auto" w:sz="4" w:space="0"/>
                    <w:right w:val="single" w:color="auto" w:sz="4" w:space="0"/>
                  </w:tcBorders>
                  <w:noWrap w:val="0"/>
                  <w:vAlign w:val="center"/>
                </w:tcPr>
                <w:p w14:paraId="299A67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400</w:t>
                  </w:r>
                </w:p>
              </w:tc>
              <w:tc>
                <w:tcPr>
                  <w:tcW w:w="459" w:type="pct"/>
                  <w:tcBorders>
                    <w:top w:val="single" w:color="auto" w:sz="4" w:space="0"/>
                    <w:left w:val="single" w:color="auto" w:sz="4" w:space="0"/>
                    <w:bottom w:val="single" w:color="auto" w:sz="4" w:space="0"/>
                    <w:right w:val="single" w:color="auto" w:sz="4" w:space="0"/>
                  </w:tcBorders>
                  <w:noWrap w:val="0"/>
                  <w:vAlign w:val="center"/>
                </w:tcPr>
                <w:p w14:paraId="7541F8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80</w:t>
                  </w:r>
                </w:p>
              </w:tc>
              <w:tc>
                <w:tcPr>
                  <w:tcW w:w="458" w:type="pct"/>
                  <w:tcBorders>
                    <w:top w:val="single" w:color="auto" w:sz="4" w:space="0"/>
                    <w:left w:val="single" w:color="auto" w:sz="4" w:space="0"/>
                    <w:bottom w:val="single" w:color="auto" w:sz="4" w:space="0"/>
                    <w:right w:val="single" w:color="auto" w:sz="4" w:space="0"/>
                  </w:tcBorders>
                  <w:noWrap w:val="0"/>
                  <w:vAlign w:val="center"/>
                </w:tcPr>
                <w:p w14:paraId="2823F0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80</w:t>
                  </w:r>
                </w:p>
              </w:tc>
              <w:tc>
                <w:tcPr>
                  <w:tcW w:w="460" w:type="pct"/>
                  <w:tcBorders>
                    <w:top w:val="single" w:color="auto" w:sz="4" w:space="0"/>
                    <w:left w:val="single" w:color="auto" w:sz="4" w:space="0"/>
                    <w:bottom w:val="single" w:color="auto" w:sz="4" w:space="0"/>
                  </w:tcBorders>
                  <w:noWrap w:val="0"/>
                  <w:vAlign w:val="center"/>
                </w:tcPr>
                <w:p w14:paraId="62C738F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80</w:t>
                  </w:r>
                </w:p>
              </w:tc>
            </w:tr>
            <w:tr w14:paraId="21A1D4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37" w:type="pct"/>
                  <w:vMerge w:val="continue"/>
                  <w:tcBorders>
                    <w:top w:val="single" w:color="auto" w:sz="4" w:space="0"/>
                    <w:bottom w:val="single" w:color="auto" w:sz="4" w:space="0"/>
                    <w:right w:val="single" w:color="auto" w:sz="4" w:space="0"/>
                  </w:tcBorders>
                  <w:noWrap w:val="0"/>
                  <w:vAlign w:val="center"/>
                </w:tcPr>
                <w:p w14:paraId="582ED0B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523" w:type="pct"/>
                  <w:tcBorders>
                    <w:top w:val="single" w:color="auto" w:sz="4" w:space="0"/>
                    <w:left w:val="single" w:color="auto" w:sz="4" w:space="0"/>
                    <w:bottom w:val="single" w:color="auto" w:sz="4" w:space="0"/>
                    <w:right w:val="single" w:color="auto" w:sz="4" w:space="0"/>
                  </w:tcBorders>
                  <w:noWrap w:val="0"/>
                  <w:vAlign w:val="center"/>
                </w:tcPr>
                <w:p w14:paraId="3058C48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2～4</w:t>
                  </w:r>
                </w:p>
              </w:tc>
              <w:tc>
                <w:tcPr>
                  <w:tcW w:w="459" w:type="pct"/>
                  <w:tcBorders>
                    <w:top w:val="single" w:color="auto" w:sz="4" w:space="0"/>
                    <w:left w:val="single" w:color="auto" w:sz="4" w:space="0"/>
                    <w:bottom w:val="single" w:color="auto" w:sz="4" w:space="0"/>
                    <w:right w:val="single" w:color="auto" w:sz="4" w:space="0"/>
                  </w:tcBorders>
                  <w:noWrap w:val="0"/>
                  <w:vAlign w:val="center"/>
                </w:tcPr>
                <w:p w14:paraId="2F939B9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700</w:t>
                  </w:r>
                </w:p>
              </w:tc>
              <w:tc>
                <w:tcPr>
                  <w:tcW w:w="458" w:type="pct"/>
                  <w:tcBorders>
                    <w:top w:val="single" w:color="auto" w:sz="4" w:space="0"/>
                    <w:left w:val="single" w:color="auto" w:sz="4" w:space="0"/>
                    <w:bottom w:val="single" w:color="auto" w:sz="4" w:space="0"/>
                    <w:right w:val="single" w:color="auto" w:sz="4" w:space="0"/>
                  </w:tcBorders>
                  <w:noWrap w:val="0"/>
                  <w:vAlign w:val="center"/>
                </w:tcPr>
                <w:p w14:paraId="2837FC0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470</w:t>
                  </w:r>
                </w:p>
              </w:tc>
              <w:tc>
                <w:tcPr>
                  <w:tcW w:w="460" w:type="pct"/>
                  <w:tcBorders>
                    <w:top w:val="single" w:color="auto" w:sz="4" w:space="0"/>
                    <w:left w:val="single" w:color="auto" w:sz="4" w:space="0"/>
                    <w:bottom w:val="single" w:color="auto" w:sz="4" w:space="0"/>
                    <w:right w:val="single" w:color="auto" w:sz="4" w:space="0"/>
                  </w:tcBorders>
                  <w:noWrap w:val="0"/>
                  <w:vAlign w:val="center"/>
                </w:tcPr>
                <w:p w14:paraId="4C78D0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350</w:t>
                  </w:r>
                </w:p>
              </w:tc>
              <w:tc>
                <w:tcPr>
                  <w:tcW w:w="459" w:type="pct"/>
                  <w:tcBorders>
                    <w:top w:val="single" w:color="auto" w:sz="4" w:space="0"/>
                    <w:left w:val="single" w:color="auto" w:sz="4" w:space="0"/>
                    <w:bottom w:val="single" w:color="auto" w:sz="4" w:space="0"/>
                    <w:right w:val="single" w:color="auto" w:sz="4" w:space="0"/>
                  </w:tcBorders>
                  <w:noWrap w:val="0"/>
                  <w:vAlign w:val="center"/>
                </w:tcPr>
                <w:p w14:paraId="2DFBF4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700</w:t>
                  </w:r>
                </w:p>
              </w:tc>
              <w:tc>
                <w:tcPr>
                  <w:tcW w:w="458" w:type="pct"/>
                  <w:tcBorders>
                    <w:top w:val="single" w:color="auto" w:sz="4" w:space="0"/>
                    <w:left w:val="single" w:color="auto" w:sz="4" w:space="0"/>
                    <w:bottom w:val="single" w:color="auto" w:sz="4" w:space="0"/>
                    <w:right w:val="single" w:color="auto" w:sz="4" w:space="0"/>
                  </w:tcBorders>
                  <w:noWrap w:val="0"/>
                  <w:vAlign w:val="center"/>
                </w:tcPr>
                <w:p w14:paraId="1547AAE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470</w:t>
                  </w:r>
                </w:p>
              </w:tc>
              <w:tc>
                <w:tcPr>
                  <w:tcW w:w="460" w:type="pct"/>
                  <w:tcBorders>
                    <w:top w:val="single" w:color="auto" w:sz="4" w:space="0"/>
                    <w:left w:val="single" w:color="auto" w:sz="4" w:space="0"/>
                    <w:bottom w:val="single" w:color="auto" w:sz="4" w:space="0"/>
                    <w:right w:val="single" w:color="auto" w:sz="4" w:space="0"/>
                  </w:tcBorders>
                  <w:noWrap w:val="0"/>
                  <w:vAlign w:val="center"/>
                </w:tcPr>
                <w:p w14:paraId="6533D6E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350</w:t>
                  </w:r>
                </w:p>
              </w:tc>
              <w:tc>
                <w:tcPr>
                  <w:tcW w:w="459" w:type="pct"/>
                  <w:tcBorders>
                    <w:top w:val="single" w:color="auto" w:sz="4" w:space="0"/>
                    <w:left w:val="single" w:color="auto" w:sz="4" w:space="0"/>
                    <w:bottom w:val="single" w:color="auto" w:sz="4" w:space="0"/>
                    <w:right w:val="single" w:color="auto" w:sz="4" w:space="0"/>
                  </w:tcBorders>
                  <w:noWrap w:val="0"/>
                  <w:vAlign w:val="center"/>
                </w:tcPr>
                <w:p w14:paraId="63D6CD2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380</w:t>
                  </w:r>
                </w:p>
              </w:tc>
              <w:tc>
                <w:tcPr>
                  <w:tcW w:w="458" w:type="pct"/>
                  <w:tcBorders>
                    <w:top w:val="single" w:color="auto" w:sz="4" w:space="0"/>
                    <w:left w:val="single" w:color="auto" w:sz="4" w:space="0"/>
                    <w:bottom w:val="single" w:color="auto" w:sz="4" w:space="0"/>
                    <w:right w:val="single" w:color="auto" w:sz="4" w:space="0"/>
                  </w:tcBorders>
                  <w:noWrap w:val="0"/>
                  <w:vAlign w:val="center"/>
                </w:tcPr>
                <w:p w14:paraId="1AD2857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250</w:t>
                  </w:r>
                </w:p>
              </w:tc>
              <w:tc>
                <w:tcPr>
                  <w:tcW w:w="460" w:type="pct"/>
                  <w:tcBorders>
                    <w:top w:val="single" w:color="auto" w:sz="4" w:space="0"/>
                    <w:left w:val="single" w:color="auto" w:sz="4" w:space="0"/>
                    <w:bottom w:val="single" w:color="auto" w:sz="4" w:space="0"/>
                  </w:tcBorders>
                  <w:noWrap w:val="0"/>
                  <w:vAlign w:val="center"/>
                </w:tcPr>
                <w:p w14:paraId="527E788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190</w:t>
                  </w:r>
                </w:p>
              </w:tc>
            </w:tr>
            <w:tr w14:paraId="231AE4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37" w:type="pct"/>
                  <w:vMerge w:val="continue"/>
                  <w:tcBorders>
                    <w:top w:val="single" w:color="auto" w:sz="4" w:space="0"/>
                    <w:bottom w:val="single" w:color="auto" w:sz="4" w:space="0"/>
                    <w:right w:val="single" w:color="auto" w:sz="4" w:space="0"/>
                  </w:tcBorders>
                  <w:noWrap w:val="0"/>
                  <w:vAlign w:val="center"/>
                </w:tcPr>
                <w:p w14:paraId="50CFF2F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523" w:type="pct"/>
                  <w:tcBorders>
                    <w:top w:val="single" w:color="auto" w:sz="4" w:space="0"/>
                    <w:left w:val="single" w:color="auto" w:sz="4" w:space="0"/>
                    <w:bottom w:val="single" w:color="auto" w:sz="4" w:space="0"/>
                    <w:right w:val="single" w:color="auto" w:sz="4" w:space="0"/>
                  </w:tcBorders>
                  <w:noWrap w:val="0"/>
                  <w:vAlign w:val="center"/>
                </w:tcPr>
                <w:p w14:paraId="480417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w:t>
                  </w:r>
                </w:p>
              </w:tc>
              <w:tc>
                <w:tcPr>
                  <w:tcW w:w="459" w:type="pct"/>
                  <w:tcBorders>
                    <w:top w:val="single" w:color="auto" w:sz="4" w:space="0"/>
                    <w:left w:val="single" w:color="auto" w:sz="4" w:space="0"/>
                    <w:bottom w:val="single" w:color="auto" w:sz="4" w:space="0"/>
                    <w:right w:val="single" w:color="auto" w:sz="4" w:space="0"/>
                  </w:tcBorders>
                  <w:noWrap w:val="0"/>
                  <w:vAlign w:val="center"/>
                </w:tcPr>
                <w:p w14:paraId="06F02D6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530</w:t>
                  </w:r>
                </w:p>
              </w:tc>
              <w:tc>
                <w:tcPr>
                  <w:tcW w:w="458" w:type="pct"/>
                  <w:tcBorders>
                    <w:top w:val="single" w:color="auto" w:sz="4" w:space="0"/>
                    <w:left w:val="single" w:color="auto" w:sz="4" w:space="0"/>
                    <w:bottom w:val="single" w:color="auto" w:sz="4" w:space="0"/>
                    <w:right w:val="single" w:color="auto" w:sz="4" w:space="0"/>
                  </w:tcBorders>
                  <w:noWrap w:val="0"/>
                  <w:vAlign w:val="center"/>
                </w:tcPr>
                <w:p w14:paraId="47EEF47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350</w:t>
                  </w:r>
                </w:p>
              </w:tc>
              <w:tc>
                <w:tcPr>
                  <w:tcW w:w="460" w:type="pct"/>
                  <w:tcBorders>
                    <w:top w:val="single" w:color="auto" w:sz="4" w:space="0"/>
                    <w:left w:val="single" w:color="auto" w:sz="4" w:space="0"/>
                    <w:bottom w:val="single" w:color="auto" w:sz="4" w:space="0"/>
                    <w:right w:val="single" w:color="auto" w:sz="4" w:space="0"/>
                  </w:tcBorders>
                  <w:noWrap w:val="0"/>
                  <w:vAlign w:val="center"/>
                </w:tcPr>
                <w:p w14:paraId="4B3FA4A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260</w:t>
                  </w:r>
                </w:p>
              </w:tc>
              <w:tc>
                <w:tcPr>
                  <w:tcW w:w="459" w:type="pct"/>
                  <w:tcBorders>
                    <w:top w:val="single" w:color="auto" w:sz="4" w:space="0"/>
                    <w:left w:val="single" w:color="auto" w:sz="4" w:space="0"/>
                    <w:bottom w:val="single" w:color="auto" w:sz="4" w:space="0"/>
                    <w:right w:val="single" w:color="auto" w:sz="4" w:space="0"/>
                  </w:tcBorders>
                  <w:noWrap w:val="0"/>
                  <w:vAlign w:val="center"/>
                </w:tcPr>
                <w:p w14:paraId="7A35612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530</w:t>
                  </w:r>
                </w:p>
              </w:tc>
              <w:tc>
                <w:tcPr>
                  <w:tcW w:w="458" w:type="pct"/>
                  <w:tcBorders>
                    <w:top w:val="single" w:color="auto" w:sz="4" w:space="0"/>
                    <w:left w:val="single" w:color="auto" w:sz="4" w:space="0"/>
                    <w:bottom w:val="single" w:color="auto" w:sz="4" w:space="0"/>
                    <w:right w:val="single" w:color="auto" w:sz="4" w:space="0"/>
                  </w:tcBorders>
                  <w:noWrap w:val="0"/>
                  <w:vAlign w:val="center"/>
                </w:tcPr>
                <w:p w14:paraId="7704E7A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350</w:t>
                  </w:r>
                </w:p>
              </w:tc>
              <w:tc>
                <w:tcPr>
                  <w:tcW w:w="460" w:type="pct"/>
                  <w:tcBorders>
                    <w:top w:val="single" w:color="auto" w:sz="4" w:space="0"/>
                    <w:left w:val="single" w:color="auto" w:sz="4" w:space="0"/>
                    <w:bottom w:val="single" w:color="auto" w:sz="4" w:space="0"/>
                    <w:right w:val="single" w:color="auto" w:sz="4" w:space="0"/>
                  </w:tcBorders>
                  <w:noWrap w:val="0"/>
                  <w:vAlign w:val="center"/>
                </w:tcPr>
                <w:p w14:paraId="3AD8048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260</w:t>
                  </w:r>
                </w:p>
              </w:tc>
              <w:tc>
                <w:tcPr>
                  <w:tcW w:w="459" w:type="pct"/>
                  <w:tcBorders>
                    <w:top w:val="single" w:color="auto" w:sz="4" w:space="0"/>
                    <w:left w:val="single" w:color="auto" w:sz="4" w:space="0"/>
                    <w:bottom w:val="single" w:color="auto" w:sz="4" w:space="0"/>
                    <w:right w:val="single" w:color="auto" w:sz="4" w:space="0"/>
                  </w:tcBorders>
                  <w:noWrap w:val="0"/>
                  <w:vAlign w:val="center"/>
                </w:tcPr>
                <w:p w14:paraId="31DABD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290</w:t>
                  </w:r>
                </w:p>
              </w:tc>
              <w:tc>
                <w:tcPr>
                  <w:tcW w:w="458" w:type="pct"/>
                  <w:tcBorders>
                    <w:top w:val="single" w:color="auto" w:sz="4" w:space="0"/>
                    <w:left w:val="single" w:color="auto" w:sz="4" w:space="0"/>
                    <w:bottom w:val="single" w:color="auto" w:sz="4" w:space="0"/>
                    <w:right w:val="single" w:color="auto" w:sz="4" w:space="0"/>
                  </w:tcBorders>
                  <w:noWrap w:val="0"/>
                  <w:vAlign w:val="center"/>
                </w:tcPr>
                <w:p w14:paraId="2F865D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190</w:t>
                  </w:r>
                </w:p>
              </w:tc>
              <w:tc>
                <w:tcPr>
                  <w:tcW w:w="460" w:type="pct"/>
                  <w:tcBorders>
                    <w:top w:val="single" w:color="auto" w:sz="4" w:space="0"/>
                    <w:left w:val="single" w:color="auto" w:sz="4" w:space="0"/>
                    <w:bottom w:val="single" w:color="auto" w:sz="4" w:space="0"/>
                  </w:tcBorders>
                  <w:noWrap w:val="0"/>
                  <w:vAlign w:val="center"/>
                </w:tcPr>
                <w:p w14:paraId="1F7F8CA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140</w:t>
                  </w:r>
                </w:p>
              </w:tc>
            </w:tr>
            <w:tr w14:paraId="3F0422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37" w:type="pct"/>
                  <w:vMerge w:val="restart"/>
                  <w:tcBorders>
                    <w:top w:val="single" w:color="auto" w:sz="4" w:space="0"/>
                    <w:bottom w:val="single" w:color="auto" w:sz="4" w:space="0"/>
                    <w:right w:val="single" w:color="auto" w:sz="4" w:space="0"/>
                  </w:tcBorders>
                  <w:noWrap w:val="0"/>
                  <w:vAlign w:val="center"/>
                </w:tcPr>
                <w:p w14:paraId="78B091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B</w:t>
                  </w:r>
                </w:p>
              </w:tc>
              <w:tc>
                <w:tcPr>
                  <w:tcW w:w="523" w:type="pct"/>
                  <w:tcBorders>
                    <w:top w:val="single" w:color="auto" w:sz="4" w:space="0"/>
                    <w:left w:val="single" w:color="auto" w:sz="4" w:space="0"/>
                    <w:bottom w:val="single" w:color="auto" w:sz="4" w:space="0"/>
                    <w:right w:val="single" w:color="auto" w:sz="4" w:space="0"/>
                  </w:tcBorders>
                  <w:noWrap w:val="0"/>
                  <w:vAlign w:val="center"/>
                </w:tcPr>
                <w:p w14:paraId="32EB65C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1379" w:type="pct"/>
                  <w:gridSpan w:val="3"/>
                  <w:tcBorders>
                    <w:top w:val="single" w:color="auto" w:sz="4" w:space="0"/>
                    <w:left w:val="single" w:color="auto" w:sz="4" w:space="0"/>
                    <w:bottom w:val="single" w:color="auto" w:sz="4" w:space="0"/>
                    <w:right w:val="single" w:color="auto" w:sz="4" w:space="0"/>
                  </w:tcBorders>
                  <w:noWrap w:val="0"/>
                  <w:vAlign w:val="center"/>
                </w:tcPr>
                <w:p w14:paraId="3F150FA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0.01</w:t>
                  </w:r>
                </w:p>
              </w:tc>
              <w:tc>
                <w:tcPr>
                  <w:tcW w:w="1379" w:type="pct"/>
                  <w:gridSpan w:val="3"/>
                  <w:tcBorders>
                    <w:top w:val="single" w:color="auto" w:sz="4" w:space="0"/>
                    <w:left w:val="single" w:color="auto" w:sz="4" w:space="0"/>
                    <w:bottom w:val="single" w:color="auto" w:sz="4" w:space="0"/>
                    <w:right w:val="single" w:color="auto" w:sz="4" w:space="0"/>
                  </w:tcBorders>
                  <w:noWrap w:val="0"/>
                  <w:vAlign w:val="center"/>
                </w:tcPr>
                <w:p w14:paraId="5E1A87E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0.015</w:t>
                  </w:r>
                </w:p>
              </w:tc>
              <w:tc>
                <w:tcPr>
                  <w:tcW w:w="1379" w:type="pct"/>
                  <w:gridSpan w:val="3"/>
                  <w:tcBorders>
                    <w:top w:val="single" w:color="auto" w:sz="4" w:space="0"/>
                    <w:left w:val="single" w:color="auto" w:sz="4" w:space="0"/>
                    <w:bottom w:val="single" w:color="auto" w:sz="4" w:space="0"/>
                  </w:tcBorders>
                  <w:noWrap w:val="0"/>
                  <w:vAlign w:val="center"/>
                </w:tcPr>
                <w:p w14:paraId="4E8B1C0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0.015</w:t>
                  </w:r>
                </w:p>
              </w:tc>
            </w:tr>
            <w:tr w14:paraId="57E0B1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37" w:type="pct"/>
                  <w:vMerge w:val="continue"/>
                  <w:tcBorders>
                    <w:top w:val="single" w:color="auto" w:sz="4" w:space="0"/>
                    <w:bottom w:val="single" w:color="auto" w:sz="4" w:space="0"/>
                    <w:right w:val="single" w:color="auto" w:sz="4" w:space="0"/>
                  </w:tcBorders>
                  <w:noWrap w:val="0"/>
                  <w:vAlign w:val="center"/>
                </w:tcPr>
                <w:p w14:paraId="258788A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523" w:type="pct"/>
                  <w:tcBorders>
                    <w:top w:val="single" w:color="auto" w:sz="4" w:space="0"/>
                    <w:left w:val="single" w:color="auto" w:sz="4" w:space="0"/>
                    <w:bottom w:val="single" w:color="auto" w:sz="4" w:space="0"/>
                    <w:right w:val="single" w:color="auto" w:sz="4" w:space="0"/>
                  </w:tcBorders>
                  <w:noWrap w:val="0"/>
                  <w:vAlign w:val="center"/>
                </w:tcPr>
                <w:p w14:paraId="2153E37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1379" w:type="pct"/>
                  <w:gridSpan w:val="3"/>
                  <w:tcBorders>
                    <w:top w:val="single" w:color="auto" w:sz="4" w:space="0"/>
                    <w:left w:val="single" w:color="auto" w:sz="4" w:space="0"/>
                    <w:bottom w:val="single" w:color="auto" w:sz="4" w:space="0"/>
                    <w:right w:val="single" w:color="auto" w:sz="4" w:space="0"/>
                  </w:tcBorders>
                  <w:noWrap w:val="0"/>
                  <w:vAlign w:val="center"/>
                </w:tcPr>
                <w:p w14:paraId="6EC3EF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0.021</w:t>
                  </w:r>
                </w:p>
              </w:tc>
              <w:tc>
                <w:tcPr>
                  <w:tcW w:w="1379" w:type="pct"/>
                  <w:gridSpan w:val="3"/>
                  <w:tcBorders>
                    <w:top w:val="single" w:color="auto" w:sz="4" w:space="0"/>
                    <w:left w:val="single" w:color="auto" w:sz="4" w:space="0"/>
                    <w:bottom w:val="single" w:color="auto" w:sz="4" w:space="0"/>
                    <w:right w:val="single" w:color="auto" w:sz="4" w:space="0"/>
                  </w:tcBorders>
                  <w:noWrap w:val="0"/>
                  <w:vAlign w:val="center"/>
                </w:tcPr>
                <w:p w14:paraId="564BDB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0.036</w:t>
                  </w:r>
                </w:p>
              </w:tc>
              <w:tc>
                <w:tcPr>
                  <w:tcW w:w="1379" w:type="pct"/>
                  <w:gridSpan w:val="3"/>
                  <w:tcBorders>
                    <w:top w:val="single" w:color="auto" w:sz="4" w:space="0"/>
                    <w:left w:val="single" w:color="auto" w:sz="4" w:space="0"/>
                    <w:bottom w:val="single" w:color="auto" w:sz="4" w:space="0"/>
                  </w:tcBorders>
                  <w:noWrap w:val="0"/>
                  <w:vAlign w:val="center"/>
                </w:tcPr>
                <w:p w14:paraId="7C7DA89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0.036</w:t>
                  </w:r>
                </w:p>
              </w:tc>
            </w:tr>
            <w:tr w14:paraId="1DE595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37" w:type="pct"/>
                  <w:vMerge w:val="restart"/>
                  <w:tcBorders>
                    <w:top w:val="single" w:color="auto" w:sz="4" w:space="0"/>
                    <w:bottom w:val="single" w:color="auto" w:sz="4" w:space="0"/>
                    <w:right w:val="single" w:color="auto" w:sz="4" w:space="0"/>
                  </w:tcBorders>
                  <w:noWrap w:val="0"/>
                  <w:vAlign w:val="center"/>
                </w:tcPr>
                <w:p w14:paraId="75A2DC1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C</w:t>
                  </w:r>
                </w:p>
              </w:tc>
              <w:tc>
                <w:tcPr>
                  <w:tcW w:w="523" w:type="pct"/>
                  <w:tcBorders>
                    <w:top w:val="single" w:color="auto" w:sz="4" w:space="0"/>
                    <w:left w:val="single" w:color="auto" w:sz="4" w:space="0"/>
                    <w:bottom w:val="single" w:color="auto" w:sz="4" w:space="0"/>
                    <w:right w:val="single" w:color="auto" w:sz="4" w:space="0"/>
                  </w:tcBorders>
                  <w:noWrap w:val="0"/>
                  <w:vAlign w:val="center"/>
                </w:tcPr>
                <w:p w14:paraId="6EF1F93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1379" w:type="pct"/>
                  <w:gridSpan w:val="3"/>
                  <w:tcBorders>
                    <w:top w:val="single" w:color="auto" w:sz="4" w:space="0"/>
                    <w:left w:val="single" w:color="auto" w:sz="4" w:space="0"/>
                    <w:bottom w:val="single" w:color="auto" w:sz="4" w:space="0"/>
                    <w:right w:val="single" w:color="auto" w:sz="4" w:space="0"/>
                  </w:tcBorders>
                  <w:noWrap w:val="0"/>
                  <w:vAlign w:val="center"/>
                </w:tcPr>
                <w:p w14:paraId="34BCA3A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1.85</w:t>
                  </w:r>
                </w:p>
              </w:tc>
              <w:tc>
                <w:tcPr>
                  <w:tcW w:w="1379" w:type="pct"/>
                  <w:gridSpan w:val="3"/>
                  <w:tcBorders>
                    <w:top w:val="single" w:color="auto" w:sz="4" w:space="0"/>
                    <w:left w:val="single" w:color="auto" w:sz="4" w:space="0"/>
                    <w:bottom w:val="single" w:color="auto" w:sz="4" w:space="0"/>
                    <w:right w:val="single" w:color="auto" w:sz="4" w:space="0"/>
                  </w:tcBorders>
                  <w:noWrap w:val="0"/>
                  <w:vAlign w:val="center"/>
                </w:tcPr>
                <w:p w14:paraId="5675387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1.79</w:t>
                  </w:r>
                </w:p>
              </w:tc>
              <w:tc>
                <w:tcPr>
                  <w:tcW w:w="1379" w:type="pct"/>
                  <w:gridSpan w:val="3"/>
                  <w:tcBorders>
                    <w:top w:val="single" w:color="auto" w:sz="4" w:space="0"/>
                    <w:left w:val="single" w:color="auto" w:sz="4" w:space="0"/>
                    <w:bottom w:val="single" w:color="auto" w:sz="4" w:space="0"/>
                  </w:tcBorders>
                  <w:noWrap w:val="0"/>
                  <w:vAlign w:val="center"/>
                </w:tcPr>
                <w:p w14:paraId="2F004AF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1.79</w:t>
                  </w:r>
                </w:p>
              </w:tc>
            </w:tr>
            <w:tr w14:paraId="5990EB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37" w:type="pct"/>
                  <w:vMerge w:val="continue"/>
                  <w:tcBorders>
                    <w:top w:val="single" w:color="auto" w:sz="4" w:space="0"/>
                    <w:bottom w:val="single" w:color="auto" w:sz="4" w:space="0"/>
                    <w:right w:val="single" w:color="auto" w:sz="4" w:space="0"/>
                  </w:tcBorders>
                  <w:noWrap w:val="0"/>
                  <w:vAlign w:val="center"/>
                </w:tcPr>
                <w:p w14:paraId="6D2EDDE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523" w:type="pct"/>
                  <w:tcBorders>
                    <w:top w:val="single" w:color="auto" w:sz="4" w:space="0"/>
                    <w:left w:val="single" w:color="auto" w:sz="4" w:space="0"/>
                    <w:bottom w:val="single" w:color="auto" w:sz="4" w:space="0"/>
                    <w:right w:val="single" w:color="auto" w:sz="4" w:space="0"/>
                  </w:tcBorders>
                  <w:noWrap w:val="0"/>
                  <w:vAlign w:val="center"/>
                </w:tcPr>
                <w:p w14:paraId="4DC7191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1379" w:type="pct"/>
                  <w:gridSpan w:val="3"/>
                  <w:tcBorders>
                    <w:top w:val="single" w:color="auto" w:sz="4" w:space="0"/>
                    <w:left w:val="single" w:color="auto" w:sz="4" w:space="0"/>
                    <w:bottom w:val="single" w:color="auto" w:sz="4" w:space="0"/>
                    <w:right w:val="single" w:color="auto" w:sz="4" w:space="0"/>
                  </w:tcBorders>
                  <w:noWrap w:val="0"/>
                  <w:vAlign w:val="center"/>
                </w:tcPr>
                <w:p w14:paraId="0B47577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1.85</w:t>
                  </w:r>
                </w:p>
              </w:tc>
              <w:tc>
                <w:tcPr>
                  <w:tcW w:w="1379" w:type="pct"/>
                  <w:gridSpan w:val="3"/>
                  <w:tcBorders>
                    <w:top w:val="single" w:color="auto" w:sz="4" w:space="0"/>
                    <w:left w:val="single" w:color="auto" w:sz="4" w:space="0"/>
                    <w:bottom w:val="single" w:color="auto" w:sz="4" w:space="0"/>
                    <w:right w:val="single" w:color="auto" w:sz="4" w:space="0"/>
                  </w:tcBorders>
                  <w:noWrap w:val="0"/>
                  <w:vAlign w:val="center"/>
                </w:tcPr>
                <w:p w14:paraId="393D24F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1.77</w:t>
                  </w:r>
                </w:p>
              </w:tc>
              <w:tc>
                <w:tcPr>
                  <w:tcW w:w="1379" w:type="pct"/>
                  <w:gridSpan w:val="3"/>
                  <w:tcBorders>
                    <w:top w:val="single" w:color="auto" w:sz="4" w:space="0"/>
                    <w:left w:val="single" w:color="auto" w:sz="4" w:space="0"/>
                    <w:bottom w:val="single" w:color="auto" w:sz="4" w:space="0"/>
                  </w:tcBorders>
                  <w:noWrap w:val="0"/>
                  <w:vAlign w:val="center"/>
                </w:tcPr>
                <w:p w14:paraId="3605846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1.77</w:t>
                  </w:r>
                </w:p>
              </w:tc>
            </w:tr>
            <w:tr w14:paraId="3C9574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37" w:type="pct"/>
                  <w:vMerge w:val="restart"/>
                  <w:tcBorders>
                    <w:top w:val="single" w:color="auto" w:sz="4" w:space="0"/>
                    <w:bottom w:val="single" w:color="auto" w:sz="4" w:space="0"/>
                    <w:right w:val="single" w:color="auto" w:sz="4" w:space="0"/>
                  </w:tcBorders>
                  <w:noWrap w:val="0"/>
                  <w:vAlign w:val="center"/>
                </w:tcPr>
                <w:p w14:paraId="37D092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D</w:t>
                  </w:r>
                </w:p>
              </w:tc>
              <w:tc>
                <w:tcPr>
                  <w:tcW w:w="523" w:type="pct"/>
                  <w:tcBorders>
                    <w:top w:val="single" w:color="auto" w:sz="4" w:space="0"/>
                    <w:left w:val="single" w:color="auto" w:sz="4" w:space="0"/>
                    <w:bottom w:val="single" w:color="auto" w:sz="4" w:space="0"/>
                    <w:right w:val="single" w:color="auto" w:sz="4" w:space="0"/>
                  </w:tcBorders>
                  <w:noWrap w:val="0"/>
                  <w:vAlign w:val="center"/>
                </w:tcPr>
                <w:p w14:paraId="45BB310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1379" w:type="pct"/>
                  <w:gridSpan w:val="3"/>
                  <w:tcBorders>
                    <w:top w:val="single" w:color="auto" w:sz="4" w:space="0"/>
                    <w:left w:val="single" w:color="auto" w:sz="4" w:space="0"/>
                    <w:bottom w:val="single" w:color="auto" w:sz="4" w:space="0"/>
                    <w:right w:val="single" w:color="auto" w:sz="4" w:space="0"/>
                  </w:tcBorders>
                  <w:noWrap w:val="0"/>
                  <w:vAlign w:val="center"/>
                </w:tcPr>
                <w:p w14:paraId="5B57553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0.78</w:t>
                  </w:r>
                </w:p>
              </w:tc>
              <w:tc>
                <w:tcPr>
                  <w:tcW w:w="1379" w:type="pct"/>
                  <w:gridSpan w:val="3"/>
                  <w:tcBorders>
                    <w:top w:val="single" w:color="auto" w:sz="4" w:space="0"/>
                    <w:left w:val="single" w:color="auto" w:sz="4" w:space="0"/>
                    <w:bottom w:val="single" w:color="auto" w:sz="4" w:space="0"/>
                    <w:right w:val="single" w:color="auto" w:sz="4" w:space="0"/>
                  </w:tcBorders>
                  <w:noWrap w:val="0"/>
                  <w:vAlign w:val="center"/>
                </w:tcPr>
                <w:p w14:paraId="4DD1CFA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0.78</w:t>
                  </w:r>
                </w:p>
              </w:tc>
              <w:tc>
                <w:tcPr>
                  <w:tcW w:w="1379" w:type="pct"/>
                  <w:gridSpan w:val="3"/>
                  <w:tcBorders>
                    <w:top w:val="single" w:color="auto" w:sz="4" w:space="0"/>
                    <w:left w:val="single" w:color="auto" w:sz="4" w:space="0"/>
                    <w:bottom w:val="single" w:color="auto" w:sz="4" w:space="0"/>
                  </w:tcBorders>
                  <w:noWrap w:val="0"/>
                  <w:vAlign w:val="center"/>
                </w:tcPr>
                <w:p w14:paraId="3F9AD4B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0.57</w:t>
                  </w:r>
                </w:p>
              </w:tc>
            </w:tr>
            <w:tr w14:paraId="0F1EF3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37" w:type="pct"/>
                  <w:vMerge w:val="continue"/>
                  <w:tcBorders>
                    <w:top w:val="single" w:color="auto" w:sz="4" w:space="0"/>
                    <w:bottom w:val="single" w:color="auto" w:sz="12" w:space="0"/>
                    <w:right w:val="single" w:color="auto" w:sz="4" w:space="0"/>
                  </w:tcBorders>
                  <w:noWrap w:val="0"/>
                  <w:vAlign w:val="center"/>
                </w:tcPr>
                <w:p w14:paraId="2ECD420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523" w:type="pct"/>
                  <w:tcBorders>
                    <w:top w:val="single" w:color="auto" w:sz="4" w:space="0"/>
                    <w:left w:val="single" w:color="auto" w:sz="4" w:space="0"/>
                    <w:bottom w:val="single" w:color="auto" w:sz="12" w:space="0"/>
                    <w:right w:val="single" w:color="auto" w:sz="4" w:space="0"/>
                  </w:tcBorders>
                  <w:noWrap w:val="0"/>
                  <w:vAlign w:val="center"/>
                </w:tcPr>
                <w:p w14:paraId="73A4578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1379" w:type="pct"/>
                  <w:gridSpan w:val="3"/>
                  <w:tcBorders>
                    <w:top w:val="single" w:color="auto" w:sz="4" w:space="0"/>
                    <w:left w:val="single" w:color="auto" w:sz="4" w:space="0"/>
                    <w:bottom w:val="single" w:color="auto" w:sz="12" w:space="0"/>
                    <w:right w:val="single" w:color="auto" w:sz="4" w:space="0"/>
                  </w:tcBorders>
                  <w:noWrap w:val="0"/>
                  <w:vAlign w:val="center"/>
                </w:tcPr>
                <w:p w14:paraId="3D21FFA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0.84</w:t>
                  </w:r>
                </w:p>
              </w:tc>
              <w:tc>
                <w:tcPr>
                  <w:tcW w:w="1379" w:type="pct"/>
                  <w:gridSpan w:val="3"/>
                  <w:tcBorders>
                    <w:top w:val="single" w:color="auto" w:sz="4" w:space="0"/>
                    <w:left w:val="single" w:color="auto" w:sz="4" w:space="0"/>
                    <w:bottom w:val="single" w:color="auto" w:sz="12" w:space="0"/>
                    <w:right w:val="single" w:color="auto" w:sz="4" w:space="0"/>
                  </w:tcBorders>
                  <w:noWrap w:val="0"/>
                  <w:vAlign w:val="center"/>
                </w:tcPr>
                <w:p w14:paraId="51B345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0.84</w:t>
                  </w:r>
                </w:p>
              </w:tc>
              <w:tc>
                <w:tcPr>
                  <w:tcW w:w="1379" w:type="pct"/>
                  <w:gridSpan w:val="3"/>
                  <w:tcBorders>
                    <w:top w:val="single" w:color="auto" w:sz="4" w:space="0"/>
                    <w:left w:val="single" w:color="auto" w:sz="4" w:space="0"/>
                    <w:bottom w:val="single" w:color="auto" w:sz="12" w:space="0"/>
                  </w:tcBorders>
                  <w:noWrap w:val="0"/>
                  <w:vAlign w:val="center"/>
                </w:tcPr>
                <w:p w14:paraId="452BACB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0.76</w:t>
                  </w:r>
                </w:p>
              </w:tc>
            </w:tr>
          </w:tbl>
          <w:p w14:paraId="1191918A">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注：工业企业大气污染源构成分为三类：</w:t>
            </w:r>
          </w:p>
          <w:p w14:paraId="6C12B9F2">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Ⅰ类：与无组织排放源共存的排放同种有害气体的排气筒的排放量，大于标准规定的允许排放量的三分之一者。</w:t>
            </w:r>
          </w:p>
          <w:p w14:paraId="3C8540C0">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Ⅱ类：与无组织排放源共存的排放同种有害气体的排气筒的排放量，小于标准规定的允许排放量的三分之一，或虽无排放同种大气污染物之排气筒共存，但无组织排放的有害物质的容许浓度指标是按急性反应指标确定者。</w:t>
            </w:r>
          </w:p>
          <w:p w14:paraId="05DFA355">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Ⅲ类：无排放同种有害物质的排气筒与无组织排放源共存，且无组织排放的有害物质容许浓度是按慢性反应指标确定者。</w:t>
            </w:r>
          </w:p>
          <w:p w14:paraId="2995968D">
            <w:pPr>
              <w:keepNext w:val="0"/>
              <w:keepLines w:val="0"/>
              <w:suppressLineNumbers w:val="0"/>
              <w:snapToGrid w:val="0"/>
              <w:spacing w:before="120" w:beforeLines="50" w:beforeAutospacing="0" w:after="0" w:afterAutospacing="0"/>
              <w:ind w:left="0" w:right="0" w:firstLine="480" w:firstLineChars="200"/>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highlight w:val="none"/>
              </w:rPr>
              <w:t>卫生防护距离见</w:t>
            </w:r>
            <w:r>
              <w:rPr>
                <w:rFonts w:hint="eastAsia" w:ascii="Times New Roman" w:hAnsi="Times New Roman" w:eastAsia="宋体" w:cs="Times New Roman"/>
                <w:color w:val="auto"/>
                <w:sz w:val="24"/>
                <w:highlight w:val="none"/>
                <w:lang w:val="en-US" w:eastAsia="zh-CN"/>
              </w:rPr>
              <w:t>下表</w:t>
            </w:r>
            <w:r>
              <w:rPr>
                <w:rFonts w:hint="default" w:ascii="Times New Roman" w:hAnsi="Times New Roman" w:eastAsia="宋体" w:cs="Times New Roman"/>
                <w:color w:val="auto"/>
                <w:sz w:val="24"/>
                <w:highlight w:val="none"/>
              </w:rPr>
              <w:t>。</w:t>
            </w:r>
          </w:p>
          <w:p w14:paraId="14BE3FD6">
            <w:pPr>
              <w:pStyle w:val="6"/>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eastAsia"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kern w:val="2"/>
                <w:sz w:val="24"/>
                <w:szCs w:val="24"/>
                <w:lang w:val="en-US" w:eastAsia="zh-CN" w:bidi="ar-SA"/>
              </w:rPr>
              <w:t>表4-1</w:t>
            </w:r>
            <w:r>
              <w:rPr>
                <w:rFonts w:hint="eastAsia" w:ascii="Times New Roman" w:hAnsi="Times New Roman" w:eastAsia="宋体" w:cs="Times New Roman"/>
                <w:b/>
                <w:bCs/>
                <w:color w:val="auto"/>
                <w:kern w:val="2"/>
                <w:sz w:val="24"/>
                <w:szCs w:val="24"/>
                <w:lang w:val="en-US" w:eastAsia="zh-CN" w:bidi="ar-SA"/>
              </w:rPr>
              <w:t xml:space="preserve">3  </w:t>
            </w:r>
            <w:r>
              <w:rPr>
                <w:rFonts w:hint="eastAsia" w:ascii="Times New Roman" w:hAnsi="Times New Roman" w:eastAsia="宋体" w:cs="Times New Roman"/>
                <w:b/>
                <w:bCs/>
                <w:color w:val="auto"/>
                <w:sz w:val="24"/>
                <w:highlight w:val="none"/>
                <w:lang w:val="en-US" w:eastAsia="zh-CN"/>
              </w:rPr>
              <w:t>本项目卫生防护距离计算表</w:t>
            </w:r>
          </w:p>
          <w:tbl>
            <w:tblPr>
              <w:tblStyle w:val="25"/>
              <w:tblW w:w="4997"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fixed"/>
              <w:tblCellMar>
                <w:top w:w="0" w:type="dxa"/>
                <w:left w:w="108" w:type="dxa"/>
                <w:bottom w:w="0" w:type="dxa"/>
                <w:right w:w="108" w:type="dxa"/>
              </w:tblCellMar>
            </w:tblPr>
            <w:tblGrid>
              <w:gridCol w:w="1143"/>
              <w:gridCol w:w="566"/>
              <w:gridCol w:w="485"/>
              <w:gridCol w:w="1179"/>
              <w:gridCol w:w="1388"/>
              <w:gridCol w:w="747"/>
              <w:gridCol w:w="768"/>
              <w:gridCol w:w="652"/>
              <w:gridCol w:w="652"/>
              <w:gridCol w:w="979"/>
              <w:gridCol w:w="612"/>
            </w:tblGrid>
            <w:tr w14:paraId="6C9A7487">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cantSplit/>
                <w:trHeight w:val="610" w:hRule="atLeast"/>
                <w:jc w:val="center"/>
              </w:trPr>
              <w:tc>
                <w:tcPr>
                  <w:tcW w:w="623" w:type="pct"/>
                  <w:vMerge w:val="restart"/>
                  <w:noWrap w:val="0"/>
                  <w:vAlign w:val="center"/>
                </w:tcPr>
                <w:p w14:paraId="1555C02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污染源位置</w:t>
                  </w:r>
                </w:p>
              </w:tc>
              <w:tc>
                <w:tcPr>
                  <w:tcW w:w="572" w:type="pct"/>
                  <w:gridSpan w:val="2"/>
                  <w:vMerge w:val="restart"/>
                  <w:noWrap w:val="0"/>
                  <w:vAlign w:val="center"/>
                </w:tcPr>
                <w:p w14:paraId="0773B61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污染物名称</w:t>
                  </w:r>
                </w:p>
              </w:tc>
              <w:tc>
                <w:tcPr>
                  <w:tcW w:w="642" w:type="pct"/>
                  <w:vMerge w:val="restart"/>
                  <w:noWrap w:val="0"/>
                  <w:vAlign w:val="center"/>
                </w:tcPr>
                <w:p w14:paraId="0730D85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Q</w:t>
                  </w:r>
                  <w:r>
                    <w:rPr>
                      <w:rFonts w:hint="default" w:ascii="Times New Roman" w:hAnsi="Times New Roman" w:eastAsia="宋体" w:cs="Times New Roman"/>
                      <w:b/>
                      <w:bCs/>
                      <w:color w:val="auto"/>
                      <w:sz w:val="21"/>
                      <w:szCs w:val="21"/>
                      <w:highlight w:val="none"/>
                      <w:vertAlign w:val="subscript"/>
                    </w:rPr>
                    <w:t>c</w:t>
                  </w:r>
                </w:p>
                <w:p w14:paraId="5B3057C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（kg/h）</w:t>
                  </w:r>
                </w:p>
              </w:tc>
              <w:tc>
                <w:tcPr>
                  <w:tcW w:w="756" w:type="pct"/>
                  <w:vMerge w:val="restart"/>
                  <w:noWrap w:val="0"/>
                  <w:vAlign w:val="center"/>
                </w:tcPr>
                <w:p w14:paraId="5679226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C</w:t>
                  </w:r>
                  <w:r>
                    <w:rPr>
                      <w:rFonts w:hint="default" w:ascii="Times New Roman" w:hAnsi="Times New Roman" w:eastAsia="宋体" w:cs="Times New Roman"/>
                      <w:b/>
                      <w:bCs/>
                      <w:color w:val="auto"/>
                      <w:sz w:val="21"/>
                      <w:szCs w:val="21"/>
                      <w:highlight w:val="none"/>
                      <w:vertAlign w:val="subscript"/>
                    </w:rPr>
                    <w:t>m</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407" w:type="pct"/>
                  <w:vMerge w:val="restart"/>
                  <w:noWrap w:val="0"/>
                  <w:vAlign w:val="center"/>
                </w:tcPr>
                <w:p w14:paraId="4125154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A</w:t>
                  </w:r>
                </w:p>
              </w:tc>
              <w:tc>
                <w:tcPr>
                  <w:tcW w:w="418" w:type="pct"/>
                  <w:vMerge w:val="restart"/>
                  <w:noWrap w:val="0"/>
                  <w:vAlign w:val="center"/>
                </w:tcPr>
                <w:p w14:paraId="36B2C6B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B</w:t>
                  </w:r>
                </w:p>
              </w:tc>
              <w:tc>
                <w:tcPr>
                  <w:tcW w:w="355" w:type="pct"/>
                  <w:vMerge w:val="restart"/>
                  <w:noWrap w:val="0"/>
                  <w:vAlign w:val="center"/>
                </w:tcPr>
                <w:p w14:paraId="7590815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C</w:t>
                  </w:r>
                </w:p>
              </w:tc>
              <w:tc>
                <w:tcPr>
                  <w:tcW w:w="355" w:type="pct"/>
                  <w:vMerge w:val="restart"/>
                  <w:noWrap w:val="0"/>
                  <w:vAlign w:val="center"/>
                </w:tcPr>
                <w:p w14:paraId="2A50390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D</w:t>
                  </w:r>
                </w:p>
              </w:tc>
              <w:tc>
                <w:tcPr>
                  <w:tcW w:w="866" w:type="pct"/>
                  <w:gridSpan w:val="2"/>
                  <w:noWrap w:val="0"/>
                  <w:vAlign w:val="center"/>
                </w:tcPr>
                <w:p w14:paraId="072BDF1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卫生防护距</w:t>
                  </w:r>
                  <w:r>
                    <w:rPr>
                      <w:rFonts w:hint="eastAsia" w:ascii="Times New Roman" w:hAnsi="Times New Roman" w:eastAsia="宋体" w:cs="Times New Roman"/>
                      <w:b/>
                      <w:bCs/>
                      <w:color w:val="auto"/>
                      <w:sz w:val="21"/>
                      <w:szCs w:val="21"/>
                      <w:highlight w:val="none"/>
                    </w:rPr>
                    <w:t>离</w:t>
                  </w:r>
                  <w:r>
                    <w:rPr>
                      <w:rFonts w:hint="default" w:ascii="Times New Roman" w:hAnsi="Times New Roman" w:eastAsia="宋体" w:cs="Times New Roman"/>
                      <w:b/>
                      <w:bCs/>
                      <w:color w:val="auto"/>
                      <w:sz w:val="21"/>
                      <w:szCs w:val="21"/>
                      <w:highlight w:val="none"/>
                    </w:rPr>
                    <w:t>（m）</w:t>
                  </w:r>
                </w:p>
              </w:tc>
            </w:tr>
            <w:tr w14:paraId="1ADC4D78">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cantSplit/>
                <w:trHeight w:val="296" w:hRule="atLeast"/>
                <w:jc w:val="center"/>
              </w:trPr>
              <w:tc>
                <w:tcPr>
                  <w:tcW w:w="623" w:type="pct"/>
                  <w:vMerge w:val="continue"/>
                  <w:noWrap w:val="0"/>
                  <w:vAlign w:val="center"/>
                </w:tcPr>
                <w:p w14:paraId="428B0DF5">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color w:val="auto"/>
                      <w:sz w:val="21"/>
                      <w:szCs w:val="21"/>
                      <w:highlight w:val="none"/>
                    </w:rPr>
                  </w:pPr>
                </w:p>
              </w:tc>
              <w:tc>
                <w:tcPr>
                  <w:tcW w:w="572" w:type="pct"/>
                  <w:gridSpan w:val="2"/>
                  <w:vMerge w:val="continue"/>
                  <w:noWrap w:val="0"/>
                  <w:vAlign w:val="center"/>
                </w:tcPr>
                <w:p w14:paraId="3E15AA37">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color w:val="auto"/>
                      <w:sz w:val="21"/>
                      <w:szCs w:val="21"/>
                      <w:highlight w:val="none"/>
                    </w:rPr>
                  </w:pPr>
                </w:p>
              </w:tc>
              <w:tc>
                <w:tcPr>
                  <w:tcW w:w="642" w:type="pct"/>
                  <w:vMerge w:val="continue"/>
                  <w:noWrap w:val="0"/>
                  <w:vAlign w:val="center"/>
                </w:tcPr>
                <w:p w14:paraId="27AA7C66">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color w:val="auto"/>
                      <w:sz w:val="21"/>
                      <w:szCs w:val="21"/>
                      <w:highlight w:val="none"/>
                    </w:rPr>
                  </w:pPr>
                </w:p>
              </w:tc>
              <w:tc>
                <w:tcPr>
                  <w:tcW w:w="756" w:type="pct"/>
                  <w:vMerge w:val="continue"/>
                  <w:noWrap w:val="0"/>
                  <w:vAlign w:val="center"/>
                </w:tcPr>
                <w:p w14:paraId="45F2CF88">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color w:val="auto"/>
                      <w:sz w:val="21"/>
                      <w:szCs w:val="21"/>
                      <w:highlight w:val="none"/>
                    </w:rPr>
                  </w:pPr>
                </w:p>
              </w:tc>
              <w:tc>
                <w:tcPr>
                  <w:tcW w:w="407" w:type="pct"/>
                  <w:vMerge w:val="continue"/>
                  <w:noWrap w:val="0"/>
                  <w:vAlign w:val="center"/>
                </w:tcPr>
                <w:p w14:paraId="255FBDB0">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color w:val="auto"/>
                      <w:sz w:val="21"/>
                      <w:szCs w:val="21"/>
                      <w:highlight w:val="none"/>
                    </w:rPr>
                  </w:pPr>
                </w:p>
              </w:tc>
              <w:tc>
                <w:tcPr>
                  <w:tcW w:w="418" w:type="pct"/>
                  <w:vMerge w:val="continue"/>
                  <w:noWrap w:val="0"/>
                  <w:vAlign w:val="center"/>
                </w:tcPr>
                <w:p w14:paraId="0ADF9E4B">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color w:val="auto"/>
                      <w:sz w:val="21"/>
                      <w:szCs w:val="21"/>
                      <w:highlight w:val="none"/>
                    </w:rPr>
                  </w:pPr>
                </w:p>
              </w:tc>
              <w:tc>
                <w:tcPr>
                  <w:tcW w:w="355" w:type="pct"/>
                  <w:vMerge w:val="continue"/>
                  <w:noWrap w:val="0"/>
                  <w:vAlign w:val="center"/>
                </w:tcPr>
                <w:p w14:paraId="60A076F5">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color w:val="auto"/>
                      <w:sz w:val="21"/>
                      <w:szCs w:val="21"/>
                      <w:highlight w:val="none"/>
                    </w:rPr>
                  </w:pPr>
                </w:p>
              </w:tc>
              <w:tc>
                <w:tcPr>
                  <w:tcW w:w="355" w:type="pct"/>
                  <w:vMerge w:val="continue"/>
                  <w:noWrap w:val="0"/>
                  <w:vAlign w:val="center"/>
                </w:tcPr>
                <w:p w14:paraId="0D1B992D">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color w:val="auto"/>
                      <w:sz w:val="21"/>
                      <w:szCs w:val="21"/>
                      <w:highlight w:val="none"/>
                    </w:rPr>
                  </w:pPr>
                </w:p>
              </w:tc>
              <w:tc>
                <w:tcPr>
                  <w:tcW w:w="533" w:type="pct"/>
                  <w:noWrap w:val="0"/>
                  <w:vAlign w:val="center"/>
                </w:tcPr>
                <w:p w14:paraId="7DD50EB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L</w:t>
                  </w:r>
                  <w:r>
                    <w:rPr>
                      <w:rFonts w:hint="default" w:ascii="Times New Roman" w:hAnsi="Times New Roman" w:eastAsia="宋体" w:cs="Times New Roman"/>
                      <w:b/>
                      <w:bCs/>
                      <w:color w:val="auto"/>
                      <w:sz w:val="21"/>
                      <w:szCs w:val="21"/>
                      <w:highlight w:val="none"/>
                      <w:vertAlign w:val="subscript"/>
                    </w:rPr>
                    <w:t>计</w:t>
                  </w:r>
                </w:p>
              </w:tc>
              <w:tc>
                <w:tcPr>
                  <w:tcW w:w="333" w:type="pct"/>
                  <w:noWrap w:val="0"/>
                  <w:vAlign w:val="center"/>
                </w:tcPr>
                <w:p w14:paraId="13DD52D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L</w:t>
                  </w:r>
                </w:p>
              </w:tc>
            </w:tr>
            <w:tr w14:paraId="65F86444">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cantSplit/>
                <w:trHeight w:val="94" w:hRule="atLeast"/>
                <w:jc w:val="center"/>
              </w:trPr>
              <w:tc>
                <w:tcPr>
                  <w:tcW w:w="623" w:type="pct"/>
                  <w:vMerge w:val="restart"/>
                  <w:noWrap w:val="0"/>
                  <w:vAlign w:val="center"/>
                </w:tcPr>
                <w:p w14:paraId="54EE51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整个车间</w:t>
                  </w:r>
                </w:p>
              </w:tc>
              <w:tc>
                <w:tcPr>
                  <w:tcW w:w="572" w:type="pct"/>
                  <w:gridSpan w:val="2"/>
                  <w:noWrap w:val="0"/>
                  <w:vAlign w:val="center"/>
                </w:tcPr>
                <w:p w14:paraId="11176D20">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非甲烷总烃</w:t>
                  </w:r>
                </w:p>
              </w:tc>
              <w:tc>
                <w:tcPr>
                  <w:tcW w:w="1179" w:type="dxa"/>
                  <w:noWrap w:val="0"/>
                  <w:vAlign w:val="center"/>
                </w:tcPr>
                <w:p w14:paraId="26FB72F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cs="Times New Roman"/>
                      <w:b w:val="0"/>
                      <w:bCs w:val="0"/>
                      <w:color w:val="auto"/>
                      <w:szCs w:val="21"/>
                      <w:highlight w:val="none"/>
                      <w:lang w:val="en-US" w:eastAsia="zh-CN"/>
                    </w:rPr>
                    <w:t>0.002</w:t>
                  </w:r>
                  <w:r>
                    <w:rPr>
                      <w:rFonts w:hint="eastAsia" w:cs="Times New Roman"/>
                      <w:b w:val="0"/>
                      <w:bCs w:val="0"/>
                      <w:color w:val="auto"/>
                      <w:szCs w:val="21"/>
                      <w:highlight w:val="none"/>
                      <w:lang w:val="en-US" w:eastAsia="zh-CN"/>
                    </w:rPr>
                    <w:t>3</w:t>
                  </w:r>
                </w:p>
              </w:tc>
              <w:tc>
                <w:tcPr>
                  <w:tcW w:w="756" w:type="pct"/>
                  <w:noWrap w:val="0"/>
                  <w:vAlign w:val="center"/>
                </w:tcPr>
                <w:p w14:paraId="103AAFC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w:t>
                  </w:r>
                </w:p>
              </w:tc>
              <w:tc>
                <w:tcPr>
                  <w:tcW w:w="407" w:type="pct"/>
                  <w:noWrap w:val="0"/>
                  <w:vAlign w:val="center"/>
                </w:tcPr>
                <w:p w14:paraId="5FC2F31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400</w:t>
                  </w:r>
                </w:p>
              </w:tc>
              <w:tc>
                <w:tcPr>
                  <w:tcW w:w="418" w:type="pct"/>
                  <w:noWrap w:val="0"/>
                  <w:vAlign w:val="center"/>
                </w:tcPr>
                <w:p w14:paraId="39C36C8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0.10</w:t>
                  </w:r>
                </w:p>
              </w:tc>
              <w:tc>
                <w:tcPr>
                  <w:tcW w:w="355" w:type="pct"/>
                  <w:noWrap w:val="0"/>
                  <w:vAlign w:val="center"/>
                </w:tcPr>
                <w:p w14:paraId="123EF39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0.85</w:t>
                  </w:r>
                </w:p>
              </w:tc>
              <w:tc>
                <w:tcPr>
                  <w:tcW w:w="355" w:type="pct"/>
                  <w:noWrap w:val="0"/>
                  <w:vAlign w:val="center"/>
                </w:tcPr>
                <w:p w14:paraId="62579D0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0.78</w:t>
                  </w:r>
                </w:p>
              </w:tc>
              <w:tc>
                <w:tcPr>
                  <w:tcW w:w="533" w:type="pct"/>
                  <w:noWrap w:val="0"/>
                  <w:vAlign w:val="center"/>
                </w:tcPr>
                <w:p w14:paraId="660078F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0.013</w:t>
                  </w:r>
                </w:p>
              </w:tc>
              <w:tc>
                <w:tcPr>
                  <w:tcW w:w="333" w:type="pct"/>
                  <w:noWrap w:val="0"/>
                  <w:vAlign w:val="center"/>
                </w:tcPr>
                <w:p w14:paraId="3A61A9C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r>
            <w:tr w14:paraId="3B1A8F0B">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cantSplit/>
                <w:trHeight w:val="540" w:hRule="atLeast"/>
                <w:jc w:val="center"/>
              </w:trPr>
              <w:tc>
                <w:tcPr>
                  <w:tcW w:w="623" w:type="pct"/>
                  <w:vMerge w:val="continue"/>
                  <w:noWrap w:val="0"/>
                  <w:vAlign w:val="center"/>
                </w:tcPr>
                <w:p w14:paraId="064B9DE4">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kern w:val="2"/>
                      <w:sz w:val="21"/>
                      <w:szCs w:val="21"/>
                      <w:highlight w:val="none"/>
                      <w:lang w:val="en-US" w:eastAsia="zh-CN" w:bidi="ar-SA"/>
                    </w:rPr>
                  </w:pPr>
                </w:p>
              </w:tc>
              <w:tc>
                <w:tcPr>
                  <w:tcW w:w="308" w:type="pct"/>
                  <w:tcBorders>
                    <w:right w:val="single" w:color="auto" w:sz="4" w:space="0"/>
                  </w:tcBorders>
                  <w:noWrap w:val="0"/>
                  <w:vAlign w:val="center"/>
                </w:tcPr>
                <w:p w14:paraId="49CD2F38">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包含</w:t>
                  </w:r>
                </w:p>
              </w:tc>
              <w:tc>
                <w:tcPr>
                  <w:tcW w:w="264" w:type="pct"/>
                  <w:tcBorders>
                    <w:left w:val="single" w:color="auto" w:sz="4" w:space="0"/>
                  </w:tcBorders>
                  <w:noWrap w:val="0"/>
                  <w:vAlign w:val="center"/>
                </w:tcPr>
                <w:p w14:paraId="694AD10D">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甲醇</w:t>
                  </w:r>
                </w:p>
              </w:tc>
              <w:tc>
                <w:tcPr>
                  <w:tcW w:w="1179" w:type="dxa"/>
                  <w:noWrap w:val="0"/>
                  <w:vAlign w:val="center"/>
                </w:tcPr>
                <w:p w14:paraId="2E7C7B3F">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cs="Times New Roman"/>
                      <w:b w:val="0"/>
                      <w:bCs w:val="0"/>
                      <w:color w:val="auto"/>
                      <w:szCs w:val="21"/>
                      <w:highlight w:val="none"/>
                      <w:lang w:val="en-US" w:eastAsia="zh-CN"/>
                    </w:rPr>
                    <w:t>0.0001</w:t>
                  </w:r>
                  <w:r>
                    <w:rPr>
                      <w:rFonts w:hint="eastAsia" w:cs="Times New Roman"/>
                      <w:b w:val="0"/>
                      <w:bCs w:val="0"/>
                      <w:color w:val="auto"/>
                      <w:szCs w:val="21"/>
                      <w:highlight w:val="none"/>
                      <w:lang w:val="en-US" w:eastAsia="zh-CN"/>
                    </w:rPr>
                    <w:t>5</w:t>
                  </w:r>
                </w:p>
              </w:tc>
              <w:tc>
                <w:tcPr>
                  <w:tcW w:w="756" w:type="pct"/>
                  <w:noWrap w:val="0"/>
                  <w:vAlign w:val="center"/>
                </w:tcPr>
                <w:p w14:paraId="3AF1FDC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50.0</w:t>
                  </w:r>
                </w:p>
              </w:tc>
              <w:tc>
                <w:tcPr>
                  <w:tcW w:w="407" w:type="pct"/>
                  <w:noWrap w:val="0"/>
                  <w:vAlign w:val="center"/>
                </w:tcPr>
                <w:p w14:paraId="46E6CB4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400</w:t>
                  </w:r>
                </w:p>
              </w:tc>
              <w:tc>
                <w:tcPr>
                  <w:tcW w:w="418" w:type="pct"/>
                  <w:noWrap w:val="0"/>
                  <w:vAlign w:val="center"/>
                </w:tcPr>
                <w:p w14:paraId="51940EF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0.10</w:t>
                  </w:r>
                </w:p>
              </w:tc>
              <w:tc>
                <w:tcPr>
                  <w:tcW w:w="355" w:type="pct"/>
                  <w:noWrap w:val="0"/>
                  <w:vAlign w:val="center"/>
                </w:tcPr>
                <w:p w14:paraId="1314E32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1.85</w:t>
                  </w:r>
                </w:p>
              </w:tc>
              <w:tc>
                <w:tcPr>
                  <w:tcW w:w="355" w:type="pct"/>
                  <w:noWrap w:val="0"/>
                  <w:vAlign w:val="center"/>
                </w:tcPr>
                <w:p w14:paraId="6EA5905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0.78</w:t>
                  </w:r>
                </w:p>
              </w:tc>
              <w:tc>
                <w:tcPr>
                  <w:tcW w:w="533" w:type="pct"/>
                  <w:noWrap w:val="0"/>
                  <w:vAlign w:val="center"/>
                </w:tcPr>
                <w:p w14:paraId="37B99A2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0.0001</w:t>
                  </w:r>
                </w:p>
              </w:tc>
              <w:tc>
                <w:tcPr>
                  <w:tcW w:w="333" w:type="pct"/>
                  <w:noWrap w:val="0"/>
                  <w:vAlign w:val="center"/>
                </w:tcPr>
                <w:p w14:paraId="1DDB7FB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r>
          </w:tbl>
          <w:p w14:paraId="15D093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rPr>
            </w:pPr>
            <w:r>
              <w:rPr>
                <w:rFonts w:hint="eastAsia" w:cs="宋体"/>
                <w:color w:val="auto"/>
                <w:sz w:val="24"/>
                <w:highlight w:val="none"/>
              </w:rPr>
              <w:t>由上表可见，</w:t>
            </w:r>
            <w:r>
              <w:rPr>
                <w:rFonts w:hint="eastAsia" w:cs="宋体"/>
                <w:color w:val="auto"/>
                <w:sz w:val="24"/>
                <w:szCs w:val="24"/>
                <w:highlight w:val="none"/>
              </w:rPr>
              <w:t>本项目建成后全厂卫生防护距离为</w:t>
            </w:r>
            <w:r>
              <w:rPr>
                <w:rFonts w:hint="eastAsia" w:cs="宋体"/>
                <w:color w:val="auto"/>
                <w:sz w:val="24"/>
                <w:highlight w:val="none"/>
                <w:lang w:val="en-US" w:eastAsia="zh-CN"/>
              </w:rPr>
              <w:t>生产车间外50</w:t>
            </w:r>
            <w:r>
              <w:rPr>
                <w:rFonts w:hint="eastAsia" w:cs="宋体"/>
                <w:color w:val="auto"/>
                <w:sz w:val="24"/>
                <w:highlight w:val="none"/>
              </w:rPr>
              <w:t>m</w:t>
            </w:r>
            <w:r>
              <w:rPr>
                <w:rFonts w:hint="eastAsia" w:cs="宋体"/>
                <w:color w:val="auto"/>
                <w:sz w:val="24"/>
                <w:szCs w:val="24"/>
                <w:highlight w:val="none"/>
              </w:rPr>
              <w:t>。由</w:t>
            </w:r>
            <w:r>
              <w:rPr>
                <w:rFonts w:hint="eastAsia" w:cs="宋体"/>
                <w:color w:val="auto"/>
                <w:sz w:val="24"/>
                <w:szCs w:val="24"/>
                <w:highlight w:val="red"/>
              </w:rPr>
              <w:t>图2-3</w:t>
            </w:r>
            <w:r>
              <w:rPr>
                <w:rFonts w:hint="eastAsia" w:cs="宋体"/>
                <w:color w:val="auto"/>
                <w:sz w:val="24"/>
                <w:szCs w:val="24"/>
                <w:highlight w:val="none"/>
              </w:rPr>
              <w:t>可见，</w:t>
            </w:r>
            <w:r>
              <w:rPr>
                <w:rFonts w:hint="eastAsia"/>
                <w:snapToGrid w:val="0"/>
                <w:color w:val="auto"/>
                <w:sz w:val="24"/>
                <w:szCs w:val="22"/>
                <w:highlight w:val="none"/>
              </w:rPr>
              <w:t>卫生防护距离</w:t>
            </w:r>
            <w:r>
              <w:rPr>
                <w:rFonts w:hint="default"/>
                <w:color w:val="auto"/>
                <w:sz w:val="24"/>
                <w:szCs w:val="22"/>
                <w:highlight w:val="none"/>
              </w:rPr>
              <w:t>范围内无学校、医院、居民点等敏感目标，能满足卫生防护距离的设置要求</w:t>
            </w:r>
            <w:r>
              <w:rPr>
                <w:rStyle w:val="30"/>
                <w:rFonts w:hint="eastAsia"/>
                <w:color w:val="auto"/>
                <w:highlight w:val="none"/>
              </w:rPr>
              <w:t>，</w:t>
            </w:r>
            <w:r>
              <w:rPr>
                <w:rFonts w:hint="default"/>
                <w:color w:val="auto"/>
                <w:sz w:val="24"/>
                <w:szCs w:val="24"/>
                <w:highlight w:val="none"/>
              </w:rPr>
              <w:t>且以后在此范围内也不得建设居民、学校等敏感点。</w:t>
            </w:r>
          </w:p>
          <w:p w14:paraId="2BC40223">
            <w:pPr>
              <w:keepNext w:val="0"/>
              <w:keepLines w:val="0"/>
              <w:suppressLineNumbers w:val="0"/>
              <w:spacing w:before="0" w:beforeAutospacing="0" w:after="0" w:afterAutospacing="0" w:line="360" w:lineRule="auto"/>
              <w:ind w:left="0" w:right="0" w:firstLine="482" w:firstLineChars="200"/>
              <w:textAlignment w:val="baseline"/>
              <w:rPr>
                <w:rFonts w:hint="default"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rPr>
              <w:t>（</w:t>
            </w:r>
            <w:r>
              <w:rPr>
                <w:rFonts w:hint="eastAsia" w:ascii="Times New Roman" w:hAnsi="Times New Roman" w:eastAsia="宋体" w:cs="Times New Roman"/>
                <w:b/>
                <w:bCs/>
                <w:color w:val="auto"/>
                <w:sz w:val="24"/>
                <w:highlight w:val="none"/>
                <w:lang w:val="en-US" w:eastAsia="zh-CN"/>
              </w:rPr>
              <w:t>7</w:t>
            </w:r>
            <w:r>
              <w:rPr>
                <w:rFonts w:hint="eastAsia" w:ascii="Times New Roman" w:hAnsi="Times New Roman" w:eastAsia="宋体" w:cs="Times New Roman"/>
                <w:b/>
                <w:bCs/>
                <w:color w:val="auto"/>
                <w:sz w:val="24"/>
                <w:highlight w:val="none"/>
              </w:rPr>
              <w:t>）</w:t>
            </w:r>
            <w:r>
              <w:rPr>
                <w:rFonts w:hint="default" w:ascii="Times New Roman" w:hAnsi="Times New Roman" w:eastAsia="宋体" w:cs="Times New Roman"/>
                <w:b/>
                <w:bCs/>
                <w:color w:val="auto"/>
                <w:spacing w:val="4"/>
                <w:sz w:val="24"/>
                <w:highlight w:val="none"/>
              </w:rPr>
              <w:t>废气污染源监测计划</w:t>
            </w:r>
          </w:p>
          <w:p w14:paraId="1460EA76">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szCs w:val="32"/>
                <w:highlight w:val="none"/>
                <w:lang w:eastAsia="zh-CN"/>
              </w:rPr>
              <w:t>根据《固定污染源排污许可分类管理名录》（</w:t>
            </w:r>
            <w:r>
              <w:rPr>
                <w:rFonts w:hint="eastAsia" w:ascii="Times New Roman" w:hAnsi="Times New Roman" w:eastAsia="宋体" w:cs="Times New Roman"/>
                <w:color w:val="auto"/>
                <w:sz w:val="24"/>
                <w:szCs w:val="32"/>
                <w:highlight w:val="none"/>
                <w:lang w:val="en-US" w:eastAsia="zh-CN"/>
              </w:rPr>
              <w:t>2019年版），企业实行排污许可登记管理。</w:t>
            </w:r>
            <w:r>
              <w:rPr>
                <w:rFonts w:hint="eastAsia" w:ascii="Times New Roman" w:hAnsi="Times New Roman" w:eastAsia="宋体" w:cs="Times New Roman"/>
                <w:color w:val="auto"/>
                <w:sz w:val="24"/>
                <w:highlight w:val="none"/>
              </w:rPr>
              <w:t>参考《</w:t>
            </w:r>
            <w:r>
              <w:rPr>
                <w:rFonts w:hint="default" w:ascii="Times New Roman" w:hAnsi="Times New Roman" w:eastAsia="宋体" w:cs="宋体"/>
                <w:color w:val="auto"/>
                <w:sz w:val="24"/>
                <w:szCs w:val="24"/>
                <w:highlight w:val="none"/>
              </w:rPr>
              <w:t>排污单位自行监测技术指南 总则</w:t>
            </w:r>
            <w:r>
              <w:rPr>
                <w:rFonts w:hint="eastAsia" w:ascii="Times New Roman" w:hAnsi="Times New Roman" w:eastAsia="宋体" w:cs="Times New Roman"/>
                <w:color w:val="auto"/>
                <w:sz w:val="24"/>
                <w:highlight w:val="none"/>
              </w:rPr>
              <w:t>》（HJ</w:t>
            </w:r>
            <w:r>
              <w:rPr>
                <w:rFonts w:hint="eastAsia" w:ascii="Times New Roman" w:hAnsi="Times New Roman" w:eastAsia="宋体" w:cs="Times New Roman"/>
                <w:color w:val="auto"/>
                <w:sz w:val="24"/>
                <w:highlight w:val="none"/>
                <w:lang w:val="en-US" w:eastAsia="zh-CN"/>
              </w:rPr>
              <w:t>819</w:t>
            </w:r>
            <w:r>
              <w:rPr>
                <w:rFonts w:hint="eastAsia" w:ascii="Times New Roman" w:hAnsi="Times New Roman" w:eastAsia="宋体" w:cs="Times New Roman"/>
                <w:color w:val="auto"/>
                <w:sz w:val="24"/>
                <w:highlight w:val="none"/>
              </w:rPr>
              <w:t>-201</w:t>
            </w:r>
            <w:r>
              <w:rPr>
                <w:rFonts w:hint="eastAsia" w:ascii="Times New Roman" w:hAnsi="Times New Roman" w:eastAsia="宋体" w:cs="Times New Roman"/>
                <w:color w:val="auto"/>
                <w:sz w:val="24"/>
                <w:highlight w:val="none"/>
                <w:lang w:val="en-US" w:eastAsia="zh-CN"/>
              </w:rPr>
              <w:t>7</w:t>
            </w:r>
            <w:r>
              <w:rPr>
                <w:rFonts w:hint="eastAsia"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rPr>
              <w:t>表</w:t>
            </w:r>
            <w:r>
              <w:rPr>
                <w:rFonts w:hint="eastAsia"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rPr>
              <w:t>，大气污染源监测计划见</w:t>
            </w:r>
            <w:r>
              <w:rPr>
                <w:rFonts w:hint="eastAsia" w:ascii="Times New Roman" w:hAnsi="Times New Roman" w:eastAsia="宋体" w:cs="Times New Roman"/>
                <w:color w:val="auto"/>
                <w:sz w:val="24"/>
                <w:highlight w:val="none"/>
                <w:lang w:eastAsia="zh-CN"/>
              </w:rPr>
              <w:t>下表</w:t>
            </w:r>
            <w:r>
              <w:rPr>
                <w:rFonts w:hint="eastAsia" w:ascii="Times New Roman" w:hAnsi="Times New Roman" w:eastAsia="宋体" w:cs="Times New Roman"/>
                <w:color w:val="auto"/>
                <w:sz w:val="24"/>
                <w:highlight w:val="none"/>
              </w:rPr>
              <w:t>。</w:t>
            </w:r>
          </w:p>
          <w:p w14:paraId="17C0CE77">
            <w:pPr>
              <w:pStyle w:val="6"/>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eastAsia" w:ascii="Times New Roman" w:hAnsi="Times New Roman" w:eastAsia="宋体" w:cs="Times New Roman"/>
                <w:b/>
                <w:bCs/>
                <w:color w:val="auto"/>
                <w:kern w:val="2"/>
                <w:sz w:val="24"/>
                <w:szCs w:val="20"/>
                <w:highlight w:val="none"/>
                <w:lang w:val="en-US" w:eastAsia="zh-CN" w:bidi="ar-SA"/>
              </w:rPr>
            </w:pPr>
            <w:r>
              <w:rPr>
                <w:rFonts w:hint="default" w:ascii="Times New Roman" w:hAnsi="Times New Roman" w:eastAsia="宋体" w:cs="Times New Roman"/>
                <w:b/>
                <w:bCs/>
                <w:color w:val="auto"/>
                <w:kern w:val="2"/>
                <w:sz w:val="24"/>
                <w:szCs w:val="24"/>
                <w:lang w:val="en-US" w:eastAsia="zh-CN" w:bidi="ar-SA"/>
              </w:rPr>
              <w:t>表4-1</w:t>
            </w:r>
            <w:r>
              <w:rPr>
                <w:rFonts w:hint="eastAsia" w:ascii="Times New Roman" w:hAnsi="Times New Roman" w:eastAsia="宋体" w:cs="Times New Roman"/>
                <w:b/>
                <w:bCs/>
                <w:color w:val="auto"/>
                <w:kern w:val="2"/>
                <w:sz w:val="24"/>
                <w:szCs w:val="24"/>
                <w:lang w:val="en-US" w:eastAsia="zh-CN" w:bidi="ar-SA"/>
              </w:rPr>
              <w:t xml:space="preserve">4  </w:t>
            </w:r>
            <w:r>
              <w:rPr>
                <w:rFonts w:hint="eastAsia" w:ascii="Times New Roman" w:hAnsi="Times New Roman" w:eastAsia="宋体" w:cs="Times New Roman"/>
                <w:b/>
                <w:bCs/>
                <w:color w:val="auto"/>
                <w:kern w:val="2"/>
                <w:sz w:val="24"/>
                <w:szCs w:val="20"/>
                <w:highlight w:val="none"/>
                <w:lang w:val="en-US" w:eastAsia="zh-CN" w:bidi="ar-SA"/>
              </w:rPr>
              <w:t>监测计划表</w:t>
            </w:r>
          </w:p>
          <w:tbl>
            <w:tblPr>
              <w:tblStyle w:val="25"/>
              <w:tblW w:w="4994"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
            <w:tblGrid>
              <w:gridCol w:w="1286"/>
              <w:gridCol w:w="1975"/>
              <w:gridCol w:w="737"/>
              <w:gridCol w:w="706"/>
              <w:gridCol w:w="1225"/>
              <w:gridCol w:w="3237"/>
            </w:tblGrid>
            <w:tr w14:paraId="3EA8D605">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23" w:hRule="atLeast"/>
                <w:jc w:val="center"/>
              </w:trPr>
              <w:tc>
                <w:tcPr>
                  <w:tcW w:w="701" w:type="pct"/>
                  <w:noWrap w:val="0"/>
                  <w:vAlign w:val="center"/>
                </w:tcPr>
                <w:p w14:paraId="1605418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监测项目</w:t>
                  </w:r>
                </w:p>
              </w:tc>
              <w:tc>
                <w:tcPr>
                  <w:tcW w:w="1077" w:type="pct"/>
                  <w:noWrap w:val="0"/>
                  <w:vAlign w:val="center"/>
                </w:tcPr>
                <w:p w14:paraId="47708B1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点位/断面</w:t>
                  </w:r>
                </w:p>
              </w:tc>
              <w:tc>
                <w:tcPr>
                  <w:tcW w:w="787" w:type="pct"/>
                  <w:gridSpan w:val="2"/>
                  <w:noWrap w:val="0"/>
                  <w:vAlign w:val="center"/>
                </w:tcPr>
                <w:p w14:paraId="4B693F7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监测指标</w:t>
                  </w:r>
                </w:p>
              </w:tc>
              <w:tc>
                <w:tcPr>
                  <w:tcW w:w="668" w:type="pct"/>
                  <w:noWrap w:val="0"/>
                  <w:vAlign w:val="center"/>
                </w:tcPr>
                <w:p w14:paraId="0D3D903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监测频次</w:t>
                  </w:r>
                </w:p>
              </w:tc>
              <w:tc>
                <w:tcPr>
                  <w:tcW w:w="1765" w:type="pct"/>
                  <w:noWrap w:val="0"/>
                  <w:vAlign w:val="center"/>
                </w:tcPr>
                <w:p w14:paraId="66161A7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执行排放标准</w:t>
                  </w:r>
                </w:p>
              </w:tc>
            </w:tr>
            <w:tr w14:paraId="51DB436B">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61" w:hRule="atLeast"/>
                <w:jc w:val="center"/>
              </w:trPr>
              <w:tc>
                <w:tcPr>
                  <w:tcW w:w="701" w:type="pct"/>
                  <w:vMerge w:val="restart"/>
                  <w:noWrap w:val="0"/>
                  <w:vAlign w:val="center"/>
                </w:tcPr>
                <w:p w14:paraId="44C1FE20">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废气</w:t>
                  </w:r>
                </w:p>
              </w:tc>
              <w:tc>
                <w:tcPr>
                  <w:tcW w:w="1077" w:type="pct"/>
                  <w:vMerge w:val="restart"/>
                  <w:noWrap w:val="0"/>
                  <w:vAlign w:val="center"/>
                </w:tcPr>
                <w:p w14:paraId="200A32A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FQ01</w:t>
                  </w:r>
                </w:p>
              </w:tc>
              <w:tc>
                <w:tcPr>
                  <w:tcW w:w="787" w:type="pct"/>
                  <w:gridSpan w:val="2"/>
                  <w:tcBorders>
                    <w:bottom w:val="single" w:color="auto" w:sz="4" w:space="0"/>
                  </w:tcBorders>
                  <w:noWrap w:val="0"/>
                  <w:vAlign w:val="center"/>
                </w:tcPr>
                <w:p w14:paraId="286D9B7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非甲烷总烃</w:t>
                  </w:r>
                </w:p>
              </w:tc>
              <w:tc>
                <w:tcPr>
                  <w:tcW w:w="668" w:type="pct"/>
                  <w:vMerge w:val="restart"/>
                  <w:noWrap w:val="0"/>
                  <w:vAlign w:val="center"/>
                </w:tcPr>
                <w:p w14:paraId="4F3F0C36">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一年一次</w:t>
                  </w:r>
                </w:p>
              </w:tc>
              <w:tc>
                <w:tcPr>
                  <w:tcW w:w="1765" w:type="pct"/>
                  <w:vMerge w:val="restart"/>
                  <w:noWrap w:val="0"/>
                  <w:vAlign w:val="center"/>
                </w:tcPr>
                <w:p w14:paraId="65D4DC8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highlight w:val="none"/>
                      <w:lang w:val="en-US" w:eastAsia="zh-CN"/>
                    </w:rPr>
                  </w:pPr>
                  <w:r>
                    <w:rPr>
                      <w:rFonts w:hint="eastAsia" w:cs="Times New Roman"/>
                      <w:b w:val="0"/>
                      <w:bCs w:val="0"/>
                      <w:color w:val="auto"/>
                      <w:sz w:val="21"/>
                      <w:szCs w:val="21"/>
                      <w:highlight w:val="none"/>
                      <w:lang w:val="en-US" w:eastAsia="zh-CN"/>
                    </w:rPr>
                    <w:t>江苏省</w:t>
                  </w:r>
                  <w:r>
                    <w:rPr>
                      <w:rFonts w:hint="default" w:ascii="Times New Roman" w:hAnsi="Times New Roman" w:eastAsia="宋体" w:cs="Times New Roman"/>
                      <w:b w:val="0"/>
                      <w:bCs w:val="0"/>
                      <w:color w:val="auto"/>
                      <w:sz w:val="21"/>
                      <w:szCs w:val="21"/>
                      <w:highlight w:val="none"/>
                      <w:lang w:val="en-US" w:eastAsia="zh-CN"/>
                    </w:rPr>
                    <w:t>《制药工业大气污染物排放标准》（DB32/4042-2021）</w:t>
                  </w:r>
                  <w:r>
                    <w:rPr>
                      <w:rFonts w:hint="eastAsia" w:ascii="Times New Roman" w:hAnsi="Times New Roman" w:eastAsia="宋体" w:cs="Times New Roman"/>
                      <w:b w:val="0"/>
                      <w:bCs w:val="0"/>
                      <w:color w:val="auto"/>
                      <w:sz w:val="21"/>
                      <w:szCs w:val="21"/>
                      <w:highlight w:val="none"/>
                      <w:lang w:val="en-US" w:eastAsia="zh-CN"/>
                    </w:rPr>
                    <w:t>中表1、表2、表C.1限制</w:t>
                  </w:r>
                </w:p>
              </w:tc>
            </w:tr>
            <w:tr w14:paraId="6FACF9C3">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61" w:hRule="atLeast"/>
                <w:jc w:val="center"/>
              </w:trPr>
              <w:tc>
                <w:tcPr>
                  <w:tcW w:w="701" w:type="pct"/>
                  <w:vMerge w:val="continue"/>
                  <w:noWrap w:val="0"/>
                  <w:vAlign w:val="center"/>
                </w:tcPr>
                <w:p w14:paraId="348A39F4">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color w:val="auto"/>
                      <w:highlight w:val="none"/>
                      <w:lang w:val="en-US" w:eastAsia="zh-CN"/>
                    </w:rPr>
                  </w:pPr>
                </w:p>
              </w:tc>
              <w:tc>
                <w:tcPr>
                  <w:tcW w:w="1077" w:type="pct"/>
                  <w:vMerge w:val="continue"/>
                  <w:tcBorders>
                    <w:bottom w:val="single" w:color="auto" w:sz="4" w:space="0"/>
                  </w:tcBorders>
                  <w:noWrap w:val="0"/>
                  <w:vAlign w:val="center"/>
                </w:tcPr>
                <w:p w14:paraId="287E2EED">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auto"/>
                      <w:highlight w:val="none"/>
                      <w:lang w:val="en-US" w:eastAsia="zh-CN"/>
                    </w:rPr>
                  </w:pPr>
                </w:p>
              </w:tc>
              <w:tc>
                <w:tcPr>
                  <w:tcW w:w="402" w:type="pct"/>
                  <w:tcBorders>
                    <w:bottom w:val="single" w:color="auto" w:sz="4" w:space="0"/>
                  </w:tcBorders>
                  <w:noWrap w:val="0"/>
                  <w:vAlign w:val="center"/>
                </w:tcPr>
                <w:p w14:paraId="362D881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包含</w:t>
                  </w:r>
                </w:p>
              </w:tc>
              <w:tc>
                <w:tcPr>
                  <w:tcW w:w="385" w:type="pct"/>
                  <w:tcBorders>
                    <w:bottom w:val="single" w:color="auto" w:sz="4" w:space="0"/>
                  </w:tcBorders>
                  <w:noWrap w:val="0"/>
                  <w:vAlign w:val="center"/>
                </w:tcPr>
                <w:p w14:paraId="40C807C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甲醇</w:t>
                  </w:r>
                </w:p>
              </w:tc>
              <w:tc>
                <w:tcPr>
                  <w:tcW w:w="668" w:type="pct"/>
                  <w:vMerge w:val="continue"/>
                  <w:noWrap w:val="0"/>
                  <w:vAlign w:val="center"/>
                </w:tcPr>
                <w:p w14:paraId="1134184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auto"/>
                      <w:highlight w:val="none"/>
                      <w:lang w:val="en-US" w:eastAsia="zh-CN"/>
                    </w:rPr>
                  </w:pPr>
                </w:p>
              </w:tc>
              <w:tc>
                <w:tcPr>
                  <w:tcW w:w="1765" w:type="pct"/>
                  <w:vMerge w:val="continue"/>
                  <w:noWrap w:val="0"/>
                  <w:vAlign w:val="center"/>
                </w:tcPr>
                <w:p w14:paraId="06606682">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color w:val="auto"/>
                      <w:highlight w:val="none"/>
                      <w:lang w:val="en-US" w:eastAsia="zh-CN"/>
                    </w:rPr>
                  </w:pPr>
                </w:p>
              </w:tc>
            </w:tr>
            <w:tr w14:paraId="04AC01FC">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23" w:hRule="atLeast"/>
                <w:jc w:val="center"/>
              </w:trPr>
              <w:tc>
                <w:tcPr>
                  <w:tcW w:w="701" w:type="pct"/>
                  <w:vMerge w:val="continue"/>
                  <w:noWrap w:val="0"/>
                  <w:vAlign w:val="center"/>
                </w:tcPr>
                <w:p w14:paraId="28E70B9B">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highlight w:val="none"/>
                    </w:rPr>
                  </w:pPr>
                </w:p>
              </w:tc>
              <w:tc>
                <w:tcPr>
                  <w:tcW w:w="1077" w:type="pct"/>
                  <w:noWrap w:val="0"/>
                  <w:vAlign w:val="center"/>
                </w:tcPr>
                <w:p w14:paraId="2CB3DFA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上风向设一个点、下风向设3个点</w:t>
                  </w:r>
                </w:p>
              </w:tc>
              <w:tc>
                <w:tcPr>
                  <w:tcW w:w="787" w:type="pct"/>
                  <w:gridSpan w:val="2"/>
                  <w:noWrap w:val="0"/>
                  <w:vAlign w:val="center"/>
                </w:tcPr>
                <w:p w14:paraId="2A73D9A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非甲烷总烃、甲醇</w:t>
                  </w:r>
                </w:p>
              </w:tc>
              <w:tc>
                <w:tcPr>
                  <w:tcW w:w="668" w:type="pct"/>
                  <w:vMerge w:val="continue"/>
                  <w:noWrap w:val="0"/>
                  <w:vAlign w:val="center"/>
                </w:tcPr>
                <w:p w14:paraId="324C2DF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highlight w:val="none"/>
                    </w:rPr>
                  </w:pPr>
                </w:p>
              </w:tc>
              <w:tc>
                <w:tcPr>
                  <w:tcW w:w="1765" w:type="pct"/>
                  <w:tcBorders>
                    <w:top w:val="single" w:color="auto" w:sz="4" w:space="0"/>
                  </w:tcBorders>
                  <w:noWrap w:val="0"/>
                  <w:vAlign w:val="center"/>
                </w:tcPr>
                <w:p w14:paraId="6A152DE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highlight w:val="none"/>
                    </w:rPr>
                  </w:pPr>
                  <w:r>
                    <w:rPr>
                      <w:rFonts w:hint="eastAsia" w:ascii="Times New Roman" w:hAnsi="Times New Roman" w:eastAsia="宋体" w:cs="Times New Roman"/>
                      <w:b w:val="0"/>
                      <w:bCs w:val="0"/>
                      <w:color w:val="auto"/>
                      <w:szCs w:val="21"/>
                      <w:highlight w:val="none"/>
                    </w:rPr>
                    <w:t>江苏省地方标准《大气污染物综合排放标准》（DB32/4041-2021）表</w:t>
                  </w:r>
                  <w:r>
                    <w:rPr>
                      <w:rFonts w:hint="eastAsia" w:ascii="Times New Roman" w:hAnsi="Times New Roman" w:eastAsia="宋体" w:cs="Times New Roman"/>
                      <w:b w:val="0"/>
                      <w:bCs w:val="0"/>
                      <w:color w:val="auto"/>
                      <w:szCs w:val="21"/>
                      <w:highlight w:val="none"/>
                      <w:lang w:val="en-US" w:eastAsia="zh-CN"/>
                    </w:rPr>
                    <w:t>3</w:t>
                  </w:r>
                  <w:r>
                    <w:rPr>
                      <w:rFonts w:hint="eastAsia" w:ascii="Times New Roman" w:hAnsi="Times New Roman" w:eastAsia="宋体" w:cs="Times New Roman"/>
                      <w:b w:val="0"/>
                      <w:bCs w:val="0"/>
                      <w:color w:val="auto"/>
                      <w:szCs w:val="21"/>
                      <w:highlight w:val="none"/>
                    </w:rPr>
                    <w:t>中标准</w:t>
                  </w:r>
                </w:p>
              </w:tc>
            </w:tr>
            <w:tr w14:paraId="779261A6">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23" w:hRule="atLeast"/>
                <w:jc w:val="center"/>
              </w:trPr>
              <w:tc>
                <w:tcPr>
                  <w:tcW w:w="701" w:type="pct"/>
                  <w:vMerge w:val="continue"/>
                  <w:noWrap w:val="0"/>
                  <w:vAlign w:val="center"/>
                </w:tcPr>
                <w:p w14:paraId="5EB02B03">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highlight w:val="none"/>
                    </w:rPr>
                  </w:pPr>
                </w:p>
              </w:tc>
              <w:tc>
                <w:tcPr>
                  <w:tcW w:w="1077" w:type="pct"/>
                  <w:noWrap w:val="0"/>
                  <w:vAlign w:val="center"/>
                </w:tcPr>
                <w:p w14:paraId="593D47D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厂房门窗或通风口、其他开口（孔）等排放口外1m</w:t>
                  </w:r>
                </w:p>
              </w:tc>
              <w:tc>
                <w:tcPr>
                  <w:tcW w:w="787" w:type="pct"/>
                  <w:gridSpan w:val="2"/>
                  <w:noWrap w:val="0"/>
                  <w:vAlign w:val="center"/>
                </w:tcPr>
                <w:p w14:paraId="348801E3">
                  <w:pPr>
                    <w:pStyle w:val="37"/>
                    <w:keepNext w:val="0"/>
                    <w:keepLines w:val="0"/>
                    <w:suppressLineNumbers w:val="0"/>
                    <w:spacing w:before="0" w:beforeAutospacing="0" w:after="0" w:afterAutospacing="0"/>
                    <w:ind w:left="0" w:right="0"/>
                    <w:rPr>
                      <w:rFonts w:hint="eastAsia" w:ascii="Times New Roman" w:hAnsi="Times New Roman" w:eastAsia="宋体" w:cs="Times New Roman"/>
                      <w:b w:val="0"/>
                      <w:bCs w:val="0"/>
                      <w:color w:val="auto"/>
                      <w:szCs w:val="20"/>
                      <w:highlight w:val="none"/>
                      <w:lang w:val="en-US" w:eastAsia="zh-CN"/>
                    </w:rPr>
                  </w:pPr>
                  <w:r>
                    <w:rPr>
                      <w:rFonts w:hint="eastAsia" w:ascii="Times New Roman" w:hAnsi="Times New Roman" w:eastAsia="宋体"/>
                      <w:color w:val="auto"/>
                      <w:sz w:val="21"/>
                      <w:szCs w:val="21"/>
                    </w:rPr>
                    <w:t>NMHC</w:t>
                  </w:r>
                </w:p>
              </w:tc>
              <w:tc>
                <w:tcPr>
                  <w:tcW w:w="668" w:type="pct"/>
                  <w:noWrap w:val="0"/>
                  <w:vAlign w:val="center"/>
                </w:tcPr>
                <w:p w14:paraId="2DDFC90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highlight w:val="none"/>
                    </w:rPr>
                  </w:pPr>
                  <w:r>
                    <w:rPr>
                      <w:rFonts w:hint="eastAsia" w:ascii="Times New Roman" w:hAnsi="Times New Roman" w:eastAsia="宋体" w:cs="Times New Roman"/>
                      <w:color w:val="auto"/>
                      <w:sz w:val="21"/>
                      <w:szCs w:val="21"/>
                      <w:lang w:val="en-US" w:eastAsia="zh-CN"/>
                    </w:rPr>
                    <w:t>一年一次</w:t>
                  </w:r>
                </w:p>
              </w:tc>
              <w:tc>
                <w:tcPr>
                  <w:tcW w:w="1765" w:type="pct"/>
                  <w:noWrap w:val="0"/>
                  <w:vAlign w:val="center"/>
                </w:tcPr>
                <w:p w14:paraId="30097919">
                  <w:pPr>
                    <w:pStyle w:val="1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auto"/>
                      <w:szCs w:val="21"/>
                      <w:highlight w:val="none"/>
                    </w:rPr>
                  </w:pPr>
                  <w:r>
                    <w:rPr>
                      <w:rFonts w:hint="eastAsia"/>
                      <w:color w:val="auto"/>
                      <w:sz w:val="21"/>
                      <w:szCs w:val="21"/>
                      <w:highlight w:val="none"/>
                      <w:lang w:val="en-US" w:eastAsia="zh-CN"/>
                    </w:rPr>
                    <w:t>江苏省</w:t>
                  </w:r>
                  <w:r>
                    <w:rPr>
                      <w:rFonts w:hint="default" w:ascii="Times New Roman" w:hAnsi="Times New Roman" w:eastAsia="宋体"/>
                      <w:color w:val="auto"/>
                      <w:sz w:val="21"/>
                      <w:szCs w:val="21"/>
                      <w:highlight w:val="none"/>
                    </w:rPr>
                    <w:t>《制药工业大气污染物排放标准》（DB 32/4042-2021）表 6 限值</w:t>
                  </w:r>
                </w:p>
              </w:tc>
            </w:tr>
          </w:tbl>
          <w:p w14:paraId="72B305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sz w:val="24"/>
                <w:highlight w:val="none"/>
              </w:rPr>
              <w:t>（</w:t>
            </w:r>
            <w:r>
              <w:rPr>
                <w:rFonts w:hint="eastAsia" w:ascii="Times New Roman" w:hAnsi="Times New Roman" w:eastAsia="宋体" w:cs="Times New Roman"/>
                <w:b/>
                <w:bCs/>
                <w:color w:val="auto"/>
                <w:sz w:val="24"/>
                <w:highlight w:val="none"/>
                <w:lang w:val="en-US" w:eastAsia="zh-CN"/>
              </w:rPr>
              <w:t>8</w:t>
            </w:r>
            <w:r>
              <w:rPr>
                <w:rFonts w:hint="default" w:ascii="Times New Roman" w:hAnsi="Times New Roman" w:eastAsia="宋体" w:cs="Times New Roman"/>
                <w:b/>
                <w:bCs/>
                <w:color w:val="auto"/>
                <w:sz w:val="24"/>
                <w:highlight w:val="none"/>
              </w:rPr>
              <w:t>）</w:t>
            </w:r>
            <w:r>
              <w:rPr>
                <w:rFonts w:hint="eastAsia" w:ascii="Times New Roman" w:hAnsi="Times New Roman" w:eastAsia="宋体" w:cs="Times New Roman"/>
                <w:b/>
                <w:bCs/>
                <w:color w:val="auto"/>
                <w:sz w:val="24"/>
                <w:highlight w:val="none"/>
              </w:rPr>
              <w:t>非正常排放情况</w:t>
            </w:r>
          </w:p>
          <w:p w14:paraId="3E52BE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本项目在车间开工时，首先运行配套的废气处理装置，然后再开启车间的工艺流程，使在生产中产生的废气都能及时得到处理。车间停工时，所有的废气处理装置继续运转，待工艺中的废气没有排出之后才逐台关闭。这样，车间在开、停车时排出污染物均得到有效处理，经排气筒排出的污染物浓度和正常生产时基本一致。废气处理系统和排风机均设有保安电源。各种状态下均能保证正常运行。</w:t>
            </w:r>
          </w:p>
          <w:p w14:paraId="4277C2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本工程排风系统均设有安全保护电源和报警系统，设备每年检修一次，基本上能保证无故障运行。日常运行中，若出现故障，检修人员可立即</w:t>
            </w:r>
            <w:r>
              <w:rPr>
                <w:rFonts w:hint="eastAsia" w:ascii="Times New Roman" w:hAnsi="Times New Roman" w:eastAsia="宋体" w:cs="Times New Roman"/>
                <w:color w:val="auto"/>
                <w:sz w:val="24"/>
                <w:highlight w:val="none"/>
                <w:lang w:eastAsia="zh-CN"/>
              </w:rPr>
              <w:t>赶到</w:t>
            </w:r>
            <w:r>
              <w:rPr>
                <w:rFonts w:hint="eastAsia" w:ascii="Times New Roman" w:hAnsi="Times New Roman" w:eastAsia="宋体" w:cs="Times New Roman"/>
                <w:color w:val="auto"/>
                <w:sz w:val="24"/>
                <w:highlight w:val="none"/>
              </w:rPr>
              <w:t>现场进行维修，一般操作在10分钟内基本上可以完成，预计最长不会超过30分钟。</w:t>
            </w:r>
          </w:p>
          <w:p w14:paraId="20DFB9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废气处理系统出现故障，一般几种情况：停电、废气处理装置和风机出现故障，对生产异常情况，采取以下措施：</w:t>
            </w:r>
          </w:p>
          <w:p w14:paraId="39C4AB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①如果全厂停电，停止生产，无污染物产生。为确保安全，风机仍然继续运转。</w:t>
            </w:r>
          </w:p>
          <w:p w14:paraId="08C272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②风机出现故障时，备用风机立即启动。</w:t>
            </w:r>
          </w:p>
          <w:p w14:paraId="5DDC44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③当废气处理设施发生故障时，停止生产。</w:t>
            </w:r>
          </w:p>
          <w:p w14:paraId="07F1B1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根据类比调查，出现非正常排放状态主要情况为废气处理设施失效出现故障等造成非正常排放，此时废气处理效率均以0%计，</w:t>
            </w:r>
            <w:r>
              <w:rPr>
                <w:rFonts w:hint="eastAsia" w:ascii="Times New Roman" w:hAnsi="Times New Roman" w:eastAsia="宋体" w:cs="Times New Roman"/>
                <w:color w:val="auto"/>
                <w:sz w:val="24"/>
                <w:highlight w:val="none"/>
                <w:lang w:val="en-US" w:eastAsia="zh-CN"/>
              </w:rPr>
              <w:t>本项目</w:t>
            </w:r>
            <w:r>
              <w:rPr>
                <w:rFonts w:hint="eastAsia" w:ascii="Times New Roman" w:hAnsi="Times New Roman" w:eastAsia="宋体" w:cs="Times New Roman"/>
                <w:color w:val="auto"/>
                <w:sz w:val="24"/>
                <w:highlight w:val="none"/>
              </w:rPr>
              <w:t>非正常排放状态下废气的排放情况见下表。</w:t>
            </w:r>
          </w:p>
          <w:p w14:paraId="12189299">
            <w:pPr>
              <w:pStyle w:val="6"/>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eastAsia"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表4-1</w:t>
            </w:r>
            <w:r>
              <w:rPr>
                <w:rFonts w:hint="eastAsia" w:ascii="Times New Roman" w:hAnsi="Times New Roman" w:eastAsia="宋体" w:cs="Times New Roman"/>
                <w:b/>
                <w:bCs/>
                <w:color w:val="auto"/>
                <w:kern w:val="2"/>
                <w:sz w:val="24"/>
                <w:szCs w:val="24"/>
                <w:highlight w:val="none"/>
                <w:lang w:val="en-US" w:eastAsia="zh-CN" w:bidi="ar-SA"/>
              </w:rPr>
              <w:t xml:space="preserve">5  </w:t>
            </w:r>
            <w:r>
              <w:rPr>
                <w:rFonts w:hint="eastAsia" w:ascii="Times New Roman" w:hAnsi="Times New Roman" w:eastAsia="宋体" w:cs="Times New Roman"/>
                <w:b/>
                <w:bCs/>
                <w:color w:val="auto"/>
                <w:sz w:val="24"/>
                <w:highlight w:val="none"/>
                <w:lang w:val="en-US" w:eastAsia="zh-CN"/>
              </w:rPr>
              <w:t>非正常排放情况一览表</w:t>
            </w:r>
          </w:p>
          <w:tbl>
            <w:tblPr>
              <w:tblStyle w:val="25"/>
              <w:tblW w:w="4996"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659"/>
              <w:gridCol w:w="391"/>
              <w:gridCol w:w="358"/>
              <w:gridCol w:w="406"/>
              <w:gridCol w:w="393"/>
              <w:gridCol w:w="323"/>
              <w:gridCol w:w="666"/>
              <w:gridCol w:w="797"/>
              <w:gridCol w:w="642"/>
              <w:gridCol w:w="1090"/>
              <w:gridCol w:w="635"/>
              <w:gridCol w:w="782"/>
              <w:gridCol w:w="879"/>
              <w:gridCol w:w="622"/>
              <w:gridCol w:w="527"/>
            </w:tblGrid>
            <w:tr w14:paraId="486C161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359" w:type="pct"/>
                  <w:vMerge w:val="restart"/>
                  <w:tcBorders>
                    <w:bottom w:val="single" w:color="000000" w:sz="4" w:space="0"/>
                    <w:right w:val="single" w:color="000000" w:sz="4" w:space="0"/>
                  </w:tcBorders>
                  <w:noWrap w:val="0"/>
                  <w:tcMar>
                    <w:top w:w="8" w:type="dxa"/>
                    <w:left w:w="8" w:type="dxa"/>
                    <w:right w:w="8" w:type="dxa"/>
                  </w:tcMar>
                  <w:vAlign w:val="center"/>
                </w:tcPr>
                <w:p w14:paraId="2F842072">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kern w:val="0"/>
                      <w:sz w:val="18"/>
                      <w:szCs w:val="18"/>
                      <w:highlight w:val="none"/>
                      <w:lang w:bidi="ar"/>
                    </w:rPr>
                    <w:t>非正常排放源</w:t>
                  </w:r>
                </w:p>
              </w:tc>
              <w:tc>
                <w:tcPr>
                  <w:tcW w:w="213" w:type="pct"/>
                  <w:vMerge w:val="restart"/>
                  <w:tcBorders>
                    <w:left w:val="single" w:color="000000" w:sz="4" w:space="0"/>
                    <w:bottom w:val="single" w:color="000000" w:sz="4" w:space="0"/>
                    <w:right w:val="single" w:color="000000" w:sz="4" w:space="0"/>
                  </w:tcBorders>
                  <w:noWrap w:val="0"/>
                  <w:tcMar>
                    <w:top w:w="8" w:type="dxa"/>
                    <w:left w:w="8" w:type="dxa"/>
                    <w:right w:w="8" w:type="dxa"/>
                  </w:tcMar>
                  <w:vAlign w:val="center"/>
                </w:tcPr>
                <w:p w14:paraId="78E35859">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auto"/>
                      <w:kern w:val="0"/>
                      <w:sz w:val="18"/>
                      <w:szCs w:val="18"/>
                      <w:highlight w:val="none"/>
                      <w:lang w:bidi="ar"/>
                    </w:rPr>
                  </w:pPr>
                  <w:r>
                    <w:rPr>
                      <w:rFonts w:hint="default" w:ascii="Times New Roman" w:hAnsi="Times New Roman" w:eastAsia="宋体" w:cs="Times New Roman"/>
                      <w:b/>
                      <w:color w:val="auto"/>
                      <w:kern w:val="0"/>
                      <w:sz w:val="18"/>
                      <w:szCs w:val="18"/>
                      <w:highlight w:val="none"/>
                      <w:lang w:bidi="ar"/>
                    </w:rPr>
                    <w:t>非正常排放原因</w:t>
                  </w:r>
                </w:p>
              </w:tc>
              <w:tc>
                <w:tcPr>
                  <w:tcW w:w="195" w:type="pct"/>
                  <w:vMerge w:val="restart"/>
                  <w:tcBorders>
                    <w:left w:val="single" w:color="000000" w:sz="4" w:space="0"/>
                    <w:bottom w:val="single" w:color="000000" w:sz="4" w:space="0"/>
                    <w:right w:val="single" w:color="000000" w:sz="4" w:space="0"/>
                  </w:tcBorders>
                  <w:noWrap w:val="0"/>
                  <w:tcMar>
                    <w:top w:w="8" w:type="dxa"/>
                    <w:left w:w="8" w:type="dxa"/>
                    <w:right w:w="8" w:type="dxa"/>
                  </w:tcMar>
                  <w:vAlign w:val="center"/>
                </w:tcPr>
                <w:p w14:paraId="5029B1AD">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kern w:val="0"/>
                      <w:sz w:val="18"/>
                      <w:szCs w:val="18"/>
                      <w:highlight w:val="none"/>
                      <w:lang w:bidi="ar"/>
                    </w:rPr>
                    <w:t>年发生频次/次</w:t>
                  </w:r>
                </w:p>
              </w:tc>
              <w:tc>
                <w:tcPr>
                  <w:tcW w:w="221" w:type="pct"/>
                  <w:vMerge w:val="restart"/>
                  <w:tcBorders>
                    <w:left w:val="single" w:color="000000" w:sz="4" w:space="0"/>
                    <w:bottom w:val="single" w:color="000000" w:sz="4" w:space="0"/>
                    <w:right w:val="single" w:color="000000" w:sz="4" w:space="0"/>
                  </w:tcBorders>
                  <w:noWrap w:val="0"/>
                  <w:tcMar>
                    <w:top w:w="8" w:type="dxa"/>
                    <w:left w:w="8" w:type="dxa"/>
                    <w:right w:w="8" w:type="dxa"/>
                  </w:tcMar>
                  <w:vAlign w:val="center"/>
                </w:tcPr>
                <w:p w14:paraId="39C5F6A1">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auto"/>
                      <w:kern w:val="0"/>
                      <w:sz w:val="18"/>
                      <w:szCs w:val="18"/>
                      <w:highlight w:val="none"/>
                      <w:lang w:bidi="ar"/>
                    </w:rPr>
                  </w:pPr>
                  <w:r>
                    <w:rPr>
                      <w:rFonts w:hint="default" w:ascii="Times New Roman" w:hAnsi="Times New Roman" w:eastAsia="宋体" w:cs="Times New Roman"/>
                      <w:b/>
                      <w:color w:val="auto"/>
                      <w:kern w:val="0"/>
                      <w:sz w:val="18"/>
                      <w:szCs w:val="18"/>
                      <w:highlight w:val="none"/>
                      <w:lang w:bidi="ar"/>
                    </w:rPr>
                    <w:t>单次持续时间/h</w:t>
                  </w:r>
                </w:p>
              </w:tc>
              <w:tc>
                <w:tcPr>
                  <w:tcW w:w="390" w:type="pct"/>
                  <w:gridSpan w:val="2"/>
                  <w:vMerge w:val="restart"/>
                  <w:tcBorders>
                    <w:left w:val="single" w:color="000000" w:sz="4" w:space="0"/>
                    <w:bottom w:val="single" w:color="000000" w:sz="4" w:space="0"/>
                    <w:right w:val="single" w:color="000000" w:sz="4" w:space="0"/>
                  </w:tcBorders>
                  <w:noWrap w:val="0"/>
                  <w:tcMar>
                    <w:top w:w="8" w:type="dxa"/>
                    <w:left w:w="8" w:type="dxa"/>
                    <w:right w:w="8" w:type="dxa"/>
                  </w:tcMar>
                  <w:vAlign w:val="center"/>
                </w:tcPr>
                <w:p w14:paraId="30A7452C">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kern w:val="0"/>
                      <w:sz w:val="18"/>
                      <w:szCs w:val="18"/>
                      <w:highlight w:val="none"/>
                      <w:lang w:bidi="ar"/>
                    </w:rPr>
                    <w:t>污染物名称</w:t>
                  </w:r>
                </w:p>
              </w:tc>
              <w:tc>
                <w:tcPr>
                  <w:tcW w:w="1147" w:type="pct"/>
                  <w:gridSpan w:val="3"/>
                  <w:tcBorders>
                    <w:left w:val="single" w:color="000000" w:sz="4" w:space="0"/>
                    <w:bottom w:val="single" w:color="000000" w:sz="4" w:space="0"/>
                    <w:right w:val="single" w:color="000000" w:sz="4" w:space="0"/>
                  </w:tcBorders>
                  <w:noWrap w:val="0"/>
                  <w:tcMar>
                    <w:top w:w="8" w:type="dxa"/>
                    <w:left w:w="8" w:type="dxa"/>
                    <w:right w:w="8" w:type="dxa"/>
                  </w:tcMar>
                  <w:vAlign w:val="center"/>
                </w:tcPr>
                <w:p w14:paraId="5770F4E2">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kern w:val="0"/>
                      <w:sz w:val="18"/>
                      <w:szCs w:val="18"/>
                      <w:highlight w:val="none"/>
                      <w:lang w:bidi="ar"/>
                    </w:rPr>
                    <w:t>产生状况</w:t>
                  </w:r>
                </w:p>
              </w:tc>
              <w:tc>
                <w:tcPr>
                  <w:tcW w:w="594" w:type="pct"/>
                  <w:vMerge w:val="restart"/>
                  <w:tcBorders>
                    <w:left w:val="single" w:color="000000" w:sz="4" w:space="0"/>
                    <w:bottom w:val="single" w:color="000000" w:sz="4" w:space="0"/>
                    <w:right w:val="single" w:color="000000" w:sz="4" w:space="0"/>
                  </w:tcBorders>
                  <w:noWrap w:val="0"/>
                  <w:tcMar>
                    <w:top w:w="8" w:type="dxa"/>
                    <w:left w:w="8" w:type="dxa"/>
                    <w:right w:w="8" w:type="dxa"/>
                  </w:tcMar>
                  <w:vAlign w:val="center"/>
                </w:tcPr>
                <w:p w14:paraId="396C21C0">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kern w:val="0"/>
                      <w:sz w:val="18"/>
                      <w:szCs w:val="18"/>
                      <w:highlight w:val="none"/>
                      <w:lang w:bidi="ar"/>
                    </w:rPr>
                    <w:t>治理措施</w:t>
                  </w:r>
                </w:p>
              </w:tc>
              <w:tc>
                <w:tcPr>
                  <w:tcW w:w="346" w:type="pct"/>
                  <w:vMerge w:val="restart"/>
                  <w:tcBorders>
                    <w:left w:val="single" w:color="000000" w:sz="4" w:space="0"/>
                    <w:bottom w:val="single" w:color="000000" w:sz="4" w:space="0"/>
                    <w:right w:val="single" w:color="000000" w:sz="4" w:space="0"/>
                  </w:tcBorders>
                  <w:noWrap w:val="0"/>
                  <w:tcMar>
                    <w:top w:w="8" w:type="dxa"/>
                    <w:left w:w="8" w:type="dxa"/>
                    <w:right w:w="8" w:type="dxa"/>
                  </w:tcMar>
                  <w:vAlign w:val="center"/>
                </w:tcPr>
                <w:p w14:paraId="780965B0">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auto"/>
                      <w:kern w:val="0"/>
                      <w:sz w:val="18"/>
                      <w:szCs w:val="18"/>
                      <w:highlight w:val="none"/>
                      <w:lang w:bidi="ar"/>
                    </w:rPr>
                  </w:pPr>
                  <w:r>
                    <w:rPr>
                      <w:rFonts w:hint="default" w:ascii="Times New Roman" w:hAnsi="Times New Roman" w:eastAsia="宋体" w:cs="Times New Roman"/>
                      <w:b/>
                      <w:color w:val="auto"/>
                      <w:kern w:val="0"/>
                      <w:sz w:val="18"/>
                      <w:szCs w:val="18"/>
                      <w:highlight w:val="none"/>
                      <w:lang w:bidi="ar"/>
                    </w:rPr>
                    <w:t>去除率</w:t>
                  </w:r>
                </w:p>
                <w:p w14:paraId="0CABDAC1">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kern w:val="0"/>
                      <w:sz w:val="18"/>
                      <w:szCs w:val="18"/>
                      <w:highlight w:val="none"/>
                      <w:lang w:bidi="ar"/>
                    </w:rPr>
                    <w:t>(%)</w:t>
                  </w:r>
                </w:p>
              </w:tc>
              <w:tc>
                <w:tcPr>
                  <w:tcW w:w="1244" w:type="pct"/>
                  <w:gridSpan w:val="3"/>
                  <w:tcBorders>
                    <w:left w:val="single" w:color="000000" w:sz="4" w:space="0"/>
                    <w:bottom w:val="single" w:color="000000" w:sz="4" w:space="0"/>
                    <w:right w:val="single" w:color="000000" w:sz="4" w:space="0"/>
                  </w:tcBorders>
                  <w:noWrap w:val="0"/>
                  <w:tcMar>
                    <w:top w:w="8" w:type="dxa"/>
                    <w:left w:w="8" w:type="dxa"/>
                    <w:right w:w="8" w:type="dxa"/>
                  </w:tcMar>
                  <w:vAlign w:val="center"/>
                </w:tcPr>
                <w:p w14:paraId="0D637041">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kern w:val="0"/>
                      <w:sz w:val="18"/>
                      <w:szCs w:val="18"/>
                      <w:highlight w:val="none"/>
                      <w:lang w:bidi="ar"/>
                    </w:rPr>
                    <w:t>非正常排放状况</w:t>
                  </w:r>
                </w:p>
              </w:tc>
              <w:tc>
                <w:tcPr>
                  <w:tcW w:w="287" w:type="pct"/>
                  <w:vMerge w:val="restart"/>
                  <w:tcBorders>
                    <w:left w:val="single" w:color="000000" w:sz="4" w:space="0"/>
                    <w:bottom w:val="single" w:color="000000" w:sz="4" w:space="0"/>
                  </w:tcBorders>
                  <w:noWrap w:val="0"/>
                  <w:tcMar>
                    <w:top w:w="8" w:type="dxa"/>
                    <w:left w:w="8" w:type="dxa"/>
                    <w:right w:w="8" w:type="dxa"/>
                  </w:tcMar>
                  <w:vAlign w:val="center"/>
                </w:tcPr>
                <w:p w14:paraId="2590480F">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kern w:val="0"/>
                      <w:sz w:val="18"/>
                      <w:szCs w:val="18"/>
                      <w:highlight w:val="none"/>
                      <w:lang w:bidi="ar"/>
                    </w:rPr>
                    <w:t>排放方式</w:t>
                  </w:r>
                </w:p>
              </w:tc>
            </w:tr>
            <w:tr w14:paraId="2D443B9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256" w:hRule="atLeast"/>
                <w:jc w:val="center"/>
              </w:trPr>
              <w:tc>
                <w:tcPr>
                  <w:tcW w:w="359" w:type="pct"/>
                  <w:vMerge w:val="continue"/>
                  <w:tcBorders>
                    <w:top w:val="single" w:color="000000" w:sz="4" w:space="0"/>
                    <w:bottom w:val="single" w:color="000000" w:sz="4" w:space="0"/>
                    <w:right w:val="single" w:color="000000" w:sz="4" w:space="0"/>
                  </w:tcBorders>
                  <w:noWrap w:val="0"/>
                  <w:tcMar>
                    <w:top w:w="8" w:type="dxa"/>
                    <w:left w:w="8" w:type="dxa"/>
                    <w:right w:w="8" w:type="dxa"/>
                  </w:tcMar>
                  <w:vAlign w:val="center"/>
                </w:tcPr>
                <w:p w14:paraId="45B01A1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18"/>
                      <w:szCs w:val="18"/>
                      <w:highlight w:val="none"/>
                    </w:rPr>
                  </w:pPr>
                </w:p>
              </w:tc>
              <w:tc>
                <w:tcPr>
                  <w:tcW w:w="213" w:type="pct"/>
                  <w:vMerge w:val="continue"/>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6E8AA03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18"/>
                      <w:szCs w:val="18"/>
                      <w:highlight w:val="none"/>
                    </w:rPr>
                  </w:pPr>
                </w:p>
              </w:tc>
              <w:tc>
                <w:tcPr>
                  <w:tcW w:w="195" w:type="pct"/>
                  <w:vMerge w:val="continue"/>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339D187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18"/>
                      <w:szCs w:val="18"/>
                      <w:highlight w:val="none"/>
                    </w:rPr>
                  </w:pPr>
                </w:p>
              </w:tc>
              <w:tc>
                <w:tcPr>
                  <w:tcW w:w="221" w:type="pct"/>
                  <w:vMerge w:val="continue"/>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3255FE4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18"/>
                      <w:szCs w:val="18"/>
                      <w:highlight w:val="none"/>
                    </w:rPr>
                  </w:pPr>
                </w:p>
              </w:tc>
              <w:tc>
                <w:tcPr>
                  <w:tcW w:w="390" w:type="pct"/>
                  <w:gridSpan w:val="2"/>
                  <w:vMerge w:val="continue"/>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7A4BBBA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18"/>
                      <w:szCs w:val="18"/>
                      <w:highlight w:val="none"/>
                    </w:rPr>
                  </w:pPr>
                </w:p>
              </w:tc>
              <w:tc>
                <w:tcPr>
                  <w:tcW w:w="363"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54FFFA76">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b/>
                      <w:color w:val="auto"/>
                      <w:sz w:val="18"/>
                      <w:szCs w:val="18"/>
                      <w:highlight w:val="none"/>
                      <w:lang w:eastAsia="zh-CN"/>
                    </w:rPr>
                  </w:pPr>
                  <w:r>
                    <w:rPr>
                      <w:rFonts w:hint="default" w:ascii="Times New Roman" w:hAnsi="Times New Roman" w:eastAsia="宋体" w:cs="Times New Roman"/>
                      <w:b/>
                      <w:color w:val="auto"/>
                      <w:kern w:val="0"/>
                      <w:sz w:val="18"/>
                      <w:szCs w:val="18"/>
                      <w:highlight w:val="none"/>
                      <w:lang w:bidi="ar"/>
                    </w:rPr>
                    <w:t>产生量</w:t>
                  </w:r>
                  <w:r>
                    <w:rPr>
                      <w:rFonts w:hint="eastAsia" w:ascii="Times New Roman" w:hAnsi="Times New Roman" w:eastAsia="宋体" w:cs="Times New Roman"/>
                      <w:b/>
                      <w:color w:val="auto"/>
                      <w:kern w:val="0"/>
                      <w:sz w:val="18"/>
                      <w:szCs w:val="18"/>
                      <w:highlight w:val="none"/>
                      <w:lang w:val="en-US" w:eastAsia="zh-CN" w:bidi="ar"/>
                    </w:rPr>
                    <w:t>(</w:t>
                  </w:r>
                  <w:r>
                    <w:rPr>
                      <w:rFonts w:hint="default" w:ascii="Times New Roman" w:hAnsi="Times New Roman" w:eastAsia="宋体" w:cs="Times New Roman"/>
                      <w:b/>
                      <w:color w:val="auto"/>
                      <w:kern w:val="0"/>
                      <w:sz w:val="18"/>
                      <w:szCs w:val="18"/>
                      <w:highlight w:val="none"/>
                      <w:lang w:bidi="ar"/>
                    </w:rPr>
                    <w:t>kg/次</w:t>
                  </w:r>
                  <w:r>
                    <w:rPr>
                      <w:rFonts w:hint="eastAsia" w:ascii="Times New Roman" w:hAnsi="Times New Roman" w:eastAsia="宋体" w:cs="Times New Roman"/>
                      <w:b/>
                      <w:color w:val="auto"/>
                      <w:kern w:val="0"/>
                      <w:sz w:val="18"/>
                      <w:szCs w:val="18"/>
                      <w:highlight w:val="none"/>
                      <w:lang w:val="en-US" w:eastAsia="zh-CN" w:bidi="ar"/>
                    </w:rPr>
                    <w:t>)</w:t>
                  </w:r>
                </w:p>
              </w:tc>
              <w:tc>
                <w:tcPr>
                  <w:tcW w:w="434"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11A47B0D">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b/>
                      <w:color w:val="auto"/>
                      <w:kern w:val="0"/>
                      <w:sz w:val="18"/>
                      <w:szCs w:val="18"/>
                      <w:highlight w:val="none"/>
                      <w:lang w:val="en-US" w:eastAsia="zh-CN" w:bidi="ar"/>
                    </w:rPr>
                  </w:pPr>
                  <w:r>
                    <w:rPr>
                      <w:rFonts w:hint="eastAsia" w:ascii="Times New Roman" w:hAnsi="Times New Roman" w:eastAsia="宋体" w:cs="Times New Roman"/>
                      <w:b/>
                      <w:color w:val="auto"/>
                      <w:kern w:val="0"/>
                      <w:sz w:val="18"/>
                      <w:szCs w:val="18"/>
                      <w:highlight w:val="none"/>
                      <w:lang w:val="en-US" w:eastAsia="zh-CN" w:bidi="ar"/>
                    </w:rPr>
                    <w:t>浓度</w:t>
                  </w:r>
                  <w:r>
                    <w:rPr>
                      <w:rFonts w:hint="default" w:ascii="Times New Roman" w:hAnsi="Times New Roman" w:eastAsia="宋体"/>
                      <w:b/>
                      <w:color w:val="auto"/>
                      <w:kern w:val="0"/>
                      <w:sz w:val="21"/>
                      <w:szCs w:val="21"/>
                      <w:highlight w:val="none"/>
                      <w:lang w:bidi="ar"/>
                    </w:rPr>
                    <w:t>(mg/m</w:t>
                  </w:r>
                  <w:r>
                    <w:rPr>
                      <w:rFonts w:hint="default" w:ascii="Times New Roman" w:hAnsi="Times New Roman" w:eastAsia="宋体"/>
                      <w:b/>
                      <w:color w:val="auto"/>
                      <w:kern w:val="0"/>
                      <w:sz w:val="21"/>
                      <w:szCs w:val="21"/>
                      <w:highlight w:val="none"/>
                      <w:vertAlign w:val="superscript"/>
                      <w:lang w:bidi="ar"/>
                    </w:rPr>
                    <w:t>3</w:t>
                  </w:r>
                  <w:r>
                    <w:rPr>
                      <w:rStyle w:val="52"/>
                      <w:rFonts w:ascii="Times New Roman" w:hAnsi="Times New Roman" w:eastAsia="宋体"/>
                      <w:color w:val="auto"/>
                      <w:sz w:val="21"/>
                      <w:szCs w:val="21"/>
                      <w:highlight w:val="none"/>
                      <w:lang w:bidi="ar"/>
                    </w:rPr>
                    <w:t>)</w:t>
                  </w:r>
                </w:p>
              </w:tc>
              <w:tc>
                <w:tcPr>
                  <w:tcW w:w="350"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6B122C9D">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auto"/>
                      <w:kern w:val="0"/>
                      <w:sz w:val="18"/>
                      <w:szCs w:val="18"/>
                      <w:highlight w:val="none"/>
                      <w:lang w:bidi="ar"/>
                    </w:rPr>
                  </w:pPr>
                  <w:r>
                    <w:rPr>
                      <w:rFonts w:hint="default" w:ascii="Times New Roman" w:hAnsi="Times New Roman" w:eastAsia="宋体" w:cs="Times New Roman"/>
                      <w:b/>
                      <w:color w:val="auto"/>
                      <w:kern w:val="0"/>
                      <w:sz w:val="18"/>
                      <w:szCs w:val="18"/>
                      <w:highlight w:val="none"/>
                      <w:lang w:bidi="ar"/>
                    </w:rPr>
                    <w:t>速率</w:t>
                  </w:r>
                </w:p>
                <w:p w14:paraId="76D503E7">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kern w:val="0"/>
                      <w:sz w:val="18"/>
                      <w:szCs w:val="18"/>
                      <w:highlight w:val="none"/>
                      <w:lang w:bidi="ar"/>
                    </w:rPr>
                    <w:t>(kg/h)</w:t>
                  </w:r>
                </w:p>
              </w:tc>
              <w:tc>
                <w:tcPr>
                  <w:tcW w:w="594" w:type="pct"/>
                  <w:vMerge w:val="continue"/>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70B410F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18"/>
                      <w:szCs w:val="18"/>
                      <w:highlight w:val="none"/>
                    </w:rPr>
                  </w:pPr>
                </w:p>
              </w:tc>
              <w:tc>
                <w:tcPr>
                  <w:tcW w:w="346" w:type="pct"/>
                  <w:vMerge w:val="continue"/>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07248CBA">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auto"/>
                      <w:sz w:val="18"/>
                      <w:szCs w:val="18"/>
                      <w:highlight w:val="none"/>
                    </w:rPr>
                  </w:pPr>
                </w:p>
              </w:tc>
              <w:tc>
                <w:tcPr>
                  <w:tcW w:w="426"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119513DE">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b/>
                      <w:color w:val="auto"/>
                      <w:sz w:val="18"/>
                      <w:szCs w:val="18"/>
                      <w:highlight w:val="none"/>
                      <w:lang w:eastAsia="zh-CN"/>
                    </w:rPr>
                  </w:pPr>
                  <w:r>
                    <w:rPr>
                      <w:rFonts w:hint="default" w:ascii="Times New Roman" w:hAnsi="Times New Roman" w:eastAsia="宋体" w:cs="Times New Roman"/>
                      <w:b/>
                      <w:color w:val="auto"/>
                      <w:kern w:val="0"/>
                      <w:sz w:val="18"/>
                      <w:szCs w:val="18"/>
                      <w:highlight w:val="none"/>
                      <w:lang w:bidi="ar"/>
                    </w:rPr>
                    <w:t>排放量</w:t>
                  </w:r>
                  <w:r>
                    <w:rPr>
                      <w:rFonts w:hint="eastAsia" w:ascii="Times New Roman" w:hAnsi="Times New Roman" w:eastAsia="宋体" w:cs="Times New Roman"/>
                      <w:b/>
                      <w:color w:val="auto"/>
                      <w:kern w:val="0"/>
                      <w:sz w:val="18"/>
                      <w:szCs w:val="18"/>
                      <w:highlight w:val="none"/>
                      <w:lang w:val="en-US" w:eastAsia="zh-CN" w:bidi="ar"/>
                    </w:rPr>
                    <w:t>(</w:t>
                  </w:r>
                  <w:r>
                    <w:rPr>
                      <w:rFonts w:hint="default" w:ascii="Times New Roman" w:hAnsi="Times New Roman" w:eastAsia="宋体" w:cs="Times New Roman"/>
                      <w:b/>
                      <w:color w:val="auto"/>
                      <w:kern w:val="0"/>
                      <w:sz w:val="18"/>
                      <w:szCs w:val="18"/>
                      <w:highlight w:val="none"/>
                      <w:lang w:bidi="ar"/>
                    </w:rPr>
                    <w:t>kg/次</w:t>
                  </w:r>
                  <w:r>
                    <w:rPr>
                      <w:rFonts w:hint="eastAsia" w:ascii="Times New Roman" w:hAnsi="Times New Roman" w:eastAsia="宋体" w:cs="Times New Roman"/>
                      <w:b/>
                      <w:color w:val="auto"/>
                      <w:kern w:val="0"/>
                      <w:sz w:val="18"/>
                      <w:szCs w:val="18"/>
                      <w:highlight w:val="none"/>
                      <w:lang w:val="en-US" w:eastAsia="zh-CN" w:bidi="ar"/>
                    </w:rPr>
                    <w:t>)</w:t>
                  </w:r>
                </w:p>
              </w:tc>
              <w:tc>
                <w:tcPr>
                  <w:tcW w:w="479"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1A6D6DD9">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b/>
                      <w:color w:val="auto"/>
                      <w:kern w:val="0"/>
                      <w:sz w:val="18"/>
                      <w:szCs w:val="18"/>
                      <w:highlight w:val="none"/>
                      <w:lang w:eastAsia="zh-CN" w:bidi="ar"/>
                    </w:rPr>
                  </w:pPr>
                  <w:r>
                    <w:rPr>
                      <w:rFonts w:hint="eastAsia" w:ascii="Times New Roman" w:hAnsi="Times New Roman" w:eastAsia="宋体" w:cs="Times New Roman"/>
                      <w:b/>
                      <w:color w:val="auto"/>
                      <w:kern w:val="0"/>
                      <w:sz w:val="18"/>
                      <w:szCs w:val="18"/>
                      <w:highlight w:val="none"/>
                      <w:lang w:val="en-US" w:eastAsia="zh-CN" w:bidi="ar"/>
                    </w:rPr>
                    <w:t>浓度</w:t>
                  </w:r>
                  <w:r>
                    <w:rPr>
                      <w:rFonts w:hint="default" w:ascii="Times New Roman" w:hAnsi="Times New Roman" w:eastAsia="宋体"/>
                      <w:b/>
                      <w:color w:val="auto"/>
                      <w:kern w:val="0"/>
                      <w:sz w:val="21"/>
                      <w:szCs w:val="21"/>
                      <w:highlight w:val="none"/>
                      <w:lang w:bidi="ar"/>
                    </w:rPr>
                    <w:t>(mg/m</w:t>
                  </w:r>
                  <w:r>
                    <w:rPr>
                      <w:rFonts w:hint="default" w:ascii="Times New Roman" w:hAnsi="Times New Roman" w:eastAsia="宋体"/>
                      <w:b/>
                      <w:color w:val="auto"/>
                      <w:kern w:val="0"/>
                      <w:sz w:val="21"/>
                      <w:szCs w:val="21"/>
                      <w:highlight w:val="none"/>
                      <w:vertAlign w:val="superscript"/>
                      <w:lang w:bidi="ar"/>
                    </w:rPr>
                    <w:t>3</w:t>
                  </w:r>
                  <w:r>
                    <w:rPr>
                      <w:rFonts w:hint="eastAsia" w:ascii="Times New Roman" w:hAnsi="Times New Roman" w:eastAsia="宋体"/>
                      <w:b/>
                      <w:color w:val="auto"/>
                      <w:kern w:val="0"/>
                      <w:sz w:val="21"/>
                      <w:szCs w:val="21"/>
                      <w:highlight w:val="none"/>
                      <w:vertAlign w:val="baseline"/>
                      <w:lang w:eastAsia="zh-CN" w:bidi="ar"/>
                    </w:rPr>
                    <w:t>）</w:t>
                  </w:r>
                </w:p>
              </w:tc>
              <w:tc>
                <w:tcPr>
                  <w:tcW w:w="339"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073A4B13">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auto"/>
                      <w:kern w:val="0"/>
                      <w:sz w:val="18"/>
                      <w:szCs w:val="18"/>
                      <w:highlight w:val="none"/>
                      <w:lang w:bidi="ar"/>
                    </w:rPr>
                  </w:pPr>
                  <w:r>
                    <w:rPr>
                      <w:rFonts w:hint="default" w:ascii="Times New Roman" w:hAnsi="Times New Roman" w:eastAsia="宋体" w:cs="Times New Roman"/>
                      <w:b/>
                      <w:color w:val="auto"/>
                      <w:kern w:val="0"/>
                      <w:sz w:val="18"/>
                      <w:szCs w:val="18"/>
                      <w:highlight w:val="none"/>
                      <w:lang w:bidi="ar"/>
                    </w:rPr>
                    <w:t>速率</w:t>
                  </w:r>
                </w:p>
                <w:p w14:paraId="4D9FD58B">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kern w:val="0"/>
                      <w:sz w:val="18"/>
                      <w:szCs w:val="18"/>
                      <w:highlight w:val="none"/>
                      <w:lang w:bidi="ar"/>
                    </w:rPr>
                    <w:t>(kg/h)</w:t>
                  </w:r>
                </w:p>
              </w:tc>
              <w:tc>
                <w:tcPr>
                  <w:tcW w:w="287" w:type="pct"/>
                  <w:vMerge w:val="continue"/>
                  <w:tcBorders>
                    <w:top w:val="single" w:color="000000" w:sz="4" w:space="0"/>
                    <w:left w:val="single" w:color="000000" w:sz="4" w:space="0"/>
                    <w:bottom w:val="single" w:color="000000" w:sz="4" w:space="0"/>
                  </w:tcBorders>
                  <w:noWrap w:val="0"/>
                  <w:tcMar>
                    <w:top w:w="8" w:type="dxa"/>
                    <w:left w:w="8" w:type="dxa"/>
                    <w:right w:w="8" w:type="dxa"/>
                  </w:tcMar>
                  <w:vAlign w:val="center"/>
                </w:tcPr>
                <w:p w14:paraId="60FC99F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18"/>
                      <w:szCs w:val="18"/>
                      <w:highlight w:val="none"/>
                    </w:rPr>
                  </w:pPr>
                </w:p>
              </w:tc>
            </w:tr>
            <w:tr w14:paraId="3142B67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162" w:hRule="atLeast"/>
                <w:jc w:val="center"/>
              </w:trPr>
              <w:tc>
                <w:tcPr>
                  <w:tcW w:w="359" w:type="pct"/>
                  <w:vMerge w:val="restart"/>
                  <w:tcBorders>
                    <w:top w:val="single" w:color="000000" w:sz="4" w:space="0"/>
                    <w:right w:val="single" w:color="000000" w:sz="4" w:space="0"/>
                  </w:tcBorders>
                  <w:noWrap w:val="0"/>
                  <w:tcMar>
                    <w:top w:w="8" w:type="dxa"/>
                    <w:left w:w="8" w:type="dxa"/>
                    <w:right w:w="8" w:type="dxa"/>
                  </w:tcMar>
                  <w:vAlign w:val="center"/>
                </w:tcPr>
                <w:p w14:paraId="000D543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原料挥发</w:t>
                  </w:r>
                </w:p>
              </w:tc>
              <w:tc>
                <w:tcPr>
                  <w:tcW w:w="213" w:type="pct"/>
                  <w:vMerge w:val="restar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34476F99">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处理设施或风机故障、检修状况</w:t>
                  </w:r>
                </w:p>
              </w:tc>
              <w:tc>
                <w:tcPr>
                  <w:tcW w:w="195"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658AE474">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bidi="ar"/>
                    </w:rPr>
                    <w:t>1</w:t>
                  </w:r>
                </w:p>
              </w:tc>
              <w:tc>
                <w:tcPr>
                  <w:tcW w:w="221"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5B83C66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0.5</w:t>
                  </w:r>
                </w:p>
              </w:tc>
              <w:tc>
                <w:tcPr>
                  <w:tcW w:w="390" w:type="pct"/>
                  <w:gridSpan w:val="2"/>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29E52F0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非甲烷总烃</w:t>
                  </w:r>
                </w:p>
              </w:tc>
              <w:tc>
                <w:tcPr>
                  <w:tcW w:w="363"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6DF0C6B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0.01135</w:t>
                  </w:r>
                </w:p>
              </w:tc>
              <w:tc>
                <w:tcPr>
                  <w:tcW w:w="797"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26F6786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等线" w:cs="Times New Roman"/>
                      <w:i w:val="0"/>
                      <w:iCs w:val="0"/>
                      <w:color w:val="000000"/>
                      <w:kern w:val="0"/>
                      <w:sz w:val="18"/>
                      <w:szCs w:val="18"/>
                      <w:u w:val="none"/>
                      <w:lang w:val="en-US" w:eastAsia="zh-CN" w:bidi="ar"/>
                    </w:rPr>
                    <w:t>8.758</w:t>
                  </w:r>
                </w:p>
              </w:tc>
              <w:tc>
                <w:tcPr>
                  <w:tcW w:w="642"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3E6BC5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等线" w:cs="Times New Roman"/>
                      <w:i w:val="0"/>
                      <w:iCs w:val="0"/>
                      <w:color w:val="000000"/>
                      <w:kern w:val="0"/>
                      <w:sz w:val="18"/>
                      <w:szCs w:val="18"/>
                      <w:u w:val="none"/>
                      <w:lang w:val="en-US" w:eastAsia="zh-CN" w:bidi="ar"/>
                    </w:rPr>
                    <w:t>0.0227</w:t>
                  </w:r>
                </w:p>
              </w:tc>
              <w:tc>
                <w:tcPr>
                  <w:tcW w:w="594"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6C54CAE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二级活性炭</w:t>
                  </w:r>
                </w:p>
              </w:tc>
              <w:tc>
                <w:tcPr>
                  <w:tcW w:w="346"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04D4E54E">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782"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5387C80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0.01135</w:t>
                  </w:r>
                </w:p>
              </w:tc>
              <w:tc>
                <w:tcPr>
                  <w:tcW w:w="879"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2717138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等线" w:cs="Times New Roman"/>
                      <w:i w:val="0"/>
                      <w:iCs w:val="0"/>
                      <w:color w:val="000000"/>
                      <w:kern w:val="0"/>
                      <w:sz w:val="18"/>
                      <w:szCs w:val="18"/>
                      <w:u w:val="none"/>
                      <w:lang w:val="en-US" w:eastAsia="zh-CN" w:bidi="ar"/>
                    </w:rPr>
                    <w:t>8.758</w:t>
                  </w:r>
                </w:p>
              </w:tc>
              <w:tc>
                <w:tcPr>
                  <w:tcW w:w="622"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6DC567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等线" w:cs="Times New Roman"/>
                      <w:i w:val="0"/>
                      <w:iCs w:val="0"/>
                      <w:color w:val="000000"/>
                      <w:kern w:val="0"/>
                      <w:sz w:val="18"/>
                      <w:szCs w:val="18"/>
                      <w:u w:val="none"/>
                      <w:lang w:val="en-US" w:eastAsia="zh-CN" w:bidi="ar"/>
                    </w:rPr>
                    <w:t>0.0227</w:t>
                  </w:r>
                </w:p>
              </w:tc>
              <w:tc>
                <w:tcPr>
                  <w:tcW w:w="287" w:type="pct"/>
                  <w:vMerge w:val="restart"/>
                  <w:tcBorders>
                    <w:top w:val="single" w:color="000000" w:sz="4" w:space="0"/>
                    <w:left w:val="single" w:color="000000" w:sz="4" w:space="0"/>
                  </w:tcBorders>
                  <w:noWrap w:val="0"/>
                  <w:tcMar>
                    <w:top w:w="8" w:type="dxa"/>
                    <w:left w:w="8" w:type="dxa"/>
                    <w:right w:w="8" w:type="dxa"/>
                  </w:tcMar>
                  <w:vAlign w:val="center"/>
                </w:tcPr>
                <w:p w14:paraId="594FF99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一根15m高排气筒FQ01</w:t>
                  </w:r>
                </w:p>
              </w:tc>
            </w:tr>
            <w:tr w14:paraId="599AB22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82" w:hRule="atLeast"/>
                <w:jc w:val="center"/>
              </w:trPr>
              <w:tc>
                <w:tcPr>
                  <w:tcW w:w="359" w:type="pct"/>
                  <w:vMerge w:val="continue"/>
                  <w:tcBorders>
                    <w:bottom w:val="single" w:color="000000" w:sz="4" w:space="0"/>
                    <w:right w:val="single" w:color="000000" w:sz="4" w:space="0"/>
                  </w:tcBorders>
                  <w:noWrap w:val="0"/>
                  <w:tcMar>
                    <w:top w:w="8" w:type="dxa"/>
                    <w:left w:w="8" w:type="dxa"/>
                    <w:right w:w="8" w:type="dxa"/>
                  </w:tcMar>
                  <w:vAlign w:val="center"/>
                </w:tcPr>
                <w:p w14:paraId="43BC1E6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auto"/>
                      <w:sz w:val="18"/>
                      <w:szCs w:val="18"/>
                      <w:highlight w:val="none"/>
                      <w:lang w:val="en-US" w:eastAsia="zh-CN"/>
                    </w:rPr>
                  </w:pPr>
                </w:p>
              </w:tc>
              <w:tc>
                <w:tcPr>
                  <w:tcW w:w="213" w:type="pct"/>
                  <w:vMerge w:val="continue"/>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75AF0ACC">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rPr>
                  </w:pPr>
                </w:p>
              </w:tc>
              <w:tc>
                <w:tcPr>
                  <w:tcW w:w="195"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6E6D3DDB">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1</w:t>
                  </w:r>
                </w:p>
              </w:tc>
              <w:tc>
                <w:tcPr>
                  <w:tcW w:w="221"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4AAD92A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0.5</w:t>
                  </w:r>
                </w:p>
              </w:tc>
              <w:tc>
                <w:tcPr>
                  <w:tcW w:w="214" w:type="pct"/>
                  <w:tcBorders>
                    <w:top w:val="single" w:color="000000" w:sz="4" w:space="0"/>
                    <w:left w:val="single" w:color="000000" w:sz="4" w:space="0"/>
                    <w:bottom w:val="single" w:color="000000" w:sz="4" w:space="0"/>
                    <w:right w:val="single" w:color="auto" w:sz="4" w:space="0"/>
                  </w:tcBorders>
                  <w:noWrap w:val="0"/>
                  <w:tcMar>
                    <w:top w:w="8" w:type="dxa"/>
                    <w:left w:w="8" w:type="dxa"/>
                    <w:right w:w="8" w:type="dxa"/>
                  </w:tcMar>
                  <w:vAlign w:val="center"/>
                </w:tcPr>
                <w:p w14:paraId="55AFAE2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包括</w:t>
                  </w:r>
                </w:p>
              </w:tc>
              <w:tc>
                <w:tcPr>
                  <w:tcW w:w="176" w:type="pct"/>
                  <w:tcBorders>
                    <w:top w:val="single" w:color="000000" w:sz="4" w:space="0"/>
                    <w:left w:val="single" w:color="auto" w:sz="4" w:space="0"/>
                    <w:bottom w:val="single" w:color="000000" w:sz="4" w:space="0"/>
                    <w:right w:val="single" w:color="000000" w:sz="4" w:space="0"/>
                  </w:tcBorders>
                  <w:noWrap w:val="0"/>
                  <w:tcMar>
                    <w:top w:w="8" w:type="dxa"/>
                    <w:left w:w="8" w:type="dxa"/>
                    <w:right w:w="8" w:type="dxa"/>
                  </w:tcMar>
                  <w:vAlign w:val="center"/>
                </w:tcPr>
                <w:p w14:paraId="673AED9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甲醇</w:t>
                  </w:r>
                </w:p>
              </w:tc>
              <w:tc>
                <w:tcPr>
                  <w:tcW w:w="363"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29AB6D6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0.00075</w:t>
                  </w:r>
                </w:p>
              </w:tc>
              <w:tc>
                <w:tcPr>
                  <w:tcW w:w="797"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118EC12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等线" w:cs="Times New Roman"/>
                      <w:i w:val="0"/>
                      <w:iCs w:val="0"/>
                      <w:color w:val="000000"/>
                      <w:kern w:val="0"/>
                      <w:sz w:val="18"/>
                      <w:szCs w:val="18"/>
                      <w:u w:val="none"/>
                      <w:lang w:val="en-US" w:eastAsia="zh-CN" w:bidi="ar"/>
                    </w:rPr>
                    <w:t>0.5773</w:t>
                  </w:r>
                </w:p>
              </w:tc>
              <w:tc>
                <w:tcPr>
                  <w:tcW w:w="642"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0F3F04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等线" w:cs="Times New Roman"/>
                      <w:i w:val="0"/>
                      <w:iCs w:val="0"/>
                      <w:color w:val="000000"/>
                      <w:kern w:val="0"/>
                      <w:sz w:val="18"/>
                      <w:szCs w:val="18"/>
                      <w:u w:val="none"/>
                      <w:lang w:val="en-US" w:eastAsia="zh-CN" w:bidi="ar"/>
                    </w:rPr>
                    <w:t>0.0015</w:t>
                  </w:r>
                </w:p>
              </w:tc>
              <w:tc>
                <w:tcPr>
                  <w:tcW w:w="594"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5A72852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二级活性炭</w:t>
                  </w:r>
                </w:p>
              </w:tc>
              <w:tc>
                <w:tcPr>
                  <w:tcW w:w="346"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5BC735DC">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782"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21EA4BC3">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0.00075</w:t>
                  </w:r>
                </w:p>
              </w:tc>
              <w:tc>
                <w:tcPr>
                  <w:tcW w:w="879"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6BDC9B5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等线" w:cs="Times New Roman"/>
                      <w:i w:val="0"/>
                      <w:iCs w:val="0"/>
                      <w:color w:val="000000"/>
                      <w:kern w:val="0"/>
                      <w:sz w:val="18"/>
                      <w:szCs w:val="18"/>
                      <w:u w:val="none"/>
                      <w:lang w:val="en-US" w:eastAsia="zh-CN" w:bidi="ar"/>
                    </w:rPr>
                    <w:t>0.5773</w:t>
                  </w:r>
                </w:p>
              </w:tc>
              <w:tc>
                <w:tcPr>
                  <w:tcW w:w="622"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27674E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等线" w:cs="Times New Roman"/>
                      <w:i w:val="0"/>
                      <w:iCs w:val="0"/>
                      <w:color w:val="000000"/>
                      <w:kern w:val="0"/>
                      <w:sz w:val="18"/>
                      <w:szCs w:val="18"/>
                      <w:u w:val="none"/>
                      <w:lang w:val="en-US" w:eastAsia="zh-CN" w:bidi="ar"/>
                    </w:rPr>
                    <w:t>0.0015</w:t>
                  </w:r>
                </w:p>
              </w:tc>
              <w:tc>
                <w:tcPr>
                  <w:tcW w:w="287" w:type="pct"/>
                  <w:vMerge w:val="continue"/>
                  <w:tcBorders>
                    <w:left w:val="single" w:color="000000" w:sz="4" w:space="0"/>
                    <w:bottom w:val="single" w:color="000000" w:sz="4" w:space="0"/>
                  </w:tcBorders>
                  <w:noWrap w:val="0"/>
                  <w:tcMar>
                    <w:top w:w="8" w:type="dxa"/>
                    <w:left w:w="8" w:type="dxa"/>
                    <w:right w:w="8" w:type="dxa"/>
                  </w:tcMar>
                  <w:vAlign w:val="center"/>
                </w:tcPr>
                <w:p w14:paraId="632CC63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color w:val="auto"/>
                      <w:sz w:val="18"/>
                      <w:szCs w:val="18"/>
                      <w:highlight w:val="none"/>
                      <w:lang w:val="en-US"/>
                    </w:rPr>
                  </w:pPr>
                </w:p>
              </w:tc>
            </w:tr>
          </w:tbl>
          <w:p w14:paraId="173136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本环评拟从下面几个方面建议建设单位做好防范工作：</w:t>
            </w:r>
          </w:p>
          <w:p w14:paraId="1C314D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a.平时注意废气处理设施的维护，及时发现处理设备的隐患，确保废气处理系统正常运行；开、停、检修要有预案，有严密周全的计划，确保不发生非正常排放，或使影响最小。</w:t>
            </w:r>
          </w:p>
          <w:p w14:paraId="4B6109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b.应设有备用电源和备用处理设备和零件，以备停电或设备出现故障时保障及时更换使废气全部做到达标排放。</w:t>
            </w:r>
          </w:p>
          <w:p w14:paraId="7E944D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c.对员工进行岗位培训。做好值班记录，实行岗位责任制。</w:t>
            </w:r>
          </w:p>
          <w:p w14:paraId="0DBC02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本项目投产后，需加强环保管理，杜绝废气的不正常排放的发生</w:t>
            </w:r>
            <w:r>
              <w:rPr>
                <w:rFonts w:hint="eastAsia" w:ascii="Times New Roman" w:hAnsi="Times New Roman" w:eastAsia="宋体" w:cs="Times New Roman"/>
                <w:color w:val="auto"/>
                <w:sz w:val="24"/>
                <w:highlight w:val="none"/>
              </w:rPr>
              <w:t>。</w:t>
            </w:r>
          </w:p>
          <w:p w14:paraId="1BB650FB">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kern w:val="0"/>
                <w:sz w:val="24"/>
                <w:highlight w:val="none"/>
              </w:rPr>
            </w:pPr>
            <w:r>
              <w:rPr>
                <w:rFonts w:hint="eastAsia" w:ascii="Times New Roman" w:hAnsi="Times New Roman" w:eastAsia="宋体" w:cs="Times New Roman"/>
                <w:b/>
                <w:bCs/>
                <w:color w:val="auto"/>
                <w:kern w:val="0"/>
                <w:sz w:val="24"/>
                <w:highlight w:val="none"/>
              </w:rPr>
              <w:t>（</w:t>
            </w:r>
            <w:r>
              <w:rPr>
                <w:rFonts w:hint="eastAsia" w:ascii="Times New Roman" w:hAnsi="Times New Roman" w:eastAsia="宋体" w:cs="Times New Roman"/>
                <w:b/>
                <w:bCs/>
                <w:color w:val="auto"/>
                <w:kern w:val="0"/>
                <w:sz w:val="24"/>
                <w:highlight w:val="none"/>
                <w:lang w:val="en-US" w:eastAsia="zh-CN"/>
              </w:rPr>
              <w:t>9</w:t>
            </w:r>
            <w:r>
              <w:rPr>
                <w:rFonts w:hint="eastAsia" w:ascii="Times New Roman" w:hAnsi="Times New Roman" w:eastAsia="宋体" w:cs="Times New Roman"/>
                <w:b/>
                <w:bCs/>
                <w:color w:val="auto"/>
                <w:kern w:val="0"/>
                <w:sz w:val="24"/>
                <w:highlight w:val="none"/>
              </w:rPr>
              <w:t>）</w:t>
            </w:r>
            <w:r>
              <w:rPr>
                <w:rFonts w:hint="default" w:ascii="Times New Roman" w:hAnsi="Times New Roman" w:eastAsia="宋体" w:cs="Times New Roman"/>
                <w:b/>
                <w:bCs/>
                <w:color w:val="auto"/>
                <w:kern w:val="0"/>
                <w:sz w:val="24"/>
                <w:highlight w:val="none"/>
              </w:rPr>
              <w:t>大气环境影响分析结论</w:t>
            </w:r>
          </w:p>
          <w:p w14:paraId="3FD90572">
            <w:pPr>
              <w:pStyle w:val="13"/>
              <w:keepNext w:val="0"/>
              <w:keepLines w:val="0"/>
              <w:pageBreakBefore w:val="0"/>
              <w:widowControl w:val="0"/>
              <w:numPr>
                <w:ilvl w:val="0"/>
                <w:numId w:val="0"/>
              </w:numPr>
              <w:suppressLineNumbers w:val="0"/>
              <w:tabs>
                <w:tab w:val="clear" w:pos="2040"/>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本项目位于无锡市新吴区净慧东道196号F楼2楼</w:t>
            </w:r>
            <w:r>
              <w:rPr>
                <w:rFonts w:hint="default" w:ascii="Times New Roman" w:hAnsi="Times New Roman" w:eastAsia="宋体" w:cs="Times New Roman"/>
                <w:color w:val="auto"/>
                <w:sz w:val="24"/>
                <w:highlight w:val="none"/>
              </w:rPr>
              <w:t>，项目周边500m范围内</w:t>
            </w:r>
            <w:r>
              <w:rPr>
                <w:rFonts w:hint="eastAsia" w:ascii="Times New Roman" w:hAnsi="Times New Roman" w:eastAsia="宋体" w:cs="Times New Roman"/>
                <w:color w:val="auto"/>
                <w:sz w:val="24"/>
                <w:highlight w:val="none"/>
              </w:rPr>
              <w:t>无</w:t>
            </w:r>
            <w:r>
              <w:rPr>
                <w:rFonts w:hint="default" w:ascii="Times New Roman" w:hAnsi="Times New Roman" w:eastAsia="宋体" w:cs="Times New Roman"/>
                <w:color w:val="auto"/>
                <w:sz w:val="24"/>
                <w:highlight w:val="none"/>
              </w:rPr>
              <w:t>大气环境保护目标</w:t>
            </w:r>
            <w:r>
              <w:rPr>
                <w:rFonts w:hint="eastAsia" w:ascii="Times New Roman" w:hAnsi="Times New Roman" w:eastAsia="宋体" w:cs="Times New Roman"/>
                <w:color w:val="auto"/>
                <w:sz w:val="24"/>
                <w:highlight w:val="none"/>
              </w:rPr>
              <w:t>。</w:t>
            </w:r>
            <w:r>
              <w:rPr>
                <w:rFonts w:hint="eastAsia" w:ascii="Times New Roman" w:hAnsi="Times New Roman" w:eastAsia="宋体"/>
                <w:color w:val="auto"/>
                <w:sz w:val="24"/>
                <w:szCs w:val="24"/>
                <w:highlight w:val="none"/>
              </w:rPr>
              <w:t>根据</w:t>
            </w:r>
            <w:r>
              <w:rPr>
                <w:rFonts w:hint="eastAsia" w:ascii="Times New Roman" w:hAnsi="Times New Roman" w:eastAsia="宋体"/>
                <w:color w:val="auto"/>
                <w:sz w:val="24"/>
                <w:szCs w:val="24"/>
                <w:highlight w:val="none"/>
                <w:lang w:eastAsia="zh-CN"/>
              </w:rPr>
              <w:t>《</w:t>
            </w:r>
            <w:r>
              <w:rPr>
                <w:rFonts w:hint="eastAsia" w:ascii="Times New Roman" w:hAnsi="Times New Roman" w:eastAsia="宋体"/>
                <w:color w:val="auto"/>
                <w:sz w:val="24"/>
                <w:szCs w:val="24"/>
                <w:highlight w:val="none"/>
                <w:lang w:val="en-US" w:eastAsia="zh-CN"/>
              </w:rPr>
              <w:t>无锡市生态环境状况公报（2023年度）</w:t>
            </w:r>
            <w:r>
              <w:rPr>
                <w:rFonts w:hint="eastAsia" w:ascii="Times New Roman" w:hAnsi="Times New Roman" w:eastAsia="宋体"/>
                <w:color w:val="auto"/>
                <w:sz w:val="24"/>
                <w:szCs w:val="24"/>
                <w:highlight w:val="none"/>
                <w:lang w:eastAsia="zh-CN"/>
              </w:rPr>
              <w:t>》</w:t>
            </w:r>
            <w:r>
              <w:rPr>
                <w:rFonts w:hint="eastAsia"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lang w:val="en-US" w:eastAsia="zh-CN"/>
              </w:rPr>
              <w:t>新吴区为不达标区</w:t>
            </w:r>
            <w:r>
              <w:rPr>
                <w:rFonts w:hint="eastAsia" w:ascii="Times New Roman" w:hAnsi="Times New Roman" w:eastAsia="宋体"/>
                <w:color w:val="auto"/>
                <w:sz w:val="24"/>
                <w:szCs w:val="24"/>
                <w:highlight w:val="none"/>
                <w:lang w:eastAsia="zh-CN"/>
              </w:rPr>
              <w:t>。</w:t>
            </w:r>
            <w:r>
              <w:rPr>
                <w:rFonts w:hint="eastAsia" w:ascii="Times New Roman" w:hAnsi="Times New Roman" w:eastAsia="宋体" w:cs="Times New Roman"/>
                <w:color w:val="auto"/>
                <w:sz w:val="24"/>
                <w:highlight w:val="none"/>
              </w:rPr>
              <w:t>无锡市已按</w:t>
            </w:r>
            <w:r>
              <w:rPr>
                <w:rFonts w:hint="default" w:ascii="Times New Roman" w:hAnsi="Times New Roman" w:eastAsia="宋体" w:cs="Times New Roman"/>
                <w:color w:val="auto"/>
                <w:sz w:val="24"/>
                <w:highlight w:val="none"/>
              </w:rPr>
              <w:t>《中华人民共和国大气污染防治法》的要求</w:t>
            </w:r>
            <w:r>
              <w:rPr>
                <w:rFonts w:hint="eastAsia" w:ascii="Times New Roman" w:hAnsi="Times New Roman" w:eastAsia="宋体" w:cs="Times New Roman"/>
                <w:color w:val="auto"/>
                <w:sz w:val="24"/>
                <w:highlight w:val="none"/>
              </w:rPr>
              <w:t>开展限期达标规划，预计在2025年环境控制质量全面达标</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本项目产生的废气均</w:t>
            </w:r>
            <w:r>
              <w:rPr>
                <w:rFonts w:hint="default" w:ascii="Times New Roman" w:hAnsi="Times New Roman" w:eastAsia="宋体" w:cs="Times New Roman"/>
                <w:color w:val="auto"/>
                <w:sz w:val="24"/>
                <w:highlight w:val="none"/>
              </w:rPr>
              <w:t>经</w:t>
            </w:r>
            <w:r>
              <w:rPr>
                <w:rFonts w:hint="eastAsia" w:ascii="Times New Roman" w:hAnsi="Times New Roman" w:eastAsia="宋体" w:cs="Times New Roman"/>
                <w:color w:val="auto"/>
                <w:sz w:val="24"/>
                <w:highlight w:val="none"/>
              </w:rPr>
              <w:t>合理可行的</w:t>
            </w:r>
            <w:r>
              <w:rPr>
                <w:rFonts w:hint="default" w:ascii="Times New Roman" w:hAnsi="Times New Roman" w:eastAsia="宋体" w:cs="Times New Roman"/>
                <w:color w:val="auto"/>
                <w:sz w:val="24"/>
                <w:highlight w:val="none"/>
              </w:rPr>
              <w:t>污染治理措施处理后</w:t>
            </w:r>
            <w:r>
              <w:rPr>
                <w:rFonts w:hint="eastAsia" w:ascii="Times New Roman" w:hAnsi="Times New Roman" w:eastAsia="宋体" w:cs="Times New Roman"/>
                <w:color w:val="auto"/>
                <w:sz w:val="24"/>
                <w:highlight w:val="none"/>
                <w:lang w:eastAsia="zh-CN"/>
              </w:rPr>
              <w:t>达到江苏省地方标准《大气污染物综合排放标准》（DB32/4041—2021）表1及表3相应标准</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卫</w:t>
            </w:r>
            <w:r>
              <w:rPr>
                <w:rFonts w:hint="default" w:ascii="Times New Roman" w:hAnsi="Times New Roman" w:eastAsia="宋体" w:cs="Times New Roman"/>
                <w:color w:val="auto"/>
                <w:sz w:val="24"/>
                <w:highlight w:val="none"/>
              </w:rPr>
              <w:t>生防护距离内无环境敏感目标，项目废气对周围大气环境影响较小。</w:t>
            </w:r>
          </w:p>
          <w:p w14:paraId="3F75D90C">
            <w:pPr>
              <w:keepNext w:val="0"/>
              <w:keepLines w:val="0"/>
              <w:pageBreakBefore w:val="0"/>
              <w:widowControl w:val="0"/>
              <w:numPr>
                <w:ilvl w:val="0"/>
                <w:numId w:val="0"/>
              </w:numPr>
              <w:suppressLineNumbers w:val="0"/>
              <w:kinsoku/>
              <w:wordWrap/>
              <w:overflowPunct/>
              <w:topLinePunct w:val="0"/>
              <w:autoSpaceDE w:val="0"/>
              <w:autoSpaceDN/>
              <w:bidi w:val="0"/>
              <w:spacing w:before="0" w:beforeAutospacing="0" w:after="0" w:afterAutospacing="0" w:line="360" w:lineRule="auto"/>
              <w:ind w:left="0" w:right="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kern w:val="2"/>
                <w:sz w:val="24"/>
                <w:szCs w:val="24"/>
                <w:lang w:val="en-US" w:eastAsia="zh-CN" w:bidi="ar-SA"/>
              </w:rPr>
              <w:t>2、</w:t>
            </w:r>
            <w:r>
              <w:rPr>
                <w:rFonts w:hint="default" w:ascii="Times New Roman" w:hAnsi="Times New Roman" w:eastAsia="宋体" w:cs="Times New Roman"/>
                <w:b/>
                <w:bCs/>
                <w:color w:val="auto"/>
                <w:sz w:val="24"/>
                <w:highlight w:val="none"/>
              </w:rPr>
              <w:t>废水</w:t>
            </w:r>
          </w:p>
          <w:p w14:paraId="1275CB7D">
            <w:pPr>
              <w:keepNext w:val="0"/>
              <w:keepLines w:val="0"/>
              <w:suppressLineNumbers w:val="0"/>
              <w:adjustRightInd w:val="0"/>
              <w:snapToGrid w:val="0"/>
              <w:spacing w:before="0" w:beforeAutospacing="0" w:after="0" w:afterAutospacing="0" w:line="360" w:lineRule="auto"/>
              <w:ind w:left="0" w:right="0" w:firstLine="482" w:firstLineChars="200"/>
              <w:jc w:val="left"/>
              <w:rPr>
                <w:rFonts w:hint="default"/>
                <w:b/>
                <w:bCs/>
                <w:color w:val="auto"/>
                <w:kern w:val="0"/>
                <w:sz w:val="24"/>
              </w:rPr>
            </w:pPr>
            <w:r>
              <w:rPr>
                <w:rFonts w:hint="default"/>
                <w:b/>
                <w:bCs/>
                <w:color w:val="auto"/>
                <w:kern w:val="0"/>
                <w:sz w:val="24"/>
              </w:rPr>
              <w:t>（1）废水污染源强</w:t>
            </w:r>
          </w:p>
          <w:p w14:paraId="68CCE60B">
            <w:pPr>
              <w:keepNext w:val="0"/>
              <w:keepLines w:val="0"/>
              <w:suppressLineNumbers w:val="0"/>
              <w:spacing w:before="0" w:beforeAutospacing="0" w:after="0" w:afterAutospacing="0" w:line="360" w:lineRule="auto"/>
              <w:ind w:left="0" w:right="0" w:firstLine="480" w:firstLineChars="200"/>
              <w:rPr>
                <w:rFonts w:hint="eastAsia"/>
                <w:sz w:val="24"/>
              </w:rPr>
            </w:pPr>
            <w:r>
              <w:rPr>
                <w:rFonts w:hint="eastAsia"/>
                <w:sz w:val="24"/>
              </w:rPr>
              <w:t>本项目</w:t>
            </w:r>
            <w:r>
              <w:rPr>
                <w:rFonts w:hint="eastAsia"/>
                <w:sz w:val="24"/>
                <w:lang w:val="en-US" w:eastAsia="zh-CN"/>
              </w:rPr>
              <w:t>纯水制备浓水、水浴锅外排水和经过化粪池预处理的生活污水、淋浴废水一并</w:t>
            </w:r>
            <w:r>
              <w:rPr>
                <w:rFonts w:hint="eastAsia"/>
                <w:sz w:val="24"/>
              </w:rPr>
              <w:t>接管进</w:t>
            </w:r>
            <w:r>
              <w:rPr>
                <w:rFonts w:hint="eastAsia"/>
                <w:sz w:val="24"/>
                <w:lang w:eastAsia="zh-CN"/>
              </w:rPr>
              <w:t>太湖新城污水处理厂集中处理，尾水排入京杭运河。</w:t>
            </w:r>
            <w:r>
              <w:rPr>
                <w:rFonts w:hint="default"/>
                <w:sz w:val="24"/>
              </w:rPr>
              <w:t>废水产生及排放情况见</w:t>
            </w:r>
            <w:r>
              <w:rPr>
                <w:rFonts w:hint="eastAsia"/>
                <w:sz w:val="24"/>
              </w:rPr>
              <w:t>下表。</w:t>
            </w:r>
          </w:p>
          <w:p w14:paraId="60146B58">
            <w:pPr>
              <w:pStyle w:val="24"/>
              <w:keepNext w:val="0"/>
              <w:keepLines w:val="0"/>
              <w:numPr>
                <w:ilvl w:val="0"/>
                <w:numId w:val="0"/>
              </w:numPr>
              <w:suppressLineNumbers w:val="0"/>
              <w:snapToGrid w:val="0"/>
              <w:spacing w:before="0" w:beforeAutospacing="0" w:after="0" w:afterAutospacing="0"/>
              <w:ind w:left="425" w:leftChars="0" w:right="0" w:hanging="425" w:firstLineChars="0"/>
              <w:jc w:val="center"/>
              <w:rPr>
                <w:rFonts w:hint="eastAsia" w:ascii="Times New Roman" w:hAnsi="Times New Roman" w:eastAsia="宋体" w:cs="Times New Roman"/>
                <w:b/>
                <w:bCs/>
                <w:color w:val="auto"/>
              </w:rPr>
            </w:pPr>
            <w:r>
              <w:rPr>
                <w:rFonts w:hint="default" w:ascii="Times New Roman" w:hAnsi="Times New Roman" w:eastAsia="宋体" w:cs="Times New Roman"/>
                <w:b/>
                <w:bCs/>
                <w:color w:val="auto"/>
                <w:kern w:val="0"/>
                <w:sz w:val="24"/>
                <w:szCs w:val="24"/>
                <w:lang w:val="en-US" w:eastAsia="zh-CN" w:bidi="ar-SA"/>
              </w:rPr>
              <w:t>表4-</w:t>
            </w:r>
            <w:r>
              <w:rPr>
                <w:rFonts w:hint="eastAsia" w:ascii="Times New Roman" w:hAnsi="Times New Roman" w:cs="Times New Roman"/>
                <w:b/>
                <w:bCs/>
                <w:color w:val="auto"/>
                <w:kern w:val="0"/>
                <w:sz w:val="24"/>
                <w:szCs w:val="24"/>
                <w:lang w:val="en-US" w:eastAsia="zh-CN" w:bidi="ar-SA"/>
              </w:rPr>
              <w:t xml:space="preserve">6  </w:t>
            </w:r>
            <w:r>
              <w:rPr>
                <w:rFonts w:hint="eastAsia" w:ascii="Times New Roman" w:hAnsi="Times New Roman" w:eastAsia="宋体" w:cs="Times New Roman"/>
                <w:b/>
                <w:bCs/>
                <w:color w:val="auto"/>
              </w:rPr>
              <w:t>废水</w:t>
            </w:r>
            <w:r>
              <w:rPr>
                <w:rFonts w:hint="eastAsia" w:ascii="Times New Roman" w:hAnsi="Times New Roman" w:cs="Times New Roman"/>
                <w:b/>
                <w:bCs/>
                <w:color w:val="auto"/>
                <w:lang w:eastAsia="zh-CN"/>
              </w:rPr>
              <w:t>污染</w:t>
            </w:r>
            <w:r>
              <w:rPr>
                <w:rFonts w:hint="eastAsia" w:ascii="Times New Roman" w:hAnsi="Times New Roman" w:eastAsia="宋体" w:cs="Times New Roman"/>
                <w:b/>
                <w:bCs/>
                <w:color w:val="auto"/>
              </w:rPr>
              <w:t>物产生及排放情况</w:t>
            </w:r>
          </w:p>
          <w:tbl>
            <w:tblPr>
              <w:tblStyle w:val="25"/>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1"/>
              <w:gridCol w:w="492"/>
              <w:gridCol w:w="574"/>
              <w:gridCol w:w="735"/>
              <w:gridCol w:w="682"/>
              <w:gridCol w:w="738"/>
              <w:gridCol w:w="546"/>
              <w:gridCol w:w="611"/>
              <w:gridCol w:w="108"/>
              <w:gridCol w:w="672"/>
              <w:gridCol w:w="842"/>
              <w:gridCol w:w="1124"/>
              <w:gridCol w:w="765"/>
              <w:gridCol w:w="850"/>
            </w:tblGrid>
            <w:tr w14:paraId="0685C5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1" w:type="dxa"/>
                  <w:vMerge w:val="restart"/>
                  <w:tcBorders>
                    <w:tl2br w:val="nil"/>
                    <w:tr2bl w:val="nil"/>
                  </w:tcBorders>
                  <w:noWrap w:val="0"/>
                  <w:tcMar>
                    <w:top w:w="0" w:type="dxa"/>
                    <w:left w:w="28" w:type="dxa"/>
                    <w:bottom w:w="0" w:type="dxa"/>
                    <w:right w:w="28" w:type="dxa"/>
                  </w:tcMar>
                  <w:vAlign w:val="center"/>
                </w:tcPr>
                <w:p w14:paraId="4B86B6CB">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r>
                    <w:rPr>
                      <w:rFonts w:hint="default"/>
                      <w:b/>
                      <w:bCs/>
                      <w:color w:val="auto"/>
                      <w:szCs w:val="21"/>
                    </w:rPr>
                    <w:t>产污环节</w:t>
                  </w:r>
                </w:p>
              </w:tc>
              <w:tc>
                <w:tcPr>
                  <w:tcW w:w="492" w:type="dxa"/>
                  <w:vMerge w:val="restart"/>
                  <w:tcBorders>
                    <w:tl2br w:val="nil"/>
                    <w:tr2bl w:val="nil"/>
                  </w:tcBorders>
                  <w:noWrap w:val="0"/>
                  <w:tcMar>
                    <w:top w:w="0" w:type="dxa"/>
                    <w:left w:w="28" w:type="dxa"/>
                    <w:bottom w:w="0" w:type="dxa"/>
                    <w:right w:w="28" w:type="dxa"/>
                  </w:tcMar>
                  <w:vAlign w:val="center"/>
                </w:tcPr>
                <w:p w14:paraId="0CE54544">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r>
                    <w:rPr>
                      <w:rFonts w:hint="default"/>
                      <w:b/>
                      <w:bCs/>
                      <w:color w:val="auto"/>
                      <w:szCs w:val="21"/>
                    </w:rPr>
                    <w:t>类别</w:t>
                  </w:r>
                </w:p>
              </w:tc>
              <w:tc>
                <w:tcPr>
                  <w:tcW w:w="574" w:type="dxa"/>
                  <w:vMerge w:val="restart"/>
                  <w:tcBorders>
                    <w:tl2br w:val="nil"/>
                    <w:tr2bl w:val="nil"/>
                  </w:tcBorders>
                  <w:noWrap w:val="0"/>
                  <w:tcMar>
                    <w:top w:w="0" w:type="dxa"/>
                    <w:left w:w="28" w:type="dxa"/>
                    <w:bottom w:w="0" w:type="dxa"/>
                    <w:right w:w="28" w:type="dxa"/>
                  </w:tcMar>
                  <w:vAlign w:val="center"/>
                </w:tcPr>
                <w:p w14:paraId="1C9732C7">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r>
                    <w:rPr>
                      <w:rFonts w:hint="default"/>
                      <w:b/>
                      <w:bCs/>
                      <w:color w:val="auto"/>
                      <w:szCs w:val="21"/>
                    </w:rPr>
                    <w:t>污水量</w:t>
                  </w:r>
                  <w:r>
                    <w:rPr>
                      <w:rFonts w:hint="eastAsia"/>
                      <w:b/>
                      <w:bCs/>
                      <w:color w:val="auto"/>
                      <w:szCs w:val="21"/>
                      <w:lang w:val="en-US" w:eastAsia="zh-CN"/>
                    </w:rPr>
                    <w:t>(</w:t>
                  </w:r>
                  <w:r>
                    <w:rPr>
                      <w:rFonts w:hint="default"/>
                      <w:b/>
                      <w:bCs/>
                      <w:color w:val="auto"/>
                      <w:szCs w:val="21"/>
                    </w:rPr>
                    <w:t>t/a</w:t>
                  </w:r>
                  <w:r>
                    <w:rPr>
                      <w:rFonts w:hint="eastAsia"/>
                      <w:b/>
                      <w:bCs/>
                      <w:color w:val="auto"/>
                      <w:szCs w:val="21"/>
                      <w:lang w:val="en-US" w:eastAsia="zh-CN"/>
                    </w:rPr>
                    <w:t>)</w:t>
                  </w:r>
                </w:p>
              </w:tc>
              <w:tc>
                <w:tcPr>
                  <w:tcW w:w="735" w:type="dxa"/>
                  <w:vMerge w:val="restart"/>
                  <w:tcBorders>
                    <w:tl2br w:val="nil"/>
                    <w:tr2bl w:val="nil"/>
                  </w:tcBorders>
                  <w:noWrap w:val="0"/>
                  <w:tcMar>
                    <w:top w:w="0" w:type="dxa"/>
                    <w:left w:w="28" w:type="dxa"/>
                    <w:bottom w:w="0" w:type="dxa"/>
                    <w:right w:w="28" w:type="dxa"/>
                  </w:tcMar>
                  <w:vAlign w:val="center"/>
                </w:tcPr>
                <w:p w14:paraId="08373E3E">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r>
                    <w:rPr>
                      <w:rFonts w:hint="default"/>
                      <w:b/>
                      <w:bCs/>
                      <w:color w:val="auto"/>
                      <w:szCs w:val="21"/>
                    </w:rPr>
                    <w:t>污染物</w:t>
                  </w:r>
                </w:p>
                <w:p w14:paraId="18967FB5">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r>
                    <w:rPr>
                      <w:rFonts w:hint="default"/>
                      <w:b/>
                      <w:bCs/>
                      <w:color w:val="auto"/>
                      <w:szCs w:val="21"/>
                    </w:rPr>
                    <w:t>名称</w:t>
                  </w:r>
                </w:p>
              </w:tc>
              <w:tc>
                <w:tcPr>
                  <w:tcW w:w="1420" w:type="dxa"/>
                  <w:gridSpan w:val="2"/>
                  <w:tcBorders>
                    <w:tl2br w:val="nil"/>
                    <w:tr2bl w:val="nil"/>
                  </w:tcBorders>
                  <w:noWrap w:val="0"/>
                  <w:tcMar>
                    <w:top w:w="0" w:type="dxa"/>
                    <w:left w:w="28" w:type="dxa"/>
                    <w:bottom w:w="0" w:type="dxa"/>
                    <w:right w:w="28" w:type="dxa"/>
                  </w:tcMar>
                  <w:vAlign w:val="center"/>
                </w:tcPr>
                <w:p w14:paraId="5B98B3B9">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r>
                    <w:rPr>
                      <w:rFonts w:hint="default"/>
                      <w:b/>
                      <w:bCs/>
                      <w:color w:val="auto"/>
                      <w:szCs w:val="21"/>
                    </w:rPr>
                    <w:t>污染物产生量</w:t>
                  </w:r>
                </w:p>
              </w:tc>
              <w:tc>
                <w:tcPr>
                  <w:tcW w:w="546" w:type="dxa"/>
                  <w:vMerge w:val="restart"/>
                  <w:tcBorders>
                    <w:tl2br w:val="nil"/>
                    <w:tr2bl w:val="nil"/>
                  </w:tcBorders>
                  <w:noWrap w:val="0"/>
                  <w:tcMar>
                    <w:top w:w="0" w:type="dxa"/>
                    <w:left w:w="28" w:type="dxa"/>
                    <w:bottom w:w="0" w:type="dxa"/>
                    <w:right w:w="28" w:type="dxa"/>
                  </w:tcMar>
                  <w:vAlign w:val="center"/>
                </w:tcPr>
                <w:p w14:paraId="6B0FBABB">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r>
                    <w:rPr>
                      <w:rFonts w:hint="default"/>
                      <w:b/>
                      <w:bCs/>
                      <w:color w:val="auto"/>
                      <w:szCs w:val="21"/>
                    </w:rPr>
                    <w:t>治理措施</w:t>
                  </w:r>
                </w:p>
              </w:tc>
              <w:tc>
                <w:tcPr>
                  <w:tcW w:w="1391" w:type="dxa"/>
                  <w:gridSpan w:val="3"/>
                  <w:tcBorders>
                    <w:tl2br w:val="nil"/>
                    <w:tr2bl w:val="nil"/>
                  </w:tcBorders>
                  <w:noWrap w:val="0"/>
                  <w:tcMar>
                    <w:top w:w="0" w:type="dxa"/>
                    <w:left w:w="28" w:type="dxa"/>
                    <w:bottom w:w="0" w:type="dxa"/>
                    <w:right w:w="28" w:type="dxa"/>
                  </w:tcMar>
                  <w:vAlign w:val="center"/>
                </w:tcPr>
                <w:p w14:paraId="4BD62D1D">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r>
                    <w:rPr>
                      <w:rFonts w:hint="default"/>
                      <w:b/>
                      <w:bCs/>
                      <w:color w:val="auto"/>
                      <w:szCs w:val="21"/>
                    </w:rPr>
                    <w:t>污染物接管量</w:t>
                  </w:r>
                </w:p>
              </w:tc>
              <w:tc>
                <w:tcPr>
                  <w:tcW w:w="842" w:type="dxa"/>
                  <w:vMerge w:val="restart"/>
                  <w:tcBorders>
                    <w:tl2br w:val="nil"/>
                    <w:tr2bl w:val="nil"/>
                  </w:tcBorders>
                  <w:noWrap w:val="0"/>
                  <w:tcMar>
                    <w:top w:w="0" w:type="dxa"/>
                    <w:left w:w="28" w:type="dxa"/>
                    <w:bottom w:w="0" w:type="dxa"/>
                    <w:right w:w="28" w:type="dxa"/>
                  </w:tcMar>
                  <w:vAlign w:val="center"/>
                </w:tcPr>
                <w:p w14:paraId="793B1589">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r>
                    <w:rPr>
                      <w:rFonts w:hint="default"/>
                      <w:b/>
                      <w:bCs/>
                      <w:color w:val="auto"/>
                      <w:szCs w:val="21"/>
                    </w:rPr>
                    <w:t>接管浓度限值</w:t>
                  </w:r>
                  <w:r>
                    <w:rPr>
                      <w:rFonts w:hint="eastAsia"/>
                      <w:b/>
                      <w:bCs/>
                      <w:color w:val="auto"/>
                      <w:szCs w:val="21"/>
                      <w:lang w:val="en-US" w:eastAsia="zh-CN"/>
                    </w:rPr>
                    <w:t>(</w:t>
                  </w:r>
                  <w:r>
                    <w:rPr>
                      <w:rFonts w:hint="default"/>
                      <w:b/>
                      <w:bCs/>
                      <w:color w:val="auto"/>
                      <w:szCs w:val="21"/>
                    </w:rPr>
                    <w:t>mg/L</w:t>
                  </w:r>
                  <w:r>
                    <w:rPr>
                      <w:rFonts w:hint="eastAsia"/>
                      <w:b/>
                      <w:bCs/>
                      <w:color w:val="auto"/>
                      <w:szCs w:val="21"/>
                      <w:lang w:val="en-US" w:eastAsia="zh-CN"/>
                    </w:rPr>
                    <w:t>)</w:t>
                  </w:r>
                </w:p>
              </w:tc>
              <w:tc>
                <w:tcPr>
                  <w:tcW w:w="1124" w:type="dxa"/>
                  <w:vMerge w:val="restart"/>
                  <w:tcBorders>
                    <w:tl2br w:val="nil"/>
                    <w:tr2bl w:val="nil"/>
                  </w:tcBorders>
                  <w:noWrap w:val="0"/>
                  <w:tcMar>
                    <w:top w:w="0" w:type="dxa"/>
                    <w:left w:w="28" w:type="dxa"/>
                    <w:bottom w:w="0" w:type="dxa"/>
                    <w:right w:w="28" w:type="dxa"/>
                  </w:tcMar>
                  <w:vAlign w:val="center"/>
                </w:tcPr>
                <w:p w14:paraId="1F0A4E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b/>
                      <w:bCs/>
                      <w:color w:val="auto"/>
                      <w:szCs w:val="21"/>
                    </w:rPr>
                  </w:pPr>
                  <w:r>
                    <w:rPr>
                      <w:rFonts w:hint="default"/>
                      <w:b/>
                      <w:color w:val="auto"/>
                      <w:kern w:val="0"/>
                      <w:sz w:val="21"/>
                      <w:szCs w:val="21"/>
                    </w:rPr>
                    <w:t>最终排放浓度标准mg/l</w:t>
                  </w:r>
                </w:p>
              </w:tc>
              <w:tc>
                <w:tcPr>
                  <w:tcW w:w="765" w:type="dxa"/>
                  <w:vMerge w:val="restart"/>
                  <w:tcBorders>
                    <w:tl2br w:val="nil"/>
                    <w:tr2bl w:val="nil"/>
                  </w:tcBorders>
                  <w:noWrap w:val="0"/>
                  <w:tcMar>
                    <w:top w:w="0" w:type="dxa"/>
                    <w:left w:w="28" w:type="dxa"/>
                    <w:bottom w:w="0" w:type="dxa"/>
                    <w:right w:w="28" w:type="dxa"/>
                  </w:tcMar>
                  <w:vAlign w:val="center"/>
                </w:tcPr>
                <w:p w14:paraId="2D141C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b/>
                      <w:bCs/>
                      <w:color w:val="auto"/>
                      <w:szCs w:val="21"/>
                    </w:rPr>
                  </w:pPr>
                  <w:r>
                    <w:rPr>
                      <w:rFonts w:hint="default"/>
                      <w:b/>
                      <w:color w:val="auto"/>
                      <w:kern w:val="0"/>
                      <w:sz w:val="21"/>
                      <w:szCs w:val="21"/>
                    </w:rPr>
                    <w:t>最终排放量t/a</w:t>
                  </w:r>
                </w:p>
              </w:tc>
              <w:tc>
                <w:tcPr>
                  <w:tcW w:w="850" w:type="dxa"/>
                  <w:vMerge w:val="restart"/>
                  <w:tcBorders>
                    <w:tl2br w:val="nil"/>
                    <w:tr2bl w:val="nil"/>
                  </w:tcBorders>
                  <w:noWrap w:val="0"/>
                  <w:tcMar>
                    <w:top w:w="0" w:type="dxa"/>
                    <w:left w:w="28" w:type="dxa"/>
                    <w:bottom w:w="0" w:type="dxa"/>
                    <w:right w:w="28" w:type="dxa"/>
                  </w:tcMar>
                  <w:vAlign w:val="center"/>
                </w:tcPr>
                <w:p w14:paraId="73D0A404">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r>
                    <w:rPr>
                      <w:rFonts w:hint="default"/>
                      <w:b/>
                      <w:bCs/>
                      <w:color w:val="auto"/>
                      <w:szCs w:val="21"/>
                    </w:rPr>
                    <w:t>排放去向</w:t>
                  </w:r>
                </w:p>
              </w:tc>
            </w:tr>
            <w:tr w14:paraId="08D14B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3" w:hRule="atLeast"/>
                <w:jc w:val="center"/>
              </w:trPr>
              <w:tc>
                <w:tcPr>
                  <w:tcW w:w="431" w:type="dxa"/>
                  <w:vMerge w:val="continue"/>
                  <w:tcBorders>
                    <w:tl2br w:val="nil"/>
                    <w:tr2bl w:val="nil"/>
                  </w:tcBorders>
                  <w:noWrap w:val="0"/>
                  <w:tcMar>
                    <w:top w:w="0" w:type="dxa"/>
                    <w:left w:w="28" w:type="dxa"/>
                    <w:bottom w:w="0" w:type="dxa"/>
                    <w:right w:w="28" w:type="dxa"/>
                  </w:tcMar>
                  <w:vAlign w:val="center"/>
                </w:tcPr>
                <w:p w14:paraId="2714A87A">
                  <w:pPr>
                    <w:keepNext w:val="0"/>
                    <w:keepLines w:val="0"/>
                    <w:suppressLineNumbers w:val="0"/>
                    <w:adjustRightInd w:val="0"/>
                    <w:snapToGrid w:val="0"/>
                    <w:spacing w:before="0" w:beforeAutospacing="0" w:after="0" w:afterAutospacing="0"/>
                    <w:ind w:left="0" w:right="0"/>
                    <w:jc w:val="center"/>
                    <w:textAlignment w:val="baseline"/>
                    <w:rPr>
                      <w:rFonts w:hint="default"/>
                      <w:b/>
                      <w:bCs/>
                      <w:color w:val="auto"/>
                      <w:szCs w:val="21"/>
                    </w:rPr>
                  </w:pPr>
                </w:p>
              </w:tc>
              <w:tc>
                <w:tcPr>
                  <w:tcW w:w="492" w:type="dxa"/>
                  <w:vMerge w:val="continue"/>
                  <w:tcBorders>
                    <w:tl2br w:val="nil"/>
                    <w:tr2bl w:val="nil"/>
                  </w:tcBorders>
                  <w:noWrap w:val="0"/>
                  <w:tcMar>
                    <w:top w:w="0" w:type="dxa"/>
                    <w:left w:w="28" w:type="dxa"/>
                    <w:bottom w:w="0" w:type="dxa"/>
                    <w:right w:w="28" w:type="dxa"/>
                  </w:tcMar>
                  <w:vAlign w:val="center"/>
                </w:tcPr>
                <w:p w14:paraId="43CF0990">
                  <w:pPr>
                    <w:keepNext w:val="0"/>
                    <w:keepLines w:val="0"/>
                    <w:suppressLineNumbers w:val="0"/>
                    <w:adjustRightInd w:val="0"/>
                    <w:snapToGrid w:val="0"/>
                    <w:spacing w:before="0" w:beforeAutospacing="0" w:after="0" w:afterAutospacing="0"/>
                    <w:ind w:left="0" w:right="0"/>
                    <w:jc w:val="center"/>
                    <w:textAlignment w:val="baseline"/>
                    <w:rPr>
                      <w:rFonts w:hint="default"/>
                      <w:b/>
                      <w:bCs/>
                      <w:color w:val="auto"/>
                      <w:szCs w:val="21"/>
                    </w:rPr>
                  </w:pPr>
                </w:p>
              </w:tc>
              <w:tc>
                <w:tcPr>
                  <w:tcW w:w="574" w:type="dxa"/>
                  <w:vMerge w:val="continue"/>
                  <w:tcBorders>
                    <w:tl2br w:val="nil"/>
                    <w:tr2bl w:val="nil"/>
                  </w:tcBorders>
                  <w:noWrap w:val="0"/>
                  <w:tcMar>
                    <w:top w:w="0" w:type="dxa"/>
                    <w:left w:w="28" w:type="dxa"/>
                    <w:bottom w:w="0" w:type="dxa"/>
                    <w:right w:w="28" w:type="dxa"/>
                  </w:tcMar>
                  <w:vAlign w:val="center"/>
                </w:tcPr>
                <w:p w14:paraId="6F200B22">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p>
              </w:tc>
              <w:tc>
                <w:tcPr>
                  <w:tcW w:w="735" w:type="dxa"/>
                  <w:vMerge w:val="continue"/>
                  <w:tcBorders>
                    <w:tl2br w:val="nil"/>
                    <w:tr2bl w:val="nil"/>
                  </w:tcBorders>
                  <w:noWrap w:val="0"/>
                  <w:tcMar>
                    <w:top w:w="0" w:type="dxa"/>
                    <w:left w:w="28" w:type="dxa"/>
                    <w:bottom w:w="0" w:type="dxa"/>
                    <w:right w:w="28" w:type="dxa"/>
                  </w:tcMar>
                  <w:vAlign w:val="center"/>
                </w:tcPr>
                <w:p w14:paraId="15EF0105">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p>
              </w:tc>
              <w:tc>
                <w:tcPr>
                  <w:tcW w:w="682" w:type="dxa"/>
                  <w:tcBorders>
                    <w:tl2br w:val="nil"/>
                    <w:tr2bl w:val="nil"/>
                  </w:tcBorders>
                  <w:noWrap w:val="0"/>
                  <w:tcMar>
                    <w:top w:w="0" w:type="dxa"/>
                    <w:left w:w="28" w:type="dxa"/>
                    <w:bottom w:w="0" w:type="dxa"/>
                    <w:right w:w="28" w:type="dxa"/>
                  </w:tcMar>
                  <w:vAlign w:val="center"/>
                </w:tcPr>
                <w:p w14:paraId="61FC86EA">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r>
                    <w:rPr>
                      <w:rFonts w:hint="default"/>
                      <w:b/>
                      <w:bCs/>
                      <w:color w:val="auto"/>
                      <w:szCs w:val="21"/>
                    </w:rPr>
                    <w:t>浓度</w:t>
                  </w:r>
                </w:p>
                <w:p w14:paraId="085143AD">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r>
                    <w:rPr>
                      <w:rFonts w:hint="eastAsia"/>
                      <w:b/>
                      <w:bCs/>
                      <w:color w:val="auto"/>
                      <w:szCs w:val="21"/>
                      <w:lang w:val="en-US" w:eastAsia="zh-CN"/>
                    </w:rPr>
                    <w:t>(</w:t>
                  </w:r>
                  <w:r>
                    <w:rPr>
                      <w:rFonts w:hint="default"/>
                      <w:b/>
                      <w:bCs/>
                      <w:color w:val="auto"/>
                      <w:szCs w:val="21"/>
                    </w:rPr>
                    <w:t>mg/L</w:t>
                  </w:r>
                  <w:r>
                    <w:rPr>
                      <w:rFonts w:hint="eastAsia"/>
                      <w:b/>
                      <w:bCs/>
                      <w:color w:val="auto"/>
                      <w:szCs w:val="21"/>
                      <w:lang w:val="en-US" w:eastAsia="zh-CN"/>
                    </w:rPr>
                    <w:t>)</w:t>
                  </w:r>
                </w:p>
              </w:tc>
              <w:tc>
                <w:tcPr>
                  <w:tcW w:w="738" w:type="dxa"/>
                  <w:tcBorders>
                    <w:tl2br w:val="nil"/>
                    <w:tr2bl w:val="nil"/>
                  </w:tcBorders>
                  <w:noWrap w:val="0"/>
                  <w:tcMar>
                    <w:top w:w="0" w:type="dxa"/>
                    <w:left w:w="28" w:type="dxa"/>
                    <w:bottom w:w="0" w:type="dxa"/>
                    <w:right w:w="28" w:type="dxa"/>
                  </w:tcMar>
                  <w:vAlign w:val="center"/>
                </w:tcPr>
                <w:p w14:paraId="6A7DA842">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r>
                    <w:rPr>
                      <w:rFonts w:hint="default"/>
                      <w:b/>
                      <w:bCs/>
                      <w:color w:val="auto"/>
                      <w:szCs w:val="21"/>
                    </w:rPr>
                    <w:t>产生量</w:t>
                  </w:r>
                  <w:r>
                    <w:rPr>
                      <w:rFonts w:hint="eastAsia"/>
                      <w:b/>
                      <w:bCs/>
                      <w:color w:val="auto"/>
                      <w:szCs w:val="21"/>
                      <w:lang w:val="en-US" w:eastAsia="zh-CN"/>
                    </w:rPr>
                    <w:t>(</w:t>
                  </w:r>
                  <w:r>
                    <w:rPr>
                      <w:rFonts w:hint="default"/>
                      <w:b/>
                      <w:bCs/>
                      <w:color w:val="auto"/>
                      <w:szCs w:val="21"/>
                    </w:rPr>
                    <w:t>t/a</w:t>
                  </w:r>
                  <w:r>
                    <w:rPr>
                      <w:rFonts w:hint="eastAsia"/>
                      <w:b/>
                      <w:bCs/>
                      <w:color w:val="auto"/>
                      <w:szCs w:val="21"/>
                      <w:lang w:val="en-US" w:eastAsia="zh-CN"/>
                    </w:rPr>
                    <w:t>)</w:t>
                  </w:r>
                </w:p>
              </w:tc>
              <w:tc>
                <w:tcPr>
                  <w:tcW w:w="546" w:type="dxa"/>
                  <w:vMerge w:val="continue"/>
                  <w:tcBorders>
                    <w:tl2br w:val="nil"/>
                    <w:tr2bl w:val="nil"/>
                  </w:tcBorders>
                  <w:noWrap w:val="0"/>
                  <w:tcMar>
                    <w:top w:w="0" w:type="dxa"/>
                    <w:left w:w="28" w:type="dxa"/>
                    <w:bottom w:w="0" w:type="dxa"/>
                    <w:right w:w="28" w:type="dxa"/>
                  </w:tcMar>
                  <w:vAlign w:val="center"/>
                </w:tcPr>
                <w:p w14:paraId="5D766D45">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p>
              </w:tc>
              <w:tc>
                <w:tcPr>
                  <w:tcW w:w="719" w:type="dxa"/>
                  <w:gridSpan w:val="2"/>
                  <w:tcBorders>
                    <w:tl2br w:val="nil"/>
                    <w:tr2bl w:val="nil"/>
                  </w:tcBorders>
                  <w:noWrap w:val="0"/>
                  <w:tcMar>
                    <w:top w:w="0" w:type="dxa"/>
                    <w:left w:w="28" w:type="dxa"/>
                    <w:bottom w:w="0" w:type="dxa"/>
                    <w:right w:w="28" w:type="dxa"/>
                  </w:tcMar>
                  <w:vAlign w:val="center"/>
                </w:tcPr>
                <w:p w14:paraId="7F4505BE">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r>
                    <w:rPr>
                      <w:rFonts w:hint="default"/>
                      <w:b/>
                      <w:bCs/>
                      <w:color w:val="auto"/>
                      <w:szCs w:val="21"/>
                    </w:rPr>
                    <w:t>浓度</w:t>
                  </w:r>
                  <w:r>
                    <w:rPr>
                      <w:rFonts w:hint="eastAsia"/>
                      <w:b/>
                      <w:bCs/>
                      <w:color w:val="auto"/>
                      <w:szCs w:val="21"/>
                      <w:lang w:val="en-US" w:eastAsia="zh-CN"/>
                    </w:rPr>
                    <w:t>(</w:t>
                  </w:r>
                  <w:r>
                    <w:rPr>
                      <w:rFonts w:hint="default"/>
                      <w:b/>
                      <w:bCs/>
                      <w:color w:val="auto"/>
                      <w:szCs w:val="21"/>
                    </w:rPr>
                    <w:t>mg/L</w:t>
                  </w:r>
                  <w:r>
                    <w:rPr>
                      <w:rFonts w:hint="eastAsia"/>
                      <w:b/>
                      <w:bCs/>
                      <w:color w:val="auto"/>
                      <w:szCs w:val="21"/>
                      <w:lang w:val="en-US" w:eastAsia="zh-CN"/>
                    </w:rPr>
                    <w:t>)</w:t>
                  </w:r>
                </w:p>
              </w:tc>
              <w:tc>
                <w:tcPr>
                  <w:tcW w:w="672" w:type="dxa"/>
                  <w:tcBorders>
                    <w:tl2br w:val="nil"/>
                    <w:tr2bl w:val="nil"/>
                  </w:tcBorders>
                  <w:noWrap w:val="0"/>
                  <w:tcMar>
                    <w:top w:w="0" w:type="dxa"/>
                    <w:left w:w="28" w:type="dxa"/>
                    <w:bottom w:w="0" w:type="dxa"/>
                    <w:right w:w="28" w:type="dxa"/>
                  </w:tcMar>
                  <w:vAlign w:val="center"/>
                </w:tcPr>
                <w:p w14:paraId="469DDBC6">
                  <w:pPr>
                    <w:keepNext w:val="0"/>
                    <w:keepLines w:val="0"/>
                    <w:suppressLineNumbers w:val="0"/>
                    <w:adjustRightInd w:val="0"/>
                    <w:snapToGrid w:val="0"/>
                    <w:spacing w:before="0" w:beforeAutospacing="0" w:after="0" w:afterAutospacing="0"/>
                    <w:ind w:left="0" w:right="0"/>
                    <w:jc w:val="center"/>
                    <w:rPr>
                      <w:rFonts w:hint="eastAsia" w:eastAsia="宋体"/>
                      <w:b/>
                      <w:bCs/>
                      <w:color w:val="auto"/>
                      <w:szCs w:val="21"/>
                      <w:lang w:val="en-US" w:eastAsia="zh-CN"/>
                    </w:rPr>
                  </w:pPr>
                  <w:r>
                    <w:rPr>
                      <w:rFonts w:hint="default"/>
                      <w:b/>
                      <w:bCs/>
                      <w:color w:val="auto"/>
                      <w:szCs w:val="21"/>
                    </w:rPr>
                    <w:t>接管</w:t>
                  </w:r>
                  <w:r>
                    <w:rPr>
                      <w:rFonts w:hint="eastAsia"/>
                      <w:b/>
                      <w:bCs/>
                      <w:color w:val="auto"/>
                      <w:szCs w:val="21"/>
                      <w:lang w:eastAsia="zh-CN"/>
                    </w:rPr>
                    <w:t>量</w:t>
                  </w:r>
                </w:p>
                <w:p w14:paraId="4E7D6AE1">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r>
                    <w:rPr>
                      <w:rFonts w:hint="eastAsia"/>
                      <w:b/>
                      <w:bCs/>
                      <w:color w:val="auto"/>
                      <w:szCs w:val="21"/>
                      <w:lang w:val="en-US" w:eastAsia="zh-CN"/>
                    </w:rPr>
                    <w:t>(</w:t>
                  </w:r>
                  <w:r>
                    <w:rPr>
                      <w:rFonts w:hint="default"/>
                      <w:b/>
                      <w:bCs/>
                      <w:color w:val="auto"/>
                      <w:szCs w:val="21"/>
                    </w:rPr>
                    <w:t>t/a</w:t>
                  </w:r>
                  <w:r>
                    <w:rPr>
                      <w:rFonts w:hint="eastAsia"/>
                      <w:b/>
                      <w:bCs/>
                      <w:color w:val="auto"/>
                      <w:szCs w:val="21"/>
                      <w:lang w:val="en-US" w:eastAsia="zh-CN"/>
                    </w:rPr>
                    <w:t>)</w:t>
                  </w:r>
                </w:p>
              </w:tc>
              <w:tc>
                <w:tcPr>
                  <w:tcW w:w="842" w:type="dxa"/>
                  <w:vMerge w:val="continue"/>
                  <w:tcBorders>
                    <w:tl2br w:val="nil"/>
                    <w:tr2bl w:val="nil"/>
                  </w:tcBorders>
                  <w:noWrap w:val="0"/>
                  <w:tcMar>
                    <w:top w:w="0" w:type="dxa"/>
                    <w:left w:w="28" w:type="dxa"/>
                    <w:bottom w:w="0" w:type="dxa"/>
                    <w:right w:w="28" w:type="dxa"/>
                  </w:tcMar>
                  <w:vAlign w:val="center"/>
                </w:tcPr>
                <w:p w14:paraId="2F982018">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p>
              </w:tc>
              <w:tc>
                <w:tcPr>
                  <w:tcW w:w="1124" w:type="dxa"/>
                  <w:vMerge w:val="continue"/>
                  <w:tcBorders>
                    <w:tl2br w:val="nil"/>
                    <w:tr2bl w:val="nil"/>
                  </w:tcBorders>
                  <w:noWrap w:val="0"/>
                  <w:tcMar>
                    <w:top w:w="0" w:type="dxa"/>
                    <w:left w:w="28" w:type="dxa"/>
                    <w:bottom w:w="0" w:type="dxa"/>
                    <w:right w:w="28" w:type="dxa"/>
                  </w:tcMar>
                  <w:vAlign w:val="center"/>
                </w:tcPr>
                <w:p w14:paraId="1CE61F46">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p>
              </w:tc>
              <w:tc>
                <w:tcPr>
                  <w:tcW w:w="765" w:type="dxa"/>
                  <w:vMerge w:val="continue"/>
                  <w:tcBorders>
                    <w:tl2br w:val="nil"/>
                    <w:tr2bl w:val="nil"/>
                  </w:tcBorders>
                  <w:noWrap w:val="0"/>
                  <w:tcMar>
                    <w:top w:w="0" w:type="dxa"/>
                    <w:left w:w="28" w:type="dxa"/>
                    <w:bottom w:w="0" w:type="dxa"/>
                    <w:right w:w="28" w:type="dxa"/>
                  </w:tcMar>
                  <w:vAlign w:val="center"/>
                </w:tcPr>
                <w:p w14:paraId="52E98BFD">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p>
              </w:tc>
              <w:tc>
                <w:tcPr>
                  <w:tcW w:w="850" w:type="dxa"/>
                  <w:vMerge w:val="continue"/>
                  <w:tcBorders>
                    <w:tl2br w:val="nil"/>
                    <w:tr2bl w:val="nil"/>
                  </w:tcBorders>
                  <w:noWrap w:val="0"/>
                  <w:tcMar>
                    <w:top w:w="0" w:type="dxa"/>
                    <w:left w:w="28" w:type="dxa"/>
                    <w:bottom w:w="0" w:type="dxa"/>
                    <w:right w:w="28" w:type="dxa"/>
                  </w:tcMar>
                  <w:vAlign w:val="center"/>
                </w:tcPr>
                <w:p w14:paraId="220782C8">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p>
              </w:tc>
            </w:tr>
            <w:tr w14:paraId="66B2CA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31" w:type="dxa"/>
                  <w:vMerge w:val="restart"/>
                  <w:tcBorders>
                    <w:tl2br w:val="nil"/>
                    <w:tr2bl w:val="nil"/>
                  </w:tcBorders>
                  <w:noWrap w:val="0"/>
                  <w:tcMar>
                    <w:top w:w="0" w:type="dxa"/>
                    <w:left w:w="28" w:type="dxa"/>
                    <w:bottom w:w="0" w:type="dxa"/>
                    <w:right w:w="28" w:type="dxa"/>
                  </w:tcMar>
                  <w:vAlign w:val="center"/>
                </w:tcPr>
                <w:p w14:paraId="49C058C0">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员工生活</w:t>
                  </w:r>
                </w:p>
              </w:tc>
              <w:tc>
                <w:tcPr>
                  <w:tcW w:w="492" w:type="dxa"/>
                  <w:vMerge w:val="restart"/>
                  <w:tcBorders>
                    <w:tl2br w:val="nil"/>
                    <w:tr2bl w:val="nil"/>
                  </w:tcBorders>
                  <w:noWrap w:val="0"/>
                  <w:tcMar>
                    <w:top w:w="0" w:type="dxa"/>
                    <w:left w:w="28" w:type="dxa"/>
                    <w:bottom w:w="0" w:type="dxa"/>
                    <w:right w:w="28" w:type="dxa"/>
                  </w:tcMar>
                  <w:vAlign w:val="center"/>
                </w:tcPr>
                <w:p w14:paraId="54C27B89">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color w:val="auto"/>
                      <w:szCs w:val="21"/>
                      <w:lang w:val="en-US" w:eastAsia="zh-CN"/>
                    </w:rPr>
                  </w:pPr>
                  <w:r>
                    <w:rPr>
                      <w:rFonts w:hint="default"/>
                      <w:color w:val="auto"/>
                      <w:szCs w:val="21"/>
                    </w:rPr>
                    <w:t>生活</w:t>
                  </w:r>
                  <w:r>
                    <w:rPr>
                      <w:rFonts w:hint="eastAsia"/>
                      <w:color w:val="auto"/>
                      <w:szCs w:val="21"/>
                      <w:lang w:val="en-US" w:eastAsia="zh-CN"/>
                    </w:rPr>
                    <w:t>污水</w:t>
                  </w:r>
                </w:p>
              </w:tc>
              <w:tc>
                <w:tcPr>
                  <w:tcW w:w="574" w:type="dxa"/>
                  <w:vMerge w:val="restart"/>
                  <w:tcBorders>
                    <w:tl2br w:val="nil"/>
                    <w:tr2bl w:val="nil"/>
                  </w:tcBorders>
                  <w:noWrap w:val="0"/>
                  <w:tcMar>
                    <w:top w:w="0" w:type="dxa"/>
                    <w:left w:w="28" w:type="dxa"/>
                    <w:bottom w:w="0" w:type="dxa"/>
                    <w:right w:w="28" w:type="dxa"/>
                  </w:tcMar>
                  <w:vAlign w:val="center"/>
                </w:tcPr>
                <w:p w14:paraId="604AB202">
                  <w:pPr>
                    <w:keepNext w:val="0"/>
                    <w:keepLines w:val="0"/>
                    <w:suppressLineNumbers w:val="0"/>
                    <w:autoSpaceDE w:val="0"/>
                    <w:autoSpaceDN w:val="0"/>
                    <w:adjustRightInd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112.5</w:t>
                  </w:r>
                </w:p>
              </w:tc>
              <w:tc>
                <w:tcPr>
                  <w:tcW w:w="735" w:type="dxa"/>
                  <w:tcBorders>
                    <w:tl2br w:val="nil"/>
                    <w:tr2bl w:val="nil"/>
                  </w:tcBorders>
                  <w:noWrap w:val="0"/>
                  <w:tcMar>
                    <w:top w:w="0" w:type="dxa"/>
                    <w:left w:w="28" w:type="dxa"/>
                    <w:bottom w:w="0" w:type="dxa"/>
                    <w:right w:w="28" w:type="dxa"/>
                  </w:tcMar>
                  <w:vAlign w:val="center"/>
                </w:tcPr>
                <w:p w14:paraId="13CF4F61">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pH</w:t>
                  </w:r>
                </w:p>
              </w:tc>
              <w:tc>
                <w:tcPr>
                  <w:tcW w:w="1420" w:type="dxa"/>
                  <w:gridSpan w:val="2"/>
                  <w:tcBorders>
                    <w:tl2br w:val="nil"/>
                    <w:tr2bl w:val="nil"/>
                  </w:tcBorders>
                  <w:noWrap w:val="0"/>
                  <w:tcMar>
                    <w:top w:w="0" w:type="dxa"/>
                    <w:left w:w="28" w:type="dxa"/>
                    <w:bottom w:w="0" w:type="dxa"/>
                    <w:right w:w="28" w:type="dxa"/>
                  </w:tcMar>
                  <w:vAlign w:val="center"/>
                </w:tcPr>
                <w:p w14:paraId="7EBF04E8">
                  <w:pPr>
                    <w:keepNext w:val="0"/>
                    <w:keepLines w:val="0"/>
                    <w:widowControl/>
                    <w:suppressLineNumbers w:val="0"/>
                    <w:adjustRightInd w:val="0"/>
                    <w:snapToGrid w:val="0"/>
                    <w:spacing w:before="0" w:beforeAutospacing="0" w:after="0" w:afterAutospacing="0"/>
                    <w:ind w:left="0" w:right="0"/>
                    <w:jc w:val="center"/>
                    <w:textAlignment w:val="center"/>
                    <w:rPr>
                      <w:rFonts w:hint="default"/>
                      <w:color w:val="auto"/>
                      <w:kern w:val="0"/>
                      <w:szCs w:val="21"/>
                      <w:lang w:bidi="ar"/>
                    </w:rPr>
                  </w:pPr>
                  <w:r>
                    <w:rPr>
                      <w:rFonts w:hint="default"/>
                      <w:color w:val="auto"/>
                      <w:kern w:val="0"/>
                      <w:szCs w:val="21"/>
                      <w:lang w:bidi="ar"/>
                    </w:rPr>
                    <w:t>6~9</w:t>
                  </w:r>
                </w:p>
              </w:tc>
              <w:tc>
                <w:tcPr>
                  <w:tcW w:w="546" w:type="dxa"/>
                  <w:vMerge w:val="restart"/>
                  <w:tcBorders>
                    <w:tl2br w:val="nil"/>
                    <w:tr2bl w:val="nil"/>
                  </w:tcBorders>
                  <w:noWrap w:val="0"/>
                  <w:tcMar>
                    <w:top w:w="0" w:type="dxa"/>
                    <w:left w:w="28" w:type="dxa"/>
                    <w:bottom w:w="0" w:type="dxa"/>
                    <w:right w:w="28" w:type="dxa"/>
                  </w:tcMar>
                  <w:vAlign w:val="center"/>
                </w:tcPr>
                <w:p w14:paraId="79717BB2">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化粪池预处理</w:t>
                  </w:r>
                </w:p>
              </w:tc>
              <w:tc>
                <w:tcPr>
                  <w:tcW w:w="1391" w:type="dxa"/>
                  <w:gridSpan w:val="3"/>
                  <w:tcBorders>
                    <w:tl2br w:val="nil"/>
                    <w:tr2bl w:val="nil"/>
                  </w:tcBorders>
                  <w:noWrap w:val="0"/>
                  <w:tcMar>
                    <w:top w:w="0" w:type="dxa"/>
                    <w:left w:w="28" w:type="dxa"/>
                    <w:bottom w:w="0" w:type="dxa"/>
                    <w:right w:w="28" w:type="dxa"/>
                  </w:tcMar>
                  <w:vAlign w:val="center"/>
                </w:tcPr>
                <w:p w14:paraId="2BE94B34">
                  <w:pPr>
                    <w:keepNext w:val="0"/>
                    <w:keepLines w:val="0"/>
                    <w:widowControl/>
                    <w:suppressLineNumbers w:val="0"/>
                    <w:adjustRightInd w:val="0"/>
                    <w:snapToGrid w:val="0"/>
                    <w:spacing w:before="0" w:beforeAutospacing="0" w:after="0" w:afterAutospacing="0"/>
                    <w:ind w:left="0" w:right="0"/>
                    <w:jc w:val="center"/>
                    <w:rPr>
                      <w:rFonts w:hint="default"/>
                      <w:color w:val="auto"/>
                      <w:kern w:val="0"/>
                      <w:szCs w:val="21"/>
                      <w:lang w:bidi="ar"/>
                    </w:rPr>
                  </w:pPr>
                  <w:r>
                    <w:rPr>
                      <w:rFonts w:hint="default"/>
                      <w:color w:val="auto"/>
                      <w:kern w:val="0"/>
                      <w:szCs w:val="21"/>
                      <w:lang w:bidi="ar"/>
                    </w:rPr>
                    <w:t>6~9</w:t>
                  </w:r>
                </w:p>
              </w:tc>
              <w:tc>
                <w:tcPr>
                  <w:tcW w:w="842" w:type="dxa"/>
                  <w:tcBorders>
                    <w:tl2br w:val="nil"/>
                    <w:tr2bl w:val="nil"/>
                  </w:tcBorders>
                  <w:noWrap w:val="0"/>
                  <w:tcMar>
                    <w:top w:w="0" w:type="dxa"/>
                    <w:left w:w="28" w:type="dxa"/>
                    <w:bottom w:w="0" w:type="dxa"/>
                    <w:right w:w="28" w:type="dxa"/>
                  </w:tcMar>
                  <w:vAlign w:val="center"/>
                </w:tcPr>
                <w:p w14:paraId="6BAED7BC">
                  <w:pPr>
                    <w:keepNext w:val="0"/>
                    <w:keepLines w:val="0"/>
                    <w:widowControl/>
                    <w:suppressLineNumbers w:val="0"/>
                    <w:adjustRightInd w:val="0"/>
                    <w:snapToGrid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rPr>
                    <w:t>6</w:t>
                  </w:r>
                  <w:r>
                    <w:rPr>
                      <w:rFonts w:hint="default"/>
                      <w:color w:val="auto"/>
                      <w:kern w:val="0"/>
                      <w:szCs w:val="21"/>
                      <w:lang w:bidi="ar"/>
                    </w:rPr>
                    <w:t>~</w:t>
                  </w:r>
                  <w:r>
                    <w:rPr>
                      <w:rFonts w:hint="default"/>
                      <w:color w:val="auto"/>
                      <w:kern w:val="0"/>
                      <w:szCs w:val="21"/>
                    </w:rPr>
                    <w:t>9</w:t>
                  </w:r>
                </w:p>
              </w:tc>
              <w:tc>
                <w:tcPr>
                  <w:tcW w:w="1889" w:type="dxa"/>
                  <w:gridSpan w:val="2"/>
                  <w:tcBorders>
                    <w:tl2br w:val="nil"/>
                    <w:tr2bl w:val="nil"/>
                  </w:tcBorders>
                  <w:noWrap w:val="0"/>
                  <w:tcMar>
                    <w:top w:w="0" w:type="dxa"/>
                    <w:left w:w="28" w:type="dxa"/>
                    <w:bottom w:w="0" w:type="dxa"/>
                    <w:right w:w="28" w:type="dxa"/>
                  </w:tcMar>
                  <w:vAlign w:val="center"/>
                </w:tcPr>
                <w:p w14:paraId="09B640A2">
                  <w:pPr>
                    <w:keepNext w:val="0"/>
                    <w:keepLines w:val="0"/>
                    <w:widowControl/>
                    <w:suppressLineNumbers w:val="0"/>
                    <w:adjustRightInd w:val="0"/>
                    <w:snapToGrid w:val="0"/>
                    <w:spacing w:before="0" w:beforeAutospacing="0" w:after="0" w:afterAutospacing="0"/>
                    <w:ind w:left="0" w:right="0"/>
                    <w:jc w:val="center"/>
                    <w:textAlignment w:val="center"/>
                    <w:rPr>
                      <w:rFonts w:hint="default"/>
                      <w:color w:val="auto"/>
                      <w:szCs w:val="21"/>
                    </w:rPr>
                  </w:pPr>
                  <w:r>
                    <w:rPr>
                      <w:rFonts w:hint="default"/>
                      <w:color w:val="auto"/>
                      <w:kern w:val="0"/>
                      <w:szCs w:val="21"/>
                    </w:rPr>
                    <w:t>6</w:t>
                  </w:r>
                  <w:r>
                    <w:rPr>
                      <w:rFonts w:hint="default"/>
                      <w:color w:val="auto"/>
                      <w:kern w:val="0"/>
                      <w:szCs w:val="21"/>
                      <w:lang w:bidi="ar"/>
                    </w:rPr>
                    <w:t>~</w:t>
                  </w:r>
                  <w:r>
                    <w:rPr>
                      <w:rFonts w:hint="default"/>
                      <w:color w:val="auto"/>
                      <w:kern w:val="0"/>
                      <w:szCs w:val="21"/>
                    </w:rPr>
                    <w:t>9</w:t>
                  </w:r>
                </w:p>
              </w:tc>
              <w:tc>
                <w:tcPr>
                  <w:tcW w:w="850" w:type="dxa"/>
                  <w:vMerge w:val="restart"/>
                  <w:tcBorders>
                    <w:tl2br w:val="nil"/>
                    <w:tr2bl w:val="nil"/>
                  </w:tcBorders>
                  <w:noWrap w:val="0"/>
                  <w:tcMar>
                    <w:top w:w="0" w:type="dxa"/>
                    <w:left w:w="28" w:type="dxa"/>
                    <w:bottom w:w="0" w:type="dxa"/>
                    <w:right w:w="28" w:type="dxa"/>
                  </w:tcMar>
                  <w:vAlign w:val="center"/>
                </w:tcPr>
                <w:p w14:paraId="6CB47FEC">
                  <w:pPr>
                    <w:keepNext w:val="0"/>
                    <w:keepLines w:val="0"/>
                    <w:suppressLineNumbers w:val="0"/>
                    <w:adjustRightInd w:val="0"/>
                    <w:snapToGrid w:val="0"/>
                    <w:spacing w:before="0" w:beforeAutospacing="0" w:after="0" w:afterAutospacing="0"/>
                    <w:ind w:left="0" w:right="0"/>
                    <w:jc w:val="center"/>
                    <w:rPr>
                      <w:rFonts w:hint="eastAsia" w:eastAsia="宋体"/>
                      <w:color w:val="auto"/>
                      <w:szCs w:val="21"/>
                      <w:lang w:eastAsia="zh-CN"/>
                    </w:rPr>
                  </w:pPr>
                  <w:r>
                    <w:rPr>
                      <w:rFonts w:hint="eastAsia"/>
                      <w:color w:val="auto"/>
                      <w:szCs w:val="21"/>
                    </w:rPr>
                    <w:t>接管进</w:t>
                  </w:r>
                  <w:r>
                    <w:rPr>
                      <w:rFonts w:hint="eastAsia" w:cs="Times New Roman"/>
                      <w:color w:val="auto"/>
                      <w:sz w:val="21"/>
                      <w:szCs w:val="21"/>
                      <w:lang w:eastAsia="zh-CN"/>
                    </w:rPr>
                    <w:t>太湖新城污水处理厂集中处理</w:t>
                  </w:r>
                  <w:r>
                    <w:rPr>
                      <w:rFonts w:hint="default"/>
                      <w:color w:val="auto"/>
                      <w:szCs w:val="21"/>
                    </w:rPr>
                    <w:t>，尾水排入</w:t>
                  </w:r>
                  <w:r>
                    <w:rPr>
                      <w:rFonts w:hint="eastAsia"/>
                      <w:color w:val="auto"/>
                      <w:szCs w:val="21"/>
                      <w:lang w:eastAsia="zh-CN"/>
                    </w:rPr>
                    <w:t>京杭运河</w:t>
                  </w:r>
                </w:p>
              </w:tc>
            </w:tr>
            <w:tr w14:paraId="63DFA0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2" w:hRule="atLeast"/>
                <w:jc w:val="center"/>
              </w:trPr>
              <w:tc>
                <w:tcPr>
                  <w:tcW w:w="431" w:type="dxa"/>
                  <w:vMerge w:val="continue"/>
                  <w:tcBorders>
                    <w:tl2br w:val="nil"/>
                    <w:tr2bl w:val="nil"/>
                  </w:tcBorders>
                  <w:noWrap w:val="0"/>
                  <w:tcMar>
                    <w:top w:w="0" w:type="dxa"/>
                    <w:left w:w="28" w:type="dxa"/>
                    <w:bottom w:w="0" w:type="dxa"/>
                    <w:right w:w="28" w:type="dxa"/>
                  </w:tcMar>
                  <w:vAlign w:val="center"/>
                </w:tcPr>
                <w:p w14:paraId="3ADE1A86">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492" w:type="dxa"/>
                  <w:vMerge w:val="continue"/>
                  <w:tcBorders>
                    <w:tl2br w:val="nil"/>
                    <w:tr2bl w:val="nil"/>
                  </w:tcBorders>
                  <w:noWrap w:val="0"/>
                  <w:tcMar>
                    <w:top w:w="0" w:type="dxa"/>
                    <w:left w:w="28" w:type="dxa"/>
                    <w:bottom w:w="0" w:type="dxa"/>
                    <w:right w:w="28" w:type="dxa"/>
                  </w:tcMar>
                  <w:vAlign w:val="center"/>
                </w:tcPr>
                <w:p w14:paraId="45EEC13D">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szCs w:val="21"/>
                    </w:rPr>
                  </w:pPr>
                </w:p>
              </w:tc>
              <w:tc>
                <w:tcPr>
                  <w:tcW w:w="574" w:type="dxa"/>
                  <w:vMerge w:val="continue"/>
                  <w:tcBorders>
                    <w:tl2br w:val="nil"/>
                    <w:tr2bl w:val="nil"/>
                  </w:tcBorders>
                  <w:noWrap w:val="0"/>
                  <w:tcMar>
                    <w:top w:w="0" w:type="dxa"/>
                    <w:left w:w="28" w:type="dxa"/>
                    <w:bottom w:w="0" w:type="dxa"/>
                    <w:right w:w="28" w:type="dxa"/>
                  </w:tcMar>
                  <w:vAlign w:val="center"/>
                </w:tcPr>
                <w:p w14:paraId="78D6DB38">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szCs w:val="21"/>
                    </w:rPr>
                  </w:pPr>
                </w:p>
              </w:tc>
              <w:tc>
                <w:tcPr>
                  <w:tcW w:w="735" w:type="dxa"/>
                  <w:tcBorders>
                    <w:tl2br w:val="nil"/>
                    <w:tr2bl w:val="nil"/>
                  </w:tcBorders>
                  <w:noWrap w:val="0"/>
                  <w:tcMar>
                    <w:top w:w="0" w:type="dxa"/>
                    <w:left w:w="28" w:type="dxa"/>
                    <w:bottom w:w="0" w:type="dxa"/>
                    <w:right w:w="28" w:type="dxa"/>
                  </w:tcMar>
                  <w:vAlign w:val="center"/>
                </w:tcPr>
                <w:p w14:paraId="38A534D2">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COD</w:t>
                  </w:r>
                </w:p>
              </w:tc>
              <w:tc>
                <w:tcPr>
                  <w:tcW w:w="682" w:type="dxa"/>
                  <w:tcBorders>
                    <w:tl2br w:val="nil"/>
                    <w:tr2bl w:val="nil"/>
                  </w:tcBorders>
                  <w:noWrap w:val="0"/>
                  <w:tcMar>
                    <w:top w:w="0" w:type="dxa"/>
                    <w:left w:w="28" w:type="dxa"/>
                    <w:bottom w:w="0" w:type="dxa"/>
                    <w:right w:w="28" w:type="dxa"/>
                  </w:tcMar>
                  <w:vAlign w:val="center"/>
                </w:tcPr>
                <w:p w14:paraId="2C6545BA">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500</w:t>
                  </w:r>
                </w:p>
              </w:tc>
              <w:tc>
                <w:tcPr>
                  <w:tcW w:w="738" w:type="dxa"/>
                  <w:tcBorders>
                    <w:tl2br w:val="nil"/>
                    <w:tr2bl w:val="nil"/>
                  </w:tcBorders>
                  <w:noWrap w:val="0"/>
                  <w:tcMar>
                    <w:top w:w="0" w:type="dxa"/>
                    <w:left w:w="28" w:type="dxa"/>
                    <w:bottom w:w="0" w:type="dxa"/>
                    <w:right w:w="28" w:type="dxa"/>
                  </w:tcMar>
                  <w:vAlign w:val="center"/>
                </w:tcPr>
                <w:p w14:paraId="37672698">
                  <w:pPr>
                    <w:keepNext w:val="0"/>
                    <w:keepLines w:val="0"/>
                    <w:widowControl/>
                    <w:suppressLineNumbers w:val="0"/>
                    <w:spacing w:before="0" w:beforeAutospacing="0" w:after="0" w:afterAutospacing="0"/>
                    <w:ind w:left="0" w:right="0"/>
                    <w:jc w:val="center"/>
                    <w:textAlignment w:val="center"/>
                    <w:rPr>
                      <w:rFonts w:hint="default"/>
                      <w:color w:val="auto"/>
                      <w:sz w:val="21"/>
                      <w:szCs w:val="21"/>
                    </w:rPr>
                  </w:pPr>
                  <w:r>
                    <w:rPr>
                      <w:rFonts w:hint="default" w:ascii="Times New Roman" w:hAnsi="Times New Roman" w:eastAsia="等线" w:cs="Times New Roman"/>
                      <w:i w:val="0"/>
                      <w:iCs w:val="0"/>
                      <w:color w:val="auto"/>
                      <w:kern w:val="0"/>
                      <w:sz w:val="21"/>
                      <w:szCs w:val="21"/>
                      <w:u w:val="none"/>
                      <w:lang w:val="en-US" w:eastAsia="zh-CN" w:bidi="ar"/>
                    </w:rPr>
                    <w:t xml:space="preserve">0.0563 </w:t>
                  </w:r>
                </w:p>
              </w:tc>
              <w:tc>
                <w:tcPr>
                  <w:tcW w:w="546" w:type="dxa"/>
                  <w:vMerge w:val="continue"/>
                  <w:tcBorders>
                    <w:tl2br w:val="nil"/>
                    <w:tr2bl w:val="nil"/>
                  </w:tcBorders>
                  <w:noWrap w:val="0"/>
                  <w:tcMar>
                    <w:top w:w="0" w:type="dxa"/>
                    <w:left w:w="28" w:type="dxa"/>
                    <w:bottom w:w="0" w:type="dxa"/>
                    <w:right w:w="28" w:type="dxa"/>
                  </w:tcMar>
                  <w:vAlign w:val="center"/>
                </w:tcPr>
                <w:p w14:paraId="333AE697">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719" w:type="dxa"/>
                  <w:gridSpan w:val="2"/>
                  <w:tcBorders>
                    <w:tl2br w:val="nil"/>
                    <w:tr2bl w:val="nil"/>
                  </w:tcBorders>
                  <w:noWrap w:val="0"/>
                  <w:tcMar>
                    <w:top w:w="0" w:type="dxa"/>
                    <w:left w:w="28" w:type="dxa"/>
                    <w:bottom w:w="0" w:type="dxa"/>
                    <w:right w:w="28" w:type="dxa"/>
                  </w:tcMar>
                  <w:vAlign w:val="center"/>
                </w:tcPr>
                <w:p w14:paraId="2E3291AB">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4</w:t>
                  </w:r>
                  <w:r>
                    <w:rPr>
                      <w:rFonts w:hint="eastAsia"/>
                      <w:color w:val="auto"/>
                      <w:szCs w:val="21"/>
                      <w:lang w:val="en-US" w:eastAsia="zh-CN"/>
                    </w:rPr>
                    <w:t>5</w:t>
                  </w:r>
                  <w:r>
                    <w:rPr>
                      <w:rFonts w:hint="default"/>
                      <w:color w:val="auto"/>
                      <w:szCs w:val="21"/>
                    </w:rPr>
                    <w:t>0</w:t>
                  </w:r>
                </w:p>
              </w:tc>
              <w:tc>
                <w:tcPr>
                  <w:tcW w:w="672" w:type="dxa"/>
                  <w:tcBorders>
                    <w:tl2br w:val="nil"/>
                    <w:tr2bl w:val="nil"/>
                  </w:tcBorders>
                  <w:noWrap w:val="0"/>
                  <w:tcMar>
                    <w:top w:w="0" w:type="dxa"/>
                    <w:left w:w="28" w:type="dxa"/>
                    <w:bottom w:w="0" w:type="dxa"/>
                    <w:right w:w="28" w:type="dxa"/>
                  </w:tcMar>
                  <w:vAlign w:val="center"/>
                </w:tcPr>
                <w:p w14:paraId="22816956">
                  <w:pPr>
                    <w:keepNext w:val="0"/>
                    <w:keepLines w:val="0"/>
                    <w:widowControl/>
                    <w:suppressLineNumbers w:val="0"/>
                    <w:spacing w:before="0" w:beforeAutospacing="0" w:after="0" w:afterAutospacing="0"/>
                    <w:ind w:left="0" w:right="0"/>
                    <w:jc w:val="center"/>
                    <w:textAlignment w:val="center"/>
                    <w:rPr>
                      <w:rFonts w:hint="default"/>
                      <w:color w:val="auto"/>
                      <w:sz w:val="21"/>
                      <w:szCs w:val="21"/>
                    </w:rPr>
                  </w:pPr>
                  <w:r>
                    <w:rPr>
                      <w:rFonts w:hint="default" w:ascii="Times New Roman" w:hAnsi="Times New Roman" w:eastAsia="等线" w:cs="Times New Roman"/>
                      <w:i w:val="0"/>
                      <w:iCs w:val="0"/>
                      <w:color w:val="auto"/>
                      <w:kern w:val="0"/>
                      <w:sz w:val="21"/>
                      <w:szCs w:val="21"/>
                      <w:u w:val="none"/>
                      <w:lang w:val="en-US" w:eastAsia="zh-CN" w:bidi="ar"/>
                    </w:rPr>
                    <w:t xml:space="preserve">0.0506 </w:t>
                  </w:r>
                </w:p>
              </w:tc>
              <w:tc>
                <w:tcPr>
                  <w:tcW w:w="842" w:type="dxa"/>
                  <w:tcBorders>
                    <w:tl2br w:val="nil"/>
                    <w:tr2bl w:val="nil"/>
                  </w:tcBorders>
                  <w:noWrap w:val="0"/>
                  <w:tcMar>
                    <w:top w:w="0" w:type="dxa"/>
                    <w:left w:w="28" w:type="dxa"/>
                    <w:bottom w:w="0" w:type="dxa"/>
                    <w:right w:w="28" w:type="dxa"/>
                  </w:tcMar>
                  <w:vAlign w:val="center"/>
                </w:tcPr>
                <w:p w14:paraId="09B0EED7">
                  <w:pPr>
                    <w:keepNext w:val="0"/>
                    <w:keepLines w:val="0"/>
                    <w:widowControl/>
                    <w:suppressLineNumbers w:val="0"/>
                    <w:adjustRightInd w:val="0"/>
                    <w:snapToGrid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rPr>
                    <w:t>≤500</w:t>
                  </w:r>
                </w:p>
              </w:tc>
              <w:tc>
                <w:tcPr>
                  <w:tcW w:w="1124" w:type="dxa"/>
                  <w:tcBorders>
                    <w:tl2br w:val="nil"/>
                    <w:tr2bl w:val="nil"/>
                  </w:tcBorders>
                  <w:noWrap w:val="0"/>
                  <w:tcMar>
                    <w:top w:w="0" w:type="dxa"/>
                    <w:left w:w="28" w:type="dxa"/>
                    <w:bottom w:w="0" w:type="dxa"/>
                    <w:right w:w="28" w:type="dxa"/>
                  </w:tcMar>
                  <w:vAlign w:val="center"/>
                </w:tcPr>
                <w:p w14:paraId="60D1B2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eastAsia="宋体"/>
                      <w:color w:val="auto"/>
                      <w:szCs w:val="21"/>
                      <w:lang w:val="en-US" w:eastAsia="zh-CN"/>
                    </w:rPr>
                  </w:pPr>
                  <w:r>
                    <w:rPr>
                      <w:rFonts w:hint="default"/>
                      <w:color w:val="auto"/>
                      <w:kern w:val="0"/>
                      <w:sz w:val="21"/>
                      <w:szCs w:val="21"/>
                      <w:highlight w:val="none"/>
                      <w:lang w:bidi="ar"/>
                    </w:rPr>
                    <w:t>≤</w:t>
                  </w:r>
                  <w:r>
                    <w:rPr>
                      <w:rFonts w:hint="eastAsia"/>
                      <w:color w:val="auto"/>
                      <w:kern w:val="0"/>
                      <w:sz w:val="21"/>
                      <w:szCs w:val="21"/>
                      <w:highlight w:val="none"/>
                      <w:lang w:val="en-US" w:eastAsia="zh-CN" w:bidi="ar"/>
                    </w:rPr>
                    <w:t>40</w:t>
                  </w:r>
                </w:p>
              </w:tc>
              <w:tc>
                <w:tcPr>
                  <w:tcW w:w="765" w:type="dxa"/>
                  <w:tcBorders>
                    <w:tl2br w:val="nil"/>
                    <w:tr2bl w:val="nil"/>
                  </w:tcBorders>
                  <w:noWrap w:val="0"/>
                  <w:tcMar>
                    <w:top w:w="0" w:type="dxa"/>
                    <w:left w:w="28" w:type="dxa"/>
                    <w:bottom w:w="0" w:type="dxa"/>
                    <w:right w:w="28" w:type="dxa"/>
                  </w:tcMar>
                  <w:vAlign w:val="center"/>
                </w:tcPr>
                <w:p w14:paraId="00FB3D77">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等线" w:cs="Times New Roman"/>
                      <w:i w:val="0"/>
                      <w:iCs w:val="0"/>
                      <w:color w:val="auto"/>
                      <w:kern w:val="0"/>
                      <w:sz w:val="21"/>
                      <w:szCs w:val="21"/>
                      <w:u w:val="none"/>
                      <w:lang w:val="en-US" w:eastAsia="zh-CN" w:bidi="ar"/>
                    </w:rPr>
                    <w:t xml:space="preserve">0.0045 </w:t>
                  </w:r>
                </w:p>
              </w:tc>
              <w:tc>
                <w:tcPr>
                  <w:tcW w:w="850" w:type="dxa"/>
                  <w:vMerge w:val="continue"/>
                  <w:tcBorders>
                    <w:tl2br w:val="nil"/>
                    <w:tr2bl w:val="nil"/>
                  </w:tcBorders>
                  <w:noWrap w:val="0"/>
                  <w:tcMar>
                    <w:top w:w="0" w:type="dxa"/>
                    <w:left w:w="28" w:type="dxa"/>
                    <w:bottom w:w="0" w:type="dxa"/>
                    <w:right w:w="28" w:type="dxa"/>
                  </w:tcMar>
                  <w:vAlign w:val="center"/>
                </w:tcPr>
                <w:p w14:paraId="0A61F49B">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r>
            <w:tr w14:paraId="21AB46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431" w:type="dxa"/>
                  <w:vMerge w:val="continue"/>
                  <w:tcBorders>
                    <w:tl2br w:val="nil"/>
                    <w:tr2bl w:val="nil"/>
                  </w:tcBorders>
                  <w:noWrap w:val="0"/>
                  <w:tcMar>
                    <w:top w:w="0" w:type="dxa"/>
                    <w:left w:w="28" w:type="dxa"/>
                    <w:bottom w:w="0" w:type="dxa"/>
                    <w:right w:w="28" w:type="dxa"/>
                  </w:tcMar>
                  <w:vAlign w:val="center"/>
                </w:tcPr>
                <w:p w14:paraId="4133BDB4">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492" w:type="dxa"/>
                  <w:vMerge w:val="continue"/>
                  <w:tcBorders>
                    <w:tl2br w:val="nil"/>
                    <w:tr2bl w:val="nil"/>
                  </w:tcBorders>
                  <w:noWrap w:val="0"/>
                  <w:tcMar>
                    <w:top w:w="0" w:type="dxa"/>
                    <w:left w:w="28" w:type="dxa"/>
                    <w:bottom w:w="0" w:type="dxa"/>
                    <w:right w:w="28" w:type="dxa"/>
                  </w:tcMar>
                  <w:vAlign w:val="center"/>
                </w:tcPr>
                <w:p w14:paraId="50F6428E">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574" w:type="dxa"/>
                  <w:vMerge w:val="continue"/>
                  <w:tcBorders>
                    <w:tl2br w:val="nil"/>
                    <w:tr2bl w:val="nil"/>
                  </w:tcBorders>
                  <w:noWrap w:val="0"/>
                  <w:tcMar>
                    <w:top w:w="0" w:type="dxa"/>
                    <w:left w:w="28" w:type="dxa"/>
                    <w:bottom w:w="0" w:type="dxa"/>
                    <w:right w:w="28" w:type="dxa"/>
                  </w:tcMar>
                  <w:vAlign w:val="center"/>
                </w:tcPr>
                <w:p w14:paraId="2CA8A660">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735" w:type="dxa"/>
                  <w:tcBorders>
                    <w:tl2br w:val="nil"/>
                    <w:tr2bl w:val="nil"/>
                  </w:tcBorders>
                  <w:noWrap w:val="0"/>
                  <w:tcMar>
                    <w:top w:w="0" w:type="dxa"/>
                    <w:left w:w="28" w:type="dxa"/>
                    <w:bottom w:w="0" w:type="dxa"/>
                    <w:right w:w="28" w:type="dxa"/>
                  </w:tcMar>
                  <w:vAlign w:val="center"/>
                </w:tcPr>
                <w:p w14:paraId="54C221C2">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SS</w:t>
                  </w:r>
                </w:p>
              </w:tc>
              <w:tc>
                <w:tcPr>
                  <w:tcW w:w="682" w:type="dxa"/>
                  <w:tcBorders>
                    <w:tl2br w:val="nil"/>
                    <w:tr2bl w:val="nil"/>
                  </w:tcBorders>
                  <w:noWrap w:val="0"/>
                  <w:tcMar>
                    <w:top w:w="0" w:type="dxa"/>
                    <w:left w:w="28" w:type="dxa"/>
                    <w:bottom w:w="0" w:type="dxa"/>
                    <w:right w:w="28" w:type="dxa"/>
                  </w:tcMar>
                  <w:vAlign w:val="center"/>
                </w:tcPr>
                <w:p w14:paraId="3E3B018B">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400</w:t>
                  </w:r>
                </w:p>
              </w:tc>
              <w:tc>
                <w:tcPr>
                  <w:tcW w:w="738" w:type="dxa"/>
                  <w:tcBorders>
                    <w:tl2br w:val="nil"/>
                    <w:tr2bl w:val="nil"/>
                  </w:tcBorders>
                  <w:noWrap w:val="0"/>
                  <w:tcMar>
                    <w:top w:w="0" w:type="dxa"/>
                    <w:left w:w="28" w:type="dxa"/>
                    <w:bottom w:w="0" w:type="dxa"/>
                    <w:right w:w="28" w:type="dxa"/>
                  </w:tcMar>
                  <w:vAlign w:val="center"/>
                </w:tcPr>
                <w:p w14:paraId="7A2F9833">
                  <w:pPr>
                    <w:keepNext w:val="0"/>
                    <w:keepLines w:val="0"/>
                    <w:widowControl/>
                    <w:suppressLineNumbers w:val="0"/>
                    <w:spacing w:before="0" w:beforeAutospacing="0" w:after="0" w:afterAutospacing="0"/>
                    <w:ind w:left="0" w:right="0"/>
                    <w:jc w:val="center"/>
                    <w:textAlignment w:val="center"/>
                    <w:rPr>
                      <w:rFonts w:hint="default"/>
                      <w:color w:val="auto"/>
                      <w:sz w:val="21"/>
                      <w:szCs w:val="21"/>
                    </w:rPr>
                  </w:pPr>
                  <w:r>
                    <w:rPr>
                      <w:rFonts w:hint="default" w:ascii="Times New Roman" w:hAnsi="Times New Roman" w:eastAsia="等线" w:cs="Times New Roman"/>
                      <w:i w:val="0"/>
                      <w:iCs w:val="0"/>
                      <w:color w:val="auto"/>
                      <w:kern w:val="0"/>
                      <w:sz w:val="21"/>
                      <w:szCs w:val="21"/>
                      <w:u w:val="none"/>
                      <w:lang w:val="en-US" w:eastAsia="zh-CN" w:bidi="ar"/>
                    </w:rPr>
                    <w:t xml:space="preserve">0.0450 </w:t>
                  </w:r>
                </w:p>
              </w:tc>
              <w:tc>
                <w:tcPr>
                  <w:tcW w:w="546" w:type="dxa"/>
                  <w:vMerge w:val="continue"/>
                  <w:tcBorders>
                    <w:tl2br w:val="nil"/>
                    <w:tr2bl w:val="nil"/>
                  </w:tcBorders>
                  <w:noWrap w:val="0"/>
                  <w:tcMar>
                    <w:top w:w="0" w:type="dxa"/>
                    <w:left w:w="28" w:type="dxa"/>
                    <w:bottom w:w="0" w:type="dxa"/>
                    <w:right w:w="28" w:type="dxa"/>
                  </w:tcMar>
                  <w:vAlign w:val="center"/>
                </w:tcPr>
                <w:p w14:paraId="230103FE">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719" w:type="dxa"/>
                  <w:gridSpan w:val="2"/>
                  <w:tcBorders>
                    <w:tl2br w:val="nil"/>
                    <w:tr2bl w:val="nil"/>
                  </w:tcBorders>
                  <w:noWrap w:val="0"/>
                  <w:tcMar>
                    <w:top w:w="0" w:type="dxa"/>
                    <w:left w:w="28" w:type="dxa"/>
                    <w:bottom w:w="0" w:type="dxa"/>
                    <w:right w:w="28" w:type="dxa"/>
                  </w:tcMar>
                  <w:vAlign w:val="center"/>
                </w:tcPr>
                <w:p w14:paraId="6DEAAFD9">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3</w:t>
                  </w:r>
                  <w:r>
                    <w:rPr>
                      <w:rFonts w:hint="eastAsia"/>
                      <w:color w:val="auto"/>
                      <w:szCs w:val="21"/>
                      <w:lang w:val="en-US" w:eastAsia="zh-CN"/>
                    </w:rPr>
                    <w:t>6</w:t>
                  </w:r>
                  <w:r>
                    <w:rPr>
                      <w:rFonts w:hint="default"/>
                      <w:color w:val="auto"/>
                      <w:szCs w:val="21"/>
                    </w:rPr>
                    <w:t>0</w:t>
                  </w:r>
                </w:p>
              </w:tc>
              <w:tc>
                <w:tcPr>
                  <w:tcW w:w="672" w:type="dxa"/>
                  <w:tcBorders>
                    <w:tl2br w:val="nil"/>
                    <w:tr2bl w:val="nil"/>
                  </w:tcBorders>
                  <w:noWrap w:val="0"/>
                  <w:tcMar>
                    <w:top w:w="0" w:type="dxa"/>
                    <w:left w:w="28" w:type="dxa"/>
                    <w:bottom w:w="0" w:type="dxa"/>
                    <w:right w:w="28" w:type="dxa"/>
                  </w:tcMar>
                  <w:vAlign w:val="center"/>
                </w:tcPr>
                <w:p w14:paraId="66D3D836">
                  <w:pPr>
                    <w:keepNext w:val="0"/>
                    <w:keepLines w:val="0"/>
                    <w:widowControl/>
                    <w:suppressLineNumbers w:val="0"/>
                    <w:spacing w:before="0" w:beforeAutospacing="0" w:after="0" w:afterAutospacing="0"/>
                    <w:ind w:left="0" w:right="0"/>
                    <w:jc w:val="center"/>
                    <w:textAlignment w:val="center"/>
                    <w:rPr>
                      <w:rFonts w:hint="default"/>
                      <w:color w:val="auto"/>
                      <w:sz w:val="21"/>
                      <w:szCs w:val="21"/>
                    </w:rPr>
                  </w:pPr>
                  <w:r>
                    <w:rPr>
                      <w:rFonts w:hint="default" w:ascii="Times New Roman" w:hAnsi="Times New Roman" w:eastAsia="等线" w:cs="Times New Roman"/>
                      <w:i w:val="0"/>
                      <w:iCs w:val="0"/>
                      <w:color w:val="auto"/>
                      <w:kern w:val="0"/>
                      <w:sz w:val="21"/>
                      <w:szCs w:val="21"/>
                      <w:u w:val="none"/>
                      <w:lang w:val="en-US" w:eastAsia="zh-CN" w:bidi="ar"/>
                    </w:rPr>
                    <w:t xml:space="preserve">0.0405 </w:t>
                  </w:r>
                </w:p>
              </w:tc>
              <w:tc>
                <w:tcPr>
                  <w:tcW w:w="842" w:type="dxa"/>
                  <w:tcBorders>
                    <w:tl2br w:val="nil"/>
                    <w:tr2bl w:val="nil"/>
                  </w:tcBorders>
                  <w:noWrap w:val="0"/>
                  <w:tcMar>
                    <w:top w:w="0" w:type="dxa"/>
                    <w:left w:w="28" w:type="dxa"/>
                    <w:bottom w:w="0" w:type="dxa"/>
                    <w:right w:w="28" w:type="dxa"/>
                  </w:tcMar>
                  <w:vAlign w:val="center"/>
                </w:tcPr>
                <w:p w14:paraId="53639A3C">
                  <w:pPr>
                    <w:keepNext w:val="0"/>
                    <w:keepLines w:val="0"/>
                    <w:widowControl/>
                    <w:suppressLineNumbers w:val="0"/>
                    <w:adjustRightInd w:val="0"/>
                    <w:snapToGrid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rPr>
                    <w:t>≤400</w:t>
                  </w:r>
                </w:p>
              </w:tc>
              <w:tc>
                <w:tcPr>
                  <w:tcW w:w="1124" w:type="dxa"/>
                  <w:tcBorders>
                    <w:tl2br w:val="nil"/>
                    <w:tr2bl w:val="nil"/>
                  </w:tcBorders>
                  <w:noWrap w:val="0"/>
                  <w:tcMar>
                    <w:top w:w="0" w:type="dxa"/>
                    <w:left w:w="28" w:type="dxa"/>
                    <w:bottom w:w="0" w:type="dxa"/>
                    <w:right w:w="28" w:type="dxa"/>
                  </w:tcMar>
                  <w:vAlign w:val="center"/>
                </w:tcPr>
                <w:p w14:paraId="2AFEE9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eastAsia="宋体"/>
                      <w:color w:val="auto"/>
                      <w:szCs w:val="21"/>
                      <w:lang w:val="en-US" w:eastAsia="zh-CN"/>
                    </w:rPr>
                  </w:pPr>
                  <w:r>
                    <w:rPr>
                      <w:rFonts w:hint="default"/>
                      <w:color w:val="auto"/>
                      <w:kern w:val="0"/>
                      <w:sz w:val="21"/>
                      <w:szCs w:val="21"/>
                      <w:highlight w:val="none"/>
                      <w:lang w:bidi="ar"/>
                    </w:rPr>
                    <w:t>≤</w:t>
                  </w:r>
                  <w:r>
                    <w:rPr>
                      <w:rFonts w:hint="eastAsia"/>
                      <w:color w:val="auto"/>
                      <w:kern w:val="0"/>
                      <w:sz w:val="21"/>
                      <w:szCs w:val="21"/>
                      <w:highlight w:val="none"/>
                      <w:lang w:val="en-US" w:eastAsia="zh-CN" w:bidi="ar"/>
                    </w:rPr>
                    <w:t>10</w:t>
                  </w:r>
                </w:p>
              </w:tc>
              <w:tc>
                <w:tcPr>
                  <w:tcW w:w="765" w:type="dxa"/>
                  <w:tcBorders>
                    <w:tl2br w:val="nil"/>
                    <w:tr2bl w:val="nil"/>
                  </w:tcBorders>
                  <w:noWrap w:val="0"/>
                  <w:tcMar>
                    <w:top w:w="0" w:type="dxa"/>
                    <w:left w:w="28" w:type="dxa"/>
                    <w:bottom w:w="0" w:type="dxa"/>
                    <w:right w:w="28" w:type="dxa"/>
                  </w:tcMar>
                  <w:vAlign w:val="center"/>
                </w:tcPr>
                <w:p w14:paraId="7FE0C6A3">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等线" w:cs="Times New Roman"/>
                      <w:i w:val="0"/>
                      <w:iCs w:val="0"/>
                      <w:color w:val="auto"/>
                      <w:kern w:val="0"/>
                      <w:sz w:val="21"/>
                      <w:szCs w:val="21"/>
                      <w:u w:val="none"/>
                      <w:lang w:val="en-US" w:eastAsia="zh-CN" w:bidi="ar"/>
                    </w:rPr>
                    <w:t xml:space="preserve">0.0011 </w:t>
                  </w:r>
                </w:p>
              </w:tc>
              <w:tc>
                <w:tcPr>
                  <w:tcW w:w="850" w:type="dxa"/>
                  <w:vMerge w:val="continue"/>
                  <w:tcBorders>
                    <w:tl2br w:val="nil"/>
                    <w:tr2bl w:val="nil"/>
                  </w:tcBorders>
                  <w:noWrap w:val="0"/>
                  <w:tcMar>
                    <w:top w:w="0" w:type="dxa"/>
                    <w:left w:w="28" w:type="dxa"/>
                    <w:bottom w:w="0" w:type="dxa"/>
                    <w:right w:w="28" w:type="dxa"/>
                  </w:tcMar>
                  <w:vAlign w:val="center"/>
                </w:tcPr>
                <w:p w14:paraId="28D31121">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r>
            <w:tr w14:paraId="2F9F47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1" w:type="dxa"/>
                  <w:vMerge w:val="continue"/>
                  <w:tcBorders>
                    <w:tl2br w:val="nil"/>
                    <w:tr2bl w:val="nil"/>
                  </w:tcBorders>
                  <w:noWrap w:val="0"/>
                  <w:tcMar>
                    <w:top w:w="0" w:type="dxa"/>
                    <w:left w:w="28" w:type="dxa"/>
                    <w:bottom w:w="0" w:type="dxa"/>
                    <w:right w:w="28" w:type="dxa"/>
                  </w:tcMar>
                  <w:vAlign w:val="center"/>
                </w:tcPr>
                <w:p w14:paraId="05CBF32A">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492" w:type="dxa"/>
                  <w:vMerge w:val="continue"/>
                  <w:tcBorders>
                    <w:tl2br w:val="nil"/>
                    <w:tr2bl w:val="nil"/>
                  </w:tcBorders>
                  <w:noWrap w:val="0"/>
                  <w:tcMar>
                    <w:top w:w="0" w:type="dxa"/>
                    <w:left w:w="28" w:type="dxa"/>
                    <w:bottom w:w="0" w:type="dxa"/>
                    <w:right w:w="28" w:type="dxa"/>
                  </w:tcMar>
                  <w:vAlign w:val="center"/>
                </w:tcPr>
                <w:p w14:paraId="79539371">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574" w:type="dxa"/>
                  <w:vMerge w:val="continue"/>
                  <w:tcBorders>
                    <w:tl2br w:val="nil"/>
                    <w:tr2bl w:val="nil"/>
                  </w:tcBorders>
                  <w:noWrap w:val="0"/>
                  <w:tcMar>
                    <w:top w:w="0" w:type="dxa"/>
                    <w:left w:w="28" w:type="dxa"/>
                    <w:bottom w:w="0" w:type="dxa"/>
                    <w:right w:w="28" w:type="dxa"/>
                  </w:tcMar>
                  <w:vAlign w:val="center"/>
                </w:tcPr>
                <w:p w14:paraId="4D128AD8">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735" w:type="dxa"/>
                  <w:tcBorders>
                    <w:tl2br w:val="nil"/>
                    <w:tr2bl w:val="nil"/>
                  </w:tcBorders>
                  <w:noWrap w:val="0"/>
                  <w:tcMar>
                    <w:top w:w="0" w:type="dxa"/>
                    <w:left w:w="28" w:type="dxa"/>
                    <w:bottom w:w="0" w:type="dxa"/>
                    <w:right w:w="28" w:type="dxa"/>
                  </w:tcMar>
                  <w:vAlign w:val="center"/>
                </w:tcPr>
                <w:p w14:paraId="44CC6D63">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氨氮</w:t>
                  </w:r>
                </w:p>
              </w:tc>
              <w:tc>
                <w:tcPr>
                  <w:tcW w:w="682" w:type="dxa"/>
                  <w:tcBorders>
                    <w:tl2br w:val="nil"/>
                    <w:tr2bl w:val="nil"/>
                  </w:tcBorders>
                  <w:noWrap w:val="0"/>
                  <w:tcMar>
                    <w:top w:w="0" w:type="dxa"/>
                    <w:left w:w="28" w:type="dxa"/>
                    <w:bottom w:w="0" w:type="dxa"/>
                    <w:right w:w="28" w:type="dxa"/>
                  </w:tcMar>
                  <w:vAlign w:val="center"/>
                </w:tcPr>
                <w:p w14:paraId="201AA974">
                  <w:pPr>
                    <w:keepNext w:val="0"/>
                    <w:keepLines w:val="0"/>
                    <w:suppressLineNumbers w:val="0"/>
                    <w:spacing w:before="0" w:beforeAutospacing="0" w:after="0" w:afterAutospacing="0"/>
                    <w:ind w:left="0" w:right="0"/>
                    <w:jc w:val="center"/>
                    <w:rPr>
                      <w:rFonts w:hint="eastAsia" w:eastAsia="宋体"/>
                      <w:color w:val="auto"/>
                      <w:szCs w:val="21"/>
                      <w:lang w:eastAsia="zh-CN"/>
                    </w:rPr>
                  </w:pPr>
                  <w:r>
                    <w:rPr>
                      <w:rFonts w:hint="default"/>
                      <w:color w:val="auto"/>
                      <w:szCs w:val="21"/>
                    </w:rPr>
                    <w:t>3</w:t>
                  </w:r>
                  <w:r>
                    <w:rPr>
                      <w:rFonts w:hint="eastAsia"/>
                      <w:color w:val="auto"/>
                      <w:szCs w:val="21"/>
                      <w:lang w:val="en-US" w:eastAsia="zh-CN"/>
                    </w:rPr>
                    <w:t>5</w:t>
                  </w:r>
                </w:p>
              </w:tc>
              <w:tc>
                <w:tcPr>
                  <w:tcW w:w="738" w:type="dxa"/>
                  <w:tcBorders>
                    <w:tl2br w:val="nil"/>
                    <w:tr2bl w:val="nil"/>
                  </w:tcBorders>
                  <w:noWrap w:val="0"/>
                  <w:tcMar>
                    <w:top w:w="0" w:type="dxa"/>
                    <w:left w:w="28" w:type="dxa"/>
                    <w:bottom w:w="0" w:type="dxa"/>
                    <w:right w:w="28" w:type="dxa"/>
                  </w:tcMar>
                  <w:vAlign w:val="center"/>
                </w:tcPr>
                <w:p w14:paraId="41333A3C">
                  <w:pPr>
                    <w:keepNext w:val="0"/>
                    <w:keepLines w:val="0"/>
                    <w:widowControl/>
                    <w:suppressLineNumbers w:val="0"/>
                    <w:spacing w:before="0" w:beforeAutospacing="0" w:after="0" w:afterAutospacing="0"/>
                    <w:ind w:left="0" w:right="0"/>
                    <w:jc w:val="center"/>
                    <w:textAlignment w:val="center"/>
                    <w:rPr>
                      <w:rFonts w:hint="default"/>
                      <w:color w:val="auto"/>
                      <w:sz w:val="21"/>
                      <w:szCs w:val="21"/>
                    </w:rPr>
                  </w:pPr>
                  <w:r>
                    <w:rPr>
                      <w:rFonts w:hint="default" w:ascii="Times New Roman" w:hAnsi="Times New Roman" w:eastAsia="等线" w:cs="Times New Roman"/>
                      <w:i w:val="0"/>
                      <w:iCs w:val="0"/>
                      <w:color w:val="auto"/>
                      <w:kern w:val="0"/>
                      <w:sz w:val="21"/>
                      <w:szCs w:val="21"/>
                      <w:u w:val="none"/>
                      <w:lang w:val="en-US" w:eastAsia="zh-CN" w:bidi="ar"/>
                    </w:rPr>
                    <w:t xml:space="preserve">0.0039 </w:t>
                  </w:r>
                </w:p>
              </w:tc>
              <w:tc>
                <w:tcPr>
                  <w:tcW w:w="546" w:type="dxa"/>
                  <w:vMerge w:val="continue"/>
                  <w:tcBorders>
                    <w:tl2br w:val="nil"/>
                    <w:tr2bl w:val="nil"/>
                  </w:tcBorders>
                  <w:noWrap w:val="0"/>
                  <w:tcMar>
                    <w:top w:w="0" w:type="dxa"/>
                    <w:left w:w="28" w:type="dxa"/>
                    <w:bottom w:w="0" w:type="dxa"/>
                    <w:right w:w="28" w:type="dxa"/>
                  </w:tcMar>
                  <w:vAlign w:val="center"/>
                </w:tcPr>
                <w:p w14:paraId="345D9893">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719" w:type="dxa"/>
                  <w:gridSpan w:val="2"/>
                  <w:tcBorders>
                    <w:tl2br w:val="nil"/>
                    <w:tr2bl w:val="nil"/>
                  </w:tcBorders>
                  <w:noWrap w:val="0"/>
                  <w:tcMar>
                    <w:top w:w="0" w:type="dxa"/>
                    <w:left w:w="28" w:type="dxa"/>
                    <w:bottom w:w="0" w:type="dxa"/>
                    <w:right w:w="28" w:type="dxa"/>
                  </w:tcMar>
                  <w:vAlign w:val="center"/>
                </w:tcPr>
                <w:p w14:paraId="43FFF128">
                  <w:pPr>
                    <w:keepNext w:val="0"/>
                    <w:keepLines w:val="0"/>
                    <w:suppressLineNumbers w:val="0"/>
                    <w:spacing w:before="0" w:beforeAutospacing="0" w:after="0" w:afterAutospacing="0"/>
                    <w:ind w:left="0" w:right="0"/>
                    <w:jc w:val="center"/>
                    <w:rPr>
                      <w:rFonts w:hint="eastAsia" w:eastAsia="宋体"/>
                      <w:color w:val="auto"/>
                      <w:szCs w:val="21"/>
                      <w:lang w:eastAsia="zh-CN"/>
                    </w:rPr>
                  </w:pPr>
                  <w:r>
                    <w:rPr>
                      <w:rFonts w:hint="default"/>
                      <w:color w:val="auto"/>
                      <w:szCs w:val="21"/>
                    </w:rPr>
                    <w:t>3</w:t>
                  </w:r>
                  <w:r>
                    <w:rPr>
                      <w:rFonts w:hint="eastAsia"/>
                      <w:color w:val="auto"/>
                      <w:szCs w:val="21"/>
                      <w:lang w:val="en-US" w:eastAsia="zh-CN"/>
                    </w:rPr>
                    <w:t>5</w:t>
                  </w:r>
                </w:p>
              </w:tc>
              <w:tc>
                <w:tcPr>
                  <w:tcW w:w="672" w:type="dxa"/>
                  <w:tcBorders>
                    <w:tl2br w:val="nil"/>
                    <w:tr2bl w:val="nil"/>
                  </w:tcBorders>
                  <w:noWrap w:val="0"/>
                  <w:tcMar>
                    <w:top w:w="0" w:type="dxa"/>
                    <w:left w:w="28" w:type="dxa"/>
                    <w:bottom w:w="0" w:type="dxa"/>
                    <w:right w:w="28" w:type="dxa"/>
                  </w:tcMar>
                  <w:vAlign w:val="center"/>
                </w:tcPr>
                <w:p w14:paraId="0B5F9A8E">
                  <w:pPr>
                    <w:keepNext w:val="0"/>
                    <w:keepLines w:val="0"/>
                    <w:widowControl/>
                    <w:suppressLineNumbers w:val="0"/>
                    <w:spacing w:before="0" w:beforeAutospacing="0" w:after="0" w:afterAutospacing="0"/>
                    <w:ind w:left="0" w:right="0"/>
                    <w:jc w:val="center"/>
                    <w:textAlignment w:val="center"/>
                    <w:rPr>
                      <w:rFonts w:hint="default"/>
                      <w:color w:val="auto"/>
                      <w:sz w:val="21"/>
                      <w:szCs w:val="21"/>
                    </w:rPr>
                  </w:pPr>
                  <w:r>
                    <w:rPr>
                      <w:rFonts w:hint="default" w:ascii="Times New Roman" w:hAnsi="Times New Roman" w:eastAsia="等线" w:cs="Times New Roman"/>
                      <w:i w:val="0"/>
                      <w:iCs w:val="0"/>
                      <w:color w:val="auto"/>
                      <w:kern w:val="0"/>
                      <w:sz w:val="21"/>
                      <w:szCs w:val="21"/>
                      <w:u w:val="none"/>
                      <w:lang w:val="en-US" w:eastAsia="zh-CN" w:bidi="ar"/>
                    </w:rPr>
                    <w:t xml:space="preserve">0.0039 </w:t>
                  </w:r>
                </w:p>
              </w:tc>
              <w:tc>
                <w:tcPr>
                  <w:tcW w:w="842" w:type="dxa"/>
                  <w:tcBorders>
                    <w:tl2br w:val="nil"/>
                    <w:tr2bl w:val="nil"/>
                  </w:tcBorders>
                  <w:noWrap w:val="0"/>
                  <w:tcMar>
                    <w:top w:w="0" w:type="dxa"/>
                    <w:left w:w="28" w:type="dxa"/>
                    <w:bottom w:w="0" w:type="dxa"/>
                    <w:right w:w="28" w:type="dxa"/>
                  </w:tcMar>
                  <w:vAlign w:val="center"/>
                </w:tcPr>
                <w:p w14:paraId="2264C2C0">
                  <w:pPr>
                    <w:keepNext w:val="0"/>
                    <w:keepLines w:val="0"/>
                    <w:widowControl/>
                    <w:suppressLineNumbers w:val="0"/>
                    <w:adjustRightInd w:val="0"/>
                    <w:snapToGrid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rPr>
                    <w:t>≤45</w:t>
                  </w:r>
                </w:p>
              </w:tc>
              <w:tc>
                <w:tcPr>
                  <w:tcW w:w="1124" w:type="dxa"/>
                  <w:tcBorders>
                    <w:tl2br w:val="nil"/>
                    <w:tr2bl w:val="nil"/>
                  </w:tcBorders>
                  <w:noWrap w:val="0"/>
                  <w:tcMar>
                    <w:top w:w="0" w:type="dxa"/>
                    <w:left w:w="28" w:type="dxa"/>
                    <w:bottom w:w="0" w:type="dxa"/>
                    <w:right w:w="28" w:type="dxa"/>
                  </w:tcMar>
                  <w:vAlign w:val="center"/>
                </w:tcPr>
                <w:p w14:paraId="637C44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eastAsia="宋体"/>
                      <w:color w:val="auto"/>
                      <w:szCs w:val="21"/>
                      <w:lang w:val="en-US" w:eastAsia="zh-CN"/>
                    </w:rPr>
                  </w:pPr>
                  <w:r>
                    <w:rPr>
                      <w:rFonts w:hint="default"/>
                      <w:color w:val="auto"/>
                      <w:kern w:val="0"/>
                      <w:sz w:val="21"/>
                      <w:szCs w:val="21"/>
                      <w:highlight w:val="none"/>
                      <w:lang w:bidi="ar"/>
                    </w:rPr>
                    <w:t>≤</w:t>
                  </w:r>
                  <w:r>
                    <w:rPr>
                      <w:rFonts w:hint="eastAsia"/>
                      <w:color w:val="auto"/>
                      <w:kern w:val="0"/>
                      <w:sz w:val="21"/>
                      <w:szCs w:val="21"/>
                      <w:highlight w:val="none"/>
                      <w:lang w:val="en-US" w:eastAsia="zh-CN" w:bidi="ar"/>
                    </w:rPr>
                    <w:t>3（5）</w:t>
                  </w:r>
                </w:p>
              </w:tc>
              <w:tc>
                <w:tcPr>
                  <w:tcW w:w="765" w:type="dxa"/>
                  <w:tcBorders>
                    <w:tl2br w:val="nil"/>
                    <w:tr2bl w:val="nil"/>
                  </w:tcBorders>
                  <w:noWrap w:val="0"/>
                  <w:tcMar>
                    <w:top w:w="0" w:type="dxa"/>
                    <w:left w:w="28" w:type="dxa"/>
                    <w:bottom w:w="0" w:type="dxa"/>
                    <w:right w:w="28" w:type="dxa"/>
                  </w:tcMar>
                  <w:vAlign w:val="center"/>
                </w:tcPr>
                <w:p w14:paraId="04873E75">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等线" w:cs="Times New Roman"/>
                      <w:i w:val="0"/>
                      <w:iCs w:val="0"/>
                      <w:color w:val="auto"/>
                      <w:kern w:val="0"/>
                      <w:sz w:val="21"/>
                      <w:szCs w:val="21"/>
                      <w:u w:val="none"/>
                      <w:lang w:val="en-US" w:eastAsia="zh-CN" w:bidi="ar"/>
                    </w:rPr>
                    <w:t xml:space="preserve">0.0003 </w:t>
                  </w:r>
                </w:p>
              </w:tc>
              <w:tc>
                <w:tcPr>
                  <w:tcW w:w="850" w:type="dxa"/>
                  <w:vMerge w:val="continue"/>
                  <w:tcBorders>
                    <w:tl2br w:val="nil"/>
                    <w:tr2bl w:val="nil"/>
                  </w:tcBorders>
                  <w:noWrap w:val="0"/>
                  <w:tcMar>
                    <w:top w:w="0" w:type="dxa"/>
                    <w:left w:w="28" w:type="dxa"/>
                    <w:bottom w:w="0" w:type="dxa"/>
                    <w:right w:w="28" w:type="dxa"/>
                  </w:tcMar>
                  <w:vAlign w:val="center"/>
                </w:tcPr>
                <w:p w14:paraId="40CE90DF">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r>
            <w:tr w14:paraId="02975F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1" w:type="dxa"/>
                  <w:vMerge w:val="continue"/>
                  <w:tcBorders>
                    <w:tl2br w:val="nil"/>
                    <w:tr2bl w:val="nil"/>
                  </w:tcBorders>
                  <w:noWrap w:val="0"/>
                  <w:tcMar>
                    <w:top w:w="0" w:type="dxa"/>
                    <w:left w:w="28" w:type="dxa"/>
                    <w:bottom w:w="0" w:type="dxa"/>
                    <w:right w:w="28" w:type="dxa"/>
                  </w:tcMar>
                  <w:vAlign w:val="center"/>
                </w:tcPr>
                <w:p w14:paraId="20038CC4">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492" w:type="dxa"/>
                  <w:vMerge w:val="continue"/>
                  <w:tcBorders>
                    <w:tl2br w:val="nil"/>
                    <w:tr2bl w:val="nil"/>
                  </w:tcBorders>
                  <w:noWrap w:val="0"/>
                  <w:tcMar>
                    <w:top w:w="0" w:type="dxa"/>
                    <w:left w:w="28" w:type="dxa"/>
                    <w:bottom w:w="0" w:type="dxa"/>
                    <w:right w:w="28" w:type="dxa"/>
                  </w:tcMar>
                  <w:vAlign w:val="center"/>
                </w:tcPr>
                <w:p w14:paraId="3792CA52">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574" w:type="dxa"/>
                  <w:vMerge w:val="continue"/>
                  <w:tcBorders>
                    <w:tl2br w:val="nil"/>
                    <w:tr2bl w:val="nil"/>
                  </w:tcBorders>
                  <w:noWrap w:val="0"/>
                  <w:tcMar>
                    <w:top w:w="0" w:type="dxa"/>
                    <w:left w:w="28" w:type="dxa"/>
                    <w:bottom w:w="0" w:type="dxa"/>
                    <w:right w:w="28" w:type="dxa"/>
                  </w:tcMar>
                  <w:vAlign w:val="center"/>
                </w:tcPr>
                <w:p w14:paraId="5AE2286D">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735" w:type="dxa"/>
                  <w:tcBorders>
                    <w:tl2br w:val="nil"/>
                    <w:tr2bl w:val="nil"/>
                  </w:tcBorders>
                  <w:noWrap w:val="0"/>
                  <w:tcMar>
                    <w:top w:w="0" w:type="dxa"/>
                    <w:left w:w="28" w:type="dxa"/>
                    <w:bottom w:w="0" w:type="dxa"/>
                    <w:right w:w="28" w:type="dxa"/>
                  </w:tcMar>
                  <w:vAlign w:val="center"/>
                </w:tcPr>
                <w:p w14:paraId="4CB24D6A">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总氮</w:t>
                  </w:r>
                </w:p>
              </w:tc>
              <w:tc>
                <w:tcPr>
                  <w:tcW w:w="682" w:type="dxa"/>
                  <w:tcBorders>
                    <w:tl2br w:val="nil"/>
                    <w:tr2bl w:val="nil"/>
                  </w:tcBorders>
                  <w:noWrap w:val="0"/>
                  <w:tcMar>
                    <w:top w:w="0" w:type="dxa"/>
                    <w:left w:w="28" w:type="dxa"/>
                    <w:bottom w:w="0" w:type="dxa"/>
                    <w:right w:w="28" w:type="dxa"/>
                  </w:tcMar>
                  <w:vAlign w:val="center"/>
                </w:tcPr>
                <w:p w14:paraId="180006DF">
                  <w:pPr>
                    <w:keepNext w:val="0"/>
                    <w:keepLines w:val="0"/>
                    <w:suppressLineNumbers w:val="0"/>
                    <w:spacing w:before="0" w:beforeAutospacing="0" w:after="0" w:afterAutospacing="0"/>
                    <w:ind w:left="0" w:right="0"/>
                    <w:jc w:val="center"/>
                    <w:rPr>
                      <w:rFonts w:hint="eastAsia" w:eastAsia="宋体"/>
                      <w:color w:val="auto"/>
                      <w:szCs w:val="21"/>
                      <w:lang w:eastAsia="zh-CN"/>
                    </w:rPr>
                  </w:pPr>
                  <w:r>
                    <w:rPr>
                      <w:rFonts w:hint="default"/>
                      <w:color w:val="auto"/>
                      <w:szCs w:val="21"/>
                    </w:rPr>
                    <w:t>4</w:t>
                  </w:r>
                  <w:r>
                    <w:rPr>
                      <w:rFonts w:hint="eastAsia"/>
                      <w:color w:val="auto"/>
                      <w:szCs w:val="21"/>
                      <w:lang w:val="en-US" w:eastAsia="zh-CN"/>
                    </w:rPr>
                    <w:t>5</w:t>
                  </w:r>
                </w:p>
              </w:tc>
              <w:tc>
                <w:tcPr>
                  <w:tcW w:w="738" w:type="dxa"/>
                  <w:tcBorders>
                    <w:tl2br w:val="nil"/>
                    <w:tr2bl w:val="nil"/>
                  </w:tcBorders>
                  <w:noWrap w:val="0"/>
                  <w:tcMar>
                    <w:top w:w="0" w:type="dxa"/>
                    <w:left w:w="28" w:type="dxa"/>
                    <w:bottom w:w="0" w:type="dxa"/>
                    <w:right w:w="28" w:type="dxa"/>
                  </w:tcMar>
                  <w:vAlign w:val="center"/>
                </w:tcPr>
                <w:p w14:paraId="10323908">
                  <w:pPr>
                    <w:keepNext w:val="0"/>
                    <w:keepLines w:val="0"/>
                    <w:widowControl/>
                    <w:suppressLineNumbers w:val="0"/>
                    <w:spacing w:before="0" w:beforeAutospacing="0" w:after="0" w:afterAutospacing="0"/>
                    <w:ind w:left="0" w:right="0"/>
                    <w:jc w:val="center"/>
                    <w:textAlignment w:val="center"/>
                    <w:rPr>
                      <w:rFonts w:hint="default"/>
                      <w:color w:val="auto"/>
                      <w:sz w:val="21"/>
                      <w:szCs w:val="21"/>
                    </w:rPr>
                  </w:pPr>
                  <w:r>
                    <w:rPr>
                      <w:rFonts w:hint="default" w:ascii="Times New Roman" w:hAnsi="Times New Roman" w:eastAsia="等线" w:cs="Times New Roman"/>
                      <w:i w:val="0"/>
                      <w:iCs w:val="0"/>
                      <w:color w:val="auto"/>
                      <w:kern w:val="0"/>
                      <w:sz w:val="21"/>
                      <w:szCs w:val="21"/>
                      <w:u w:val="none"/>
                      <w:lang w:val="en-US" w:eastAsia="zh-CN" w:bidi="ar"/>
                    </w:rPr>
                    <w:t xml:space="preserve">0.0051 </w:t>
                  </w:r>
                </w:p>
              </w:tc>
              <w:tc>
                <w:tcPr>
                  <w:tcW w:w="546" w:type="dxa"/>
                  <w:vMerge w:val="continue"/>
                  <w:tcBorders>
                    <w:tl2br w:val="nil"/>
                    <w:tr2bl w:val="nil"/>
                  </w:tcBorders>
                  <w:noWrap w:val="0"/>
                  <w:tcMar>
                    <w:top w:w="0" w:type="dxa"/>
                    <w:left w:w="28" w:type="dxa"/>
                    <w:bottom w:w="0" w:type="dxa"/>
                    <w:right w:w="28" w:type="dxa"/>
                  </w:tcMar>
                  <w:vAlign w:val="center"/>
                </w:tcPr>
                <w:p w14:paraId="2D7412D9">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719" w:type="dxa"/>
                  <w:gridSpan w:val="2"/>
                  <w:tcBorders>
                    <w:tl2br w:val="nil"/>
                    <w:tr2bl w:val="nil"/>
                  </w:tcBorders>
                  <w:noWrap w:val="0"/>
                  <w:tcMar>
                    <w:top w:w="0" w:type="dxa"/>
                    <w:left w:w="28" w:type="dxa"/>
                    <w:bottom w:w="0" w:type="dxa"/>
                    <w:right w:w="28" w:type="dxa"/>
                  </w:tcMar>
                  <w:vAlign w:val="center"/>
                </w:tcPr>
                <w:p w14:paraId="07A42A77">
                  <w:pPr>
                    <w:keepNext w:val="0"/>
                    <w:keepLines w:val="0"/>
                    <w:suppressLineNumbers w:val="0"/>
                    <w:spacing w:before="0" w:beforeAutospacing="0" w:after="0" w:afterAutospacing="0"/>
                    <w:ind w:left="0" w:right="0"/>
                    <w:jc w:val="center"/>
                    <w:rPr>
                      <w:rFonts w:hint="eastAsia" w:eastAsia="宋体"/>
                      <w:color w:val="auto"/>
                      <w:szCs w:val="21"/>
                      <w:lang w:eastAsia="zh-CN"/>
                    </w:rPr>
                  </w:pPr>
                  <w:r>
                    <w:rPr>
                      <w:rFonts w:hint="default"/>
                      <w:color w:val="auto"/>
                      <w:szCs w:val="21"/>
                    </w:rPr>
                    <w:t>4</w:t>
                  </w:r>
                  <w:r>
                    <w:rPr>
                      <w:rFonts w:hint="eastAsia"/>
                      <w:color w:val="auto"/>
                      <w:szCs w:val="21"/>
                      <w:lang w:val="en-US" w:eastAsia="zh-CN"/>
                    </w:rPr>
                    <w:t>5</w:t>
                  </w:r>
                </w:p>
              </w:tc>
              <w:tc>
                <w:tcPr>
                  <w:tcW w:w="672" w:type="dxa"/>
                  <w:tcBorders>
                    <w:tl2br w:val="nil"/>
                    <w:tr2bl w:val="nil"/>
                  </w:tcBorders>
                  <w:noWrap w:val="0"/>
                  <w:tcMar>
                    <w:top w:w="0" w:type="dxa"/>
                    <w:left w:w="28" w:type="dxa"/>
                    <w:bottom w:w="0" w:type="dxa"/>
                    <w:right w:w="28" w:type="dxa"/>
                  </w:tcMar>
                  <w:vAlign w:val="center"/>
                </w:tcPr>
                <w:p w14:paraId="1801F50E">
                  <w:pPr>
                    <w:keepNext w:val="0"/>
                    <w:keepLines w:val="0"/>
                    <w:widowControl/>
                    <w:suppressLineNumbers w:val="0"/>
                    <w:spacing w:before="0" w:beforeAutospacing="0" w:after="0" w:afterAutospacing="0"/>
                    <w:ind w:left="0" w:right="0"/>
                    <w:jc w:val="center"/>
                    <w:textAlignment w:val="center"/>
                    <w:rPr>
                      <w:rFonts w:hint="default"/>
                      <w:color w:val="auto"/>
                      <w:sz w:val="21"/>
                      <w:szCs w:val="21"/>
                    </w:rPr>
                  </w:pPr>
                  <w:r>
                    <w:rPr>
                      <w:rFonts w:hint="default" w:ascii="Times New Roman" w:hAnsi="Times New Roman" w:eastAsia="等线" w:cs="Times New Roman"/>
                      <w:i w:val="0"/>
                      <w:iCs w:val="0"/>
                      <w:color w:val="auto"/>
                      <w:kern w:val="0"/>
                      <w:sz w:val="21"/>
                      <w:szCs w:val="21"/>
                      <w:u w:val="none"/>
                      <w:lang w:val="en-US" w:eastAsia="zh-CN" w:bidi="ar"/>
                    </w:rPr>
                    <w:t xml:space="preserve">0.0051 </w:t>
                  </w:r>
                </w:p>
              </w:tc>
              <w:tc>
                <w:tcPr>
                  <w:tcW w:w="842" w:type="dxa"/>
                  <w:tcBorders>
                    <w:tl2br w:val="nil"/>
                    <w:tr2bl w:val="nil"/>
                  </w:tcBorders>
                  <w:noWrap w:val="0"/>
                  <w:tcMar>
                    <w:top w:w="0" w:type="dxa"/>
                    <w:left w:w="28" w:type="dxa"/>
                    <w:bottom w:w="0" w:type="dxa"/>
                    <w:right w:w="28" w:type="dxa"/>
                  </w:tcMar>
                  <w:vAlign w:val="center"/>
                </w:tcPr>
                <w:p w14:paraId="294F4046">
                  <w:pPr>
                    <w:keepNext w:val="0"/>
                    <w:keepLines w:val="0"/>
                    <w:widowControl/>
                    <w:suppressLineNumbers w:val="0"/>
                    <w:adjustRightInd w:val="0"/>
                    <w:snapToGrid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rPr>
                    <w:t>≤70</w:t>
                  </w:r>
                </w:p>
              </w:tc>
              <w:tc>
                <w:tcPr>
                  <w:tcW w:w="1124" w:type="dxa"/>
                  <w:tcBorders>
                    <w:tl2br w:val="nil"/>
                    <w:tr2bl w:val="nil"/>
                  </w:tcBorders>
                  <w:noWrap w:val="0"/>
                  <w:tcMar>
                    <w:top w:w="0" w:type="dxa"/>
                    <w:left w:w="28" w:type="dxa"/>
                    <w:bottom w:w="0" w:type="dxa"/>
                    <w:right w:w="28" w:type="dxa"/>
                  </w:tcMar>
                  <w:vAlign w:val="center"/>
                </w:tcPr>
                <w:p w14:paraId="6221D5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eastAsia="宋体"/>
                      <w:color w:val="auto"/>
                      <w:szCs w:val="21"/>
                      <w:lang w:val="en-US" w:eastAsia="zh-CN"/>
                    </w:rPr>
                  </w:pPr>
                  <w:r>
                    <w:rPr>
                      <w:rFonts w:hint="default"/>
                      <w:color w:val="auto"/>
                      <w:kern w:val="0"/>
                      <w:sz w:val="21"/>
                      <w:szCs w:val="21"/>
                      <w:highlight w:val="none"/>
                      <w:lang w:bidi="ar"/>
                    </w:rPr>
                    <w:t>≤</w:t>
                  </w:r>
                  <w:r>
                    <w:rPr>
                      <w:rFonts w:hint="eastAsia"/>
                      <w:color w:val="auto"/>
                      <w:kern w:val="0"/>
                      <w:sz w:val="21"/>
                      <w:szCs w:val="21"/>
                      <w:highlight w:val="none"/>
                      <w:lang w:val="en-US" w:eastAsia="zh-CN" w:bidi="ar"/>
                    </w:rPr>
                    <w:t>10（12）</w:t>
                  </w:r>
                </w:p>
              </w:tc>
              <w:tc>
                <w:tcPr>
                  <w:tcW w:w="765" w:type="dxa"/>
                  <w:tcBorders>
                    <w:tl2br w:val="nil"/>
                    <w:tr2bl w:val="nil"/>
                  </w:tcBorders>
                  <w:noWrap w:val="0"/>
                  <w:tcMar>
                    <w:top w:w="0" w:type="dxa"/>
                    <w:left w:w="28" w:type="dxa"/>
                    <w:bottom w:w="0" w:type="dxa"/>
                    <w:right w:w="28" w:type="dxa"/>
                  </w:tcMar>
                  <w:vAlign w:val="center"/>
                </w:tcPr>
                <w:p w14:paraId="4584CA37">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等线" w:cs="Times New Roman"/>
                      <w:i w:val="0"/>
                      <w:iCs w:val="0"/>
                      <w:color w:val="auto"/>
                      <w:kern w:val="0"/>
                      <w:sz w:val="21"/>
                      <w:szCs w:val="21"/>
                      <w:u w:val="none"/>
                      <w:lang w:val="en-US" w:eastAsia="zh-CN" w:bidi="ar"/>
                    </w:rPr>
                    <w:t xml:space="preserve">0.0011 </w:t>
                  </w:r>
                </w:p>
              </w:tc>
              <w:tc>
                <w:tcPr>
                  <w:tcW w:w="850" w:type="dxa"/>
                  <w:vMerge w:val="continue"/>
                  <w:tcBorders>
                    <w:tl2br w:val="nil"/>
                    <w:tr2bl w:val="nil"/>
                  </w:tcBorders>
                  <w:noWrap w:val="0"/>
                  <w:tcMar>
                    <w:top w:w="0" w:type="dxa"/>
                    <w:left w:w="28" w:type="dxa"/>
                    <w:bottom w:w="0" w:type="dxa"/>
                    <w:right w:w="28" w:type="dxa"/>
                  </w:tcMar>
                  <w:vAlign w:val="center"/>
                </w:tcPr>
                <w:p w14:paraId="1C115C46">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r>
            <w:tr w14:paraId="385538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1" w:type="dxa"/>
                  <w:vMerge w:val="continue"/>
                  <w:tcBorders>
                    <w:tl2br w:val="nil"/>
                    <w:tr2bl w:val="nil"/>
                  </w:tcBorders>
                  <w:noWrap w:val="0"/>
                  <w:tcMar>
                    <w:top w:w="0" w:type="dxa"/>
                    <w:left w:w="28" w:type="dxa"/>
                    <w:bottom w:w="0" w:type="dxa"/>
                    <w:right w:w="28" w:type="dxa"/>
                  </w:tcMar>
                  <w:vAlign w:val="center"/>
                </w:tcPr>
                <w:p w14:paraId="79A1F4F1">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492" w:type="dxa"/>
                  <w:vMerge w:val="continue"/>
                  <w:tcBorders>
                    <w:tl2br w:val="nil"/>
                    <w:tr2bl w:val="nil"/>
                  </w:tcBorders>
                  <w:noWrap w:val="0"/>
                  <w:tcMar>
                    <w:top w:w="0" w:type="dxa"/>
                    <w:left w:w="28" w:type="dxa"/>
                    <w:bottom w:w="0" w:type="dxa"/>
                    <w:right w:w="28" w:type="dxa"/>
                  </w:tcMar>
                  <w:vAlign w:val="center"/>
                </w:tcPr>
                <w:p w14:paraId="45EDA337">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574" w:type="dxa"/>
                  <w:vMerge w:val="continue"/>
                  <w:tcBorders>
                    <w:tl2br w:val="nil"/>
                    <w:tr2bl w:val="nil"/>
                  </w:tcBorders>
                  <w:noWrap w:val="0"/>
                  <w:tcMar>
                    <w:top w:w="0" w:type="dxa"/>
                    <w:left w:w="28" w:type="dxa"/>
                    <w:bottom w:w="0" w:type="dxa"/>
                    <w:right w:w="28" w:type="dxa"/>
                  </w:tcMar>
                  <w:vAlign w:val="center"/>
                </w:tcPr>
                <w:p w14:paraId="0CD26616">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735" w:type="dxa"/>
                  <w:tcBorders>
                    <w:tl2br w:val="nil"/>
                    <w:tr2bl w:val="nil"/>
                  </w:tcBorders>
                  <w:noWrap w:val="0"/>
                  <w:tcMar>
                    <w:top w:w="0" w:type="dxa"/>
                    <w:left w:w="28" w:type="dxa"/>
                    <w:bottom w:w="0" w:type="dxa"/>
                    <w:right w:w="28" w:type="dxa"/>
                  </w:tcMar>
                  <w:vAlign w:val="center"/>
                </w:tcPr>
                <w:p w14:paraId="56904CDE">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总磷</w:t>
                  </w:r>
                </w:p>
              </w:tc>
              <w:tc>
                <w:tcPr>
                  <w:tcW w:w="682" w:type="dxa"/>
                  <w:tcBorders>
                    <w:tl2br w:val="nil"/>
                    <w:tr2bl w:val="nil"/>
                  </w:tcBorders>
                  <w:noWrap w:val="0"/>
                  <w:tcMar>
                    <w:top w:w="0" w:type="dxa"/>
                    <w:left w:w="28" w:type="dxa"/>
                    <w:bottom w:w="0" w:type="dxa"/>
                    <w:right w:w="28" w:type="dxa"/>
                  </w:tcMar>
                  <w:vAlign w:val="center"/>
                </w:tcPr>
                <w:p w14:paraId="2F41ECEA">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5</w:t>
                  </w:r>
                </w:p>
              </w:tc>
              <w:tc>
                <w:tcPr>
                  <w:tcW w:w="738" w:type="dxa"/>
                  <w:tcBorders>
                    <w:tl2br w:val="nil"/>
                    <w:tr2bl w:val="nil"/>
                  </w:tcBorders>
                  <w:noWrap w:val="0"/>
                  <w:tcMar>
                    <w:top w:w="0" w:type="dxa"/>
                    <w:left w:w="28" w:type="dxa"/>
                    <w:bottom w:w="0" w:type="dxa"/>
                    <w:right w:w="28" w:type="dxa"/>
                  </w:tcMar>
                  <w:vAlign w:val="center"/>
                </w:tcPr>
                <w:p w14:paraId="105D1D9C">
                  <w:pPr>
                    <w:keepNext w:val="0"/>
                    <w:keepLines w:val="0"/>
                    <w:widowControl/>
                    <w:suppressLineNumbers w:val="0"/>
                    <w:spacing w:before="0" w:beforeAutospacing="0" w:after="0" w:afterAutospacing="0"/>
                    <w:ind w:left="0" w:right="0"/>
                    <w:jc w:val="center"/>
                    <w:textAlignment w:val="center"/>
                    <w:rPr>
                      <w:rFonts w:hint="default"/>
                      <w:color w:val="auto"/>
                      <w:sz w:val="21"/>
                      <w:szCs w:val="21"/>
                    </w:rPr>
                  </w:pPr>
                  <w:r>
                    <w:rPr>
                      <w:rFonts w:hint="default" w:ascii="Times New Roman" w:hAnsi="Times New Roman" w:eastAsia="等线" w:cs="Times New Roman"/>
                      <w:i w:val="0"/>
                      <w:iCs w:val="0"/>
                      <w:color w:val="auto"/>
                      <w:kern w:val="0"/>
                      <w:sz w:val="21"/>
                      <w:szCs w:val="21"/>
                      <w:u w:val="none"/>
                      <w:lang w:val="en-US" w:eastAsia="zh-CN" w:bidi="ar"/>
                    </w:rPr>
                    <w:t xml:space="preserve">0.0006 </w:t>
                  </w:r>
                </w:p>
              </w:tc>
              <w:tc>
                <w:tcPr>
                  <w:tcW w:w="546" w:type="dxa"/>
                  <w:vMerge w:val="continue"/>
                  <w:tcBorders>
                    <w:tl2br w:val="nil"/>
                    <w:tr2bl w:val="nil"/>
                  </w:tcBorders>
                  <w:noWrap w:val="0"/>
                  <w:tcMar>
                    <w:top w:w="0" w:type="dxa"/>
                    <w:left w:w="28" w:type="dxa"/>
                    <w:bottom w:w="0" w:type="dxa"/>
                    <w:right w:w="28" w:type="dxa"/>
                  </w:tcMar>
                  <w:vAlign w:val="center"/>
                </w:tcPr>
                <w:p w14:paraId="20D4E7C9">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719" w:type="dxa"/>
                  <w:gridSpan w:val="2"/>
                  <w:tcBorders>
                    <w:tl2br w:val="nil"/>
                    <w:tr2bl w:val="nil"/>
                  </w:tcBorders>
                  <w:noWrap w:val="0"/>
                  <w:tcMar>
                    <w:top w:w="0" w:type="dxa"/>
                    <w:left w:w="28" w:type="dxa"/>
                    <w:bottom w:w="0" w:type="dxa"/>
                    <w:right w:w="28" w:type="dxa"/>
                  </w:tcMar>
                  <w:vAlign w:val="center"/>
                </w:tcPr>
                <w:p w14:paraId="36A786C4">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5</w:t>
                  </w:r>
                </w:p>
              </w:tc>
              <w:tc>
                <w:tcPr>
                  <w:tcW w:w="672" w:type="dxa"/>
                  <w:tcBorders>
                    <w:tl2br w:val="nil"/>
                    <w:tr2bl w:val="nil"/>
                  </w:tcBorders>
                  <w:noWrap w:val="0"/>
                  <w:tcMar>
                    <w:top w:w="0" w:type="dxa"/>
                    <w:left w:w="28" w:type="dxa"/>
                    <w:bottom w:w="0" w:type="dxa"/>
                    <w:right w:w="28" w:type="dxa"/>
                  </w:tcMar>
                  <w:vAlign w:val="center"/>
                </w:tcPr>
                <w:p w14:paraId="17E8687B">
                  <w:pPr>
                    <w:keepNext w:val="0"/>
                    <w:keepLines w:val="0"/>
                    <w:widowControl/>
                    <w:suppressLineNumbers w:val="0"/>
                    <w:spacing w:before="0" w:beforeAutospacing="0" w:after="0" w:afterAutospacing="0"/>
                    <w:ind w:left="0" w:right="0"/>
                    <w:jc w:val="center"/>
                    <w:textAlignment w:val="center"/>
                    <w:rPr>
                      <w:rFonts w:hint="default"/>
                      <w:color w:val="auto"/>
                      <w:sz w:val="21"/>
                      <w:szCs w:val="21"/>
                    </w:rPr>
                  </w:pPr>
                  <w:r>
                    <w:rPr>
                      <w:rFonts w:hint="default" w:ascii="Times New Roman" w:hAnsi="Times New Roman" w:eastAsia="等线" w:cs="Times New Roman"/>
                      <w:i w:val="0"/>
                      <w:iCs w:val="0"/>
                      <w:color w:val="auto"/>
                      <w:kern w:val="0"/>
                      <w:sz w:val="21"/>
                      <w:szCs w:val="21"/>
                      <w:u w:val="none"/>
                      <w:lang w:val="en-US" w:eastAsia="zh-CN" w:bidi="ar"/>
                    </w:rPr>
                    <w:t xml:space="preserve">0.0006 </w:t>
                  </w:r>
                </w:p>
              </w:tc>
              <w:tc>
                <w:tcPr>
                  <w:tcW w:w="842" w:type="dxa"/>
                  <w:tcBorders>
                    <w:tl2br w:val="nil"/>
                    <w:tr2bl w:val="nil"/>
                  </w:tcBorders>
                  <w:noWrap w:val="0"/>
                  <w:tcMar>
                    <w:top w:w="0" w:type="dxa"/>
                    <w:left w:w="28" w:type="dxa"/>
                    <w:bottom w:w="0" w:type="dxa"/>
                    <w:right w:w="28" w:type="dxa"/>
                  </w:tcMar>
                  <w:vAlign w:val="center"/>
                </w:tcPr>
                <w:p w14:paraId="0230FE66">
                  <w:pPr>
                    <w:keepNext w:val="0"/>
                    <w:keepLines w:val="0"/>
                    <w:widowControl/>
                    <w:suppressLineNumbers w:val="0"/>
                    <w:adjustRightInd w:val="0"/>
                    <w:snapToGrid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rPr>
                    <w:t>≤8</w:t>
                  </w:r>
                </w:p>
              </w:tc>
              <w:tc>
                <w:tcPr>
                  <w:tcW w:w="1124" w:type="dxa"/>
                  <w:tcBorders>
                    <w:tl2br w:val="nil"/>
                    <w:tr2bl w:val="nil"/>
                  </w:tcBorders>
                  <w:noWrap w:val="0"/>
                  <w:tcMar>
                    <w:top w:w="0" w:type="dxa"/>
                    <w:left w:w="28" w:type="dxa"/>
                    <w:bottom w:w="0" w:type="dxa"/>
                    <w:right w:w="28" w:type="dxa"/>
                  </w:tcMar>
                  <w:vAlign w:val="center"/>
                </w:tcPr>
                <w:p w14:paraId="4CEECC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color w:val="auto"/>
                      <w:szCs w:val="21"/>
                      <w:lang w:val="en-US"/>
                    </w:rPr>
                  </w:pPr>
                  <w:r>
                    <w:rPr>
                      <w:rFonts w:hint="default"/>
                      <w:color w:val="auto"/>
                      <w:kern w:val="0"/>
                      <w:sz w:val="21"/>
                      <w:szCs w:val="21"/>
                      <w:highlight w:val="none"/>
                      <w:lang w:bidi="ar"/>
                    </w:rPr>
                    <w:t>≤</w:t>
                  </w:r>
                  <w:r>
                    <w:rPr>
                      <w:rFonts w:hint="eastAsia"/>
                      <w:color w:val="auto"/>
                      <w:kern w:val="0"/>
                      <w:sz w:val="21"/>
                      <w:szCs w:val="21"/>
                      <w:highlight w:val="none"/>
                      <w:lang w:val="en-US" w:eastAsia="zh-CN" w:bidi="ar"/>
                    </w:rPr>
                    <w:t>0.3</w:t>
                  </w:r>
                </w:p>
              </w:tc>
              <w:tc>
                <w:tcPr>
                  <w:tcW w:w="765" w:type="dxa"/>
                  <w:tcBorders>
                    <w:tl2br w:val="nil"/>
                    <w:tr2bl w:val="nil"/>
                  </w:tcBorders>
                  <w:noWrap w:val="0"/>
                  <w:tcMar>
                    <w:top w:w="0" w:type="dxa"/>
                    <w:left w:w="28" w:type="dxa"/>
                    <w:bottom w:w="0" w:type="dxa"/>
                    <w:right w:w="28" w:type="dxa"/>
                  </w:tcMar>
                  <w:vAlign w:val="center"/>
                </w:tcPr>
                <w:p w14:paraId="2B722A65">
                  <w:pPr>
                    <w:keepNext w:val="0"/>
                    <w:keepLines w:val="0"/>
                    <w:widowControl/>
                    <w:suppressLineNumbers w:val="0"/>
                    <w:spacing w:before="0" w:beforeAutospacing="0" w:after="0" w:afterAutospacing="0"/>
                    <w:ind w:left="0" w:right="0"/>
                    <w:jc w:val="center"/>
                    <w:textAlignment w:val="center"/>
                    <w:rPr>
                      <w:rFonts w:hint="default"/>
                      <w:color w:val="auto"/>
                      <w:szCs w:val="21"/>
                      <w:lang w:val="en-US"/>
                    </w:rPr>
                  </w:pPr>
                  <w:r>
                    <w:rPr>
                      <w:rFonts w:hint="eastAsia" w:eastAsia="等线" w:cs="Times New Roman"/>
                      <w:i w:val="0"/>
                      <w:iCs w:val="0"/>
                      <w:color w:val="auto"/>
                      <w:kern w:val="0"/>
                      <w:sz w:val="21"/>
                      <w:szCs w:val="21"/>
                      <w:u w:val="none"/>
                      <w:lang w:val="en-US" w:eastAsia="zh-CN" w:bidi="ar"/>
                    </w:rPr>
                    <w:t>0.00004</w:t>
                  </w:r>
                </w:p>
              </w:tc>
              <w:tc>
                <w:tcPr>
                  <w:tcW w:w="850" w:type="dxa"/>
                  <w:vMerge w:val="continue"/>
                  <w:tcBorders>
                    <w:tl2br w:val="nil"/>
                    <w:tr2bl w:val="nil"/>
                  </w:tcBorders>
                  <w:noWrap w:val="0"/>
                  <w:tcMar>
                    <w:top w:w="0" w:type="dxa"/>
                    <w:left w:w="28" w:type="dxa"/>
                    <w:bottom w:w="0" w:type="dxa"/>
                    <w:right w:w="28" w:type="dxa"/>
                  </w:tcMar>
                  <w:vAlign w:val="center"/>
                </w:tcPr>
                <w:p w14:paraId="6AF95799">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r>
            <w:tr w14:paraId="2F3582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1" w:type="dxa"/>
                  <w:vMerge w:val="restart"/>
                  <w:tcBorders>
                    <w:tl2br w:val="nil"/>
                    <w:tr2bl w:val="nil"/>
                  </w:tcBorders>
                  <w:noWrap w:val="0"/>
                  <w:tcMar>
                    <w:top w:w="0" w:type="dxa"/>
                    <w:left w:w="28" w:type="dxa"/>
                    <w:bottom w:w="0" w:type="dxa"/>
                    <w:right w:w="28" w:type="dxa"/>
                  </w:tcMar>
                  <w:vAlign w:val="center"/>
                </w:tcPr>
                <w:p w14:paraId="0C52150B">
                  <w:pPr>
                    <w:keepNext w:val="0"/>
                    <w:keepLines w:val="0"/>
                    <w:suppressLineNumbers w:val="0"/>
                    <w:adjustRightInd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员工淋浴</w:t>
                  </w:r>
                </w:p>
              </w:tc>
              <w:tc>
                <w:tcPr>
                  <w:tcW w:w="492" w:type="dxa"/>
                  <w:vMerge w:val="restart"/>
                  <w:tcBorders>
                    <w:tl2br w:val="nil"/>
                    <w:tr2bl w:val="nil"/>
                  </w:tcBorders>
                  <w:noWrap w:val="0"/>
                  <w:tcMar>
                    <w:top w:w="0" w:type="dxa"/>
                    <w:left w:w="28" w:type="dxa"/>
                    <w:bottom w:w="0" w:type="dxa"/>
                    <w:right w:w="28" w:type="dxa"/>
                  </w:tcMar>
                  <w:vAlign w:val="center"/>
                </w:tcPr>
                <w:p w14:paraId="1E3702B7">
                  <w:pPr>
                    <w:keepNext w:val="0"/>
                    <w:keepLines w:val="0"/>
                    <w:suppressLineNumbers w:val="0"/>
                    <w:adjustRightInd w:val="0"/>
                    <w:snapToGrid w:val="0"/>
                    <w:spacing w:before="0" w:beforeAutospacing="0" w:after="0" w:afterAutospacing="0"/>
                    <w:ind w:left="0" w:right="0"/>
                    <w:jc w:val="center"/>
                    <w:rPr>
                      <w:rFonts w:hint="eastAsia" w:eastAsia="宋体"/>
                      <w:color w:val="auto"/>
                      <w:szCs w:val="21"/>
                      <w:lang w:val="en-US" w:eastAsia="zh-CN"/>
                    </w:rPr>
                  </w:pPr>
                  <w:r>
                    <w:rPr>
                      <w:rFonts w:hint="eastAsia"/>
                      <w:color w:val="auto"/>
                      <w:szCs w:val="21"/>
                      <w:lang w:val="en-US" w:eastAsia="zh-CN"/>
                    </w:rPr>
                    <w:t>淋浴废水</w:t>
                  </w:r>
                </w:p>
              </w:tc>
              <w:tc>
                <w:tcPr>
                  <w:tcW w:w="574" w:type="dxa"/>
                  <w:vMerge w:val="restart"/>
                  <w:tcBorders>
                    <w:tl2br w:val="nil"/>
                    <w:tr2bl w:val="nil"/>
                  </w:tcBorders>
                  <w:noWrap w:val="0"/>
                  <w:tcMar>
                    <w:top w:w="0" w:type="dxa"/>
                    <w:left w:w="28" w:type="dxa"/>
                    <w:bottom w:w="0" w:type="dxa"/>
                    <w:right w:w="28" w:type="dxa"/>
                  </w:tcMar>
                  <w:vAlign w:val="center"/>
                </w:tcPr>
                <w:p w14:paraId="493629D4">
                  <w:pPr>
                    <w:keepNext w:val="0"/>
                    <w:keepLines w:val="0"/>
                    <w:suppressLineNumbers w:val="0"/>
                    <w:adjustRightInd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200</w:t>
                  </w:r>
                </w:p>
              </w:tc>
              <w:tc>
                <w:tcPr>
                  <w:tcW w:w="735" w:type="dxa"/>
                  <w:tcBorders>
                    <w:tl2br w:val="nil"/>
                    <w:tr2bl w:val="nil"/>
                  </w:tcBorders>
                  <w:noWrap w:val="0"/>
                  <w:tcMar>
                    <w:top w:w="0" w:type="dxa"/>
                    <w:left w:w="28" w:type="dxa"/>
                    <w:bottom w:w="0" w:type="dxa"/>
                    <w:right w:w="28" w:type="dxa"/>
                  </w:tcMar>
                  <w:vAlign w:val="center"/>
                </w:tcPr>
                <w:p w14:paraId="100DF6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color w:val="auto"/>
                      <w:kern w:val="0"/>
                      <w:sz w:val="21"/>
                      <w:szCs w:val="21"/>
                      <w:highlight w:val="none"/>
                      <w:lang w:bidi="ar"/>
                    </w:rPr>
                  </w:pPr>
                  <w:r>
                    <w:rPr>
                      <w:rFonts w:hint="default"/>
                      <w:color w:val="auto"/>
                      <w:szCs w:val="21"/>
                    </w:rPr>
                    <w:t>pH</w:t>
                  </w:r>
                </w:p>
              </w:tc>
              <w:tc>
                <w:tcPr>
                  <w:tcW w:w="1420" w:type="dxa"/>
                  <w:gridSpan w:val="2"/>
                  <w:tcBorders>
                    <w:tl2br w:val="nil"/>
                    <w:tr2bl w:val="nil"/>
                  </w:tcBorders>
                  <w:noWrap w:val="0"/>
                  <w:tcMar>
                    <w:top w:w="0" w:type="dxa"/>
                    <w:left w:w="28" w:type="dxa"/>
                    <w:bottom w:w="0" w:type="dxa"/>
                    <w:right w:w="28" w:type="dxa"/>
                  </w:tcMar>
                  <w:vAlign w:val="center"/>
                </w:tcPr>
                <w:p w14:paraId="0F403E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color w:val="auto"/>
                      <w:kern w:val="0"/>
                      <w:szCs w:val="21"/>
                      <w:lang w:bidi="ar"/>
                    </w:rPr>
                    <w:t>6~9</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546" w:type="dxa"/>
                  <w:vMerge w:val="continue"/>
                  <w:tcBorders>
                    <w:tl2br w:val="nil"/>
                    <w:tr2bl w:val="nil"/>
                  </w:tcBorders>
                  <w:noWrap w:val="0"/>
                  <w:tcMar>
                    <w:top w:w="0" w:type="dxa"/>
                    <w:left w:w="28" w:type="dxa"/>
                    <w:bottom w:w="0" w:type="dxa"/>
                    <w:right w:w="28" w:type="dxa"/>
                  </w:tcMar>
                  <w:vAlign w:val="center"/>
                </w:tcPr>
                <w:p w14:paraId="36B33DF5">
                  <w:pPr>
                    <w:keepNext w:val="0"/>
                    <w:keepLines w:val="0"/>
                    <w:suppressLineNumbers w:val="0"/>
                    <w:adjustRightInd w:val="0"/>
                    <w:snapToGrid w:val="0"/>
                    <w:spacing w:before="0" w:beforeAutospacing="0" w:after="0" w:afterAutospacing="0"/>
                    <w:ind w:left="0" w:right="0"/>
                    <w:jc w:val="center"/>
                    <w:rPr>
                      <w:rFonts w:hint="eastAsia" w:eastAsia="宋体"/>
                      <w:color w:val="auto"/>
                      <w:szCs w:val="21"/>
                      <w:lang w:val="en-US" w:eastAsia="zh-CN"/>
                    </w:rPr>
                  </w:pPr>
                </w:p>
              </w:tc>
              <w:tc>
                <w:tcPr>
                  <w:tcW w:w="1391" w:type="dxa"/>
                  <w:gridSpan w:val="3"/>
                  <w:tcBorders>
                    <w:tl2br w:val="nil"/>
                    <w:tr2bl w:val="nil"/>
                  </w:tcBorders>
                  <w:noWrap w:val="0"/>
                  <w:tcMar>
                    <w:top w:w="0" w:type="dxa"/>
                    <w:left w:w="28" w:type="dxa"/>
                    <w:bottom w:w="0" w:type="dxa"/>
                    <w:right w:w="28" w:type="dxa"/>
                  </w:tcMar>
                  <w:vAlign w:val="center"/>
                </w:tcPr>
                <w:p w14:paraId="43263A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color w:val="auto"/>
                      <w:kern w:val="0"/>
                      <w:szCs w:val="21"/>
                      <w:lang w:bidi="ar"/>
                    </w:rPr>
                    <w:t>6~9</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842" w:type="dxa"/>
                  <w:tcBorders>
                    <w:tl2br w:val="nil"/>
                    <w:tr2bl w:val="nil"/>
                  </w:tcBorders>
                  <w:noWrap w:val="0"/>
                  <w:tcMar>
                    <w:top w:w="0" w:type="dxa"/>
                    <w:left w:w="28" w:type="dxa"/>
                    <w:bottom w:w="0" w:type="dxa"/>
                    <w:right w:w="28" w:type="dxa"/>
                  </w:tcMar>
                  <w:vAlign w:val="center"/>
                </w:tcPr>
                <w:p w14:paraId="33FA5947">
                  <w:pPr>
                    <w:keepNext w:val="0"/>
                    <w:keepLines w:val="0"/>
                    <w:widowControl/>
                    <w:suppressLineNumbers w:val="0"/>
                    <w:adjustRightInd w:val="0"/>
                    <w:snapToGrid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6~9</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1889" w:type="dxa"/>
                  <w:gridSpan w:val="2"/>
                  <w:tcBorders>
                    <w:tl2br w:val="nil"/>
                    <w:tr2bl w:val="nil"/>
                  </w:tcBorders>
                  <w:noWrap w:val="0"/>
                  <w:tcMar>
                    <w:top w:w="0" w:type="dxa"/>
                    <w:left w:w="28" w:type="dxa"/>
                    <w:bottom w:w="0" w:type="dxa"/>
                    <w:right w:w="28" w:type="dxa"/>
                  </w:tcMar>
                  <w:vAlign w:val="center"/>
                </w:tcPr>
                <w:p w14:paraId="5CF2849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
                    </w:rPr>
                  </w:pPr>
                  <w:r>
                    <w:rPr>
                      <w:rFonts w:hint="default"/>
                      <w:color w:val="auto"/>
                      <w:kern w:val="0"/>
                      <w:szCs w:val="21"/>
                      <w:lang w:bidi="ar"/>
                    </w:rPr>
                    <w:t>6~9</w:t>
                  </w:r>
                </w:p>
              </w:tc>
              <w:tc>
                <w:tcPr>
                  <w:tcW w:w="850" w:type="dxa"/>
                  <w:vMerge w:val="continue"/>
                  <w:tcBorders>
                    <w:tl2br w:val="nil"/>
                    <w:tr2bl w:val="nil"/>
                  </w:tcBorders>
                  <w:shd w:val="clear" w:color="auto" w:fill="auto"/>
                  <w:noWrap w:val="0"/>
                  <w:tcMar>
                    <w:top w:w="0" w:type="dxa"/>
                    <w:left w:w="28" w:type="dxa"/>
                    <w:bottom w:w="0" w:type="dxa"/>
                    <w:right w:w="28" w:type="dxa"/>
                  </w:tcMar>
                  <w:vAlign w:val="center"/>
                </w:tcPr>
                <w:p w14:paraId="0A0D7EE2">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SA"/>
                    </w:rPr>
                  </w:pPr>
                </w:p>
              </w:tc>
            </w:tr>
            <w:tr w14:paraId="3670EC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1" w:type="dxa"/>
                  <w:vMerge w:val="continue"/>
                  <w:tcBorders>
                    <w:tl2br w:val="nil"/>
                    <w:tr2bl w:val="nil"/>
                  </w:tcBorders>
                  <w:noWrap w:val="0"/>
                  <w:tcMar>
                    <w:top w:w="0" w:type="dxa"/>
                    <w:left w:w="28" w:type="dxa"/>
                    <w:bottom w:w="0" w:type="dxa"/>
                    <w:right w:w="28" w:type="dxa"/>
                  </w:tcMar>
                  <w:vAlign w:val="center"/>
                </w:tcPr>
                <w:p w14:paraId="1B5174D4">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492" w:type="dxa"/>
                  <w:vMerge w:val="continue"/>
                  <w:tcBorders>
                    <w:tl2br w:val="nil"/>
                    <w:tr2bl w:val="nil"/>
                  </w:tcBorders>
                  <w:noWrap w:val="0"/>
                  <w:tcMar>
                    <w:top w:w="0" w:type="dxa"/>
                    <w:left w:w="28" w:type="dxa"/>
                    <w:bottom w:w="0" w:type="dxa"/>
                    <w:right w:w="28" w:type="dxa"/>
                  </w:tcMar>
                  <w:vAlign w:val="center"/>
                </w:tcPr>
                <w:p w14:paraId="1219CD31">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574" w:type="dxa"/>
                  <w:vMerge w:val="continue"/>
                  <w:tcBorders>
                    <w:tl2br w:val="nil"/>
                    <w:tr2bl w:val="nil"/>
                  </w:tcBorders>
                  <w:noWrap w:val="0"/>
                  <w:tcMar>
                    <w:top w:w="0" w:type="dxa"/>
                    <w:left w:w="28" w:type="dxa"/>
                    <w:bottom w:w="0" w:type="dxa"/>
                    <w:right w:w="28" w:type="dxa"/>
                  </w:tcMar>
                  <w:vAlign w:val="center"/>
                </w:tcPr>
                <w:p w14:paraId="56A8ED28">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735" w:type="dxa"/>
                  <w:tcBorders>
                    <w:tl2br w:val="nil"/>
                    <w:tr2bl w:val="nil"/>
                  </w:tcBorders>
                  <w:noWrap w:val="0"/>
                  <w:tcMar>
                    <w:top w:w="0" w:type="dxa"/>
                    <w:left w:w="28" w:type="dxa"/>
                    <w:bottom w:w="0" w:type="dxa"/>
                    <w:right w:w="28" w:type="dxa"/>
                  </w:tcMar>
                  <w:vAlign w:val="center"/>
                </w:tcPr>
                <w:p w14:paraId="0CB9A0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color w:val="auto"/>
                      <w:szCs w:val="21"/>
                    </w:rPr>
                  </w:pPr>
                  <w:r>
                    <w:rPr>
                      <w:rFonts w:hint="default"/>
                      <w:color w:val="auto"/>
                      <w:kern w:val="0"/>
                      <w:sz w:val="21"/>
                      <w:szCs w:val="21"/>
                      <w:highlight w:val="none"/>
                      <w:lang w:bidi="ar"/>
                    </w:rPr>
                    <w:t>COD</w:t>
                  </w:r>
                </w:p>
              </w:tc>
              <w:tc>
                <w:tcPr>
                  <w:tcW w:w="682" w:type="dxa"/>
                  <w:tcBorders>
                    <w:tl2br w:val="nil"/>
                    <w:tr2bl w:val="nil"/>
                  </w:tcBorders>
                  <w:noWrap w:val="0"/>
                  <w:tcMar>
                    <w:top w:w="0" w:type="dxa"/>
                    <w:left w:w="28" w:type="dxa"/>
                    <w:bottom w:w="0" w:type="dxa"/>
                    <w:right w:w="28" w:type="dxa"/>
                  </w:tcMar>
                  <w:vAlign w:val="center"/>
                </w:tcPr>
                <w:p w14:paraId="3B670F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color w:val="auto"/>
                      <w:szCs w:val="21"/>
                    </w:rPr>
                  </w:pPr>
                  <w:r>
                    <w:rPr>
                      <w:rFonts w:hint="eastAsia"/>
                      <w:color w:val="auto"/>
                      <w:kern w:val="0"/>
                      <w:sz w:val="21"/>
                      <w:szCs w:val="21"/>
                      <w:highlight w:val="none"/>
                      <w:lang w:val="en-US" w:eastAsia="zh-CN" w:bidi="ar"/>
                    </w:rPr>
                    <w:t>500</w:t>
                  </w:r>
                </w:p>
              </w:tc>
              <w:tc>
                <w:tcPr>
                  <w:tcW w:w="738" w:type="dxa"/>
                  <w:tcBorders>
                    <w:tl2br w:val="nil"/>
                    <w:tr2bl w:val="nil"/>
                  </w:tcBorders>
                  <w:noWrap w:val="0"/>
                  <w:tcMar>
                    <w:top w:w="0" w:type="dxa"/>
                    <w:left w:w="28" w:type="dxa"/>
                    <w:bottom w:w="0" w:type="dxa"/>
                    <w:right w:w="28" w:type="dxa"/>
                  </w:tcMar>
                  <w:vAlign w:val="center"/>
                </w:tcPr>
                <w:p w14:paraId="5A3BA1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 xml:space="preserve">0.1000 </w:t>
                  </w:r>
                </w:p>
              </w:tc>
              <w:tc>
                <w:tcPr>
                  <w:tcW w:w="546" w:type="dxa"/>
                  <w:vMerge w:val="continue"/>
                  <w:tcBorders>
                    <w:tl2br w:val="nil"/>
                    <w:tr2bl w:val="nil"/>
                  </w:tcBorders>
                  <w:noWrap w:val="0"/>
                  <w:tcMar>
                    <w:top w:w="0" w:type="dxa"/>
                    <w:left w:w="28" w:type="dxa"/>
                    <w:bottom w:w="0" w:type="dxa"/>
                    <w:right w:w="28" w:type="dxa"/>
                  </w:tcMar>
                  <w:vAlign w:val="center"/>
                </w:tcPr>
                <w:p w14:paraId="2C65B7E4">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719" w:type="dxa"/>
                  <w:gridSpan w:val="2"/>
                  <w:tcBorders>
                    <w:tl2br w:val="nil"/>
                    <w:tr2bl w:val="nil"/>
                  </w:tcBorders>
                  <w:noWrap w:val="0"/>
                  <w:tcMar>
                    <w:top w:w="0" w:type="dxa"/>
                    <w:left w:w="28" w:type="dxa"/>
                    <w:bottom w:w="0" w:type="dxa"/>
                    <w:right w:w="28" w:type="dxa"/>
                  </w:tcMar>
                  <w:vAlign w:val="center"/>
                </w:tcPr>
                <w:p w14:paraId="0FEE87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4</w:t>
                  </w:r>
                  <w:r>
                    <w:rPr>
                      <w:rFonts w:hint="eastAsia" w:cs="Times New Roman"/>
                      <w:i w:val="0"/>
                      <w:iCs w:val="0"/>
                      <w:color w:val="auto"/>
                      <w:kern w:val="0"/>
                      <w:sz w:val="21"/>
                      <w:szCs w:val="21"/>
                      <w:u w:val="none"/>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0</w:t>
                  </w:r>
                </w:p>
              </w:tc>
              <w:tc>
                <w:tcPr>
                  <w:tcW w:w="672" w:type="dxa"/>
                  <w:tcBorders>
                    <w:tl2br w:val="nil"/>
                    <w:tr2bl w:val="nil"/>
                  </w:tcBorders>
                  <w:noWrap w:val="0"/>
                  <w:tcMar>
                    <w:top w:w="0" w:type="dxa"/>
                    <w:left w:w="28" w:type="dxa"/>
                    <w:bottom w:w="0" w:type="dxa"/>
                    <w:right w:w="28" w:type="dxa"/>
                  </w:tcMar>
                  <w:vAlign w:val="center"/>
                </w:tcPr>
                <w:p w14:paraId="0BFEE7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 xml:space="preserve">0.0900 </w:t>
                  </w:r>
                </w:p>
              </w:tc>
              <w:tc>
                <w:tcPr>
                  <w:tcW w:w="842" w:type="dxa"/>
                  <w:tcBorders>
                    <w:tl2br w:val="nil"/>
                    <w:tr2bl w:val="nil"/>
                  </w:tcBorders>
                  <w:noWrap w:val="0"/>
                  <w:tcMar>
                    <w:top w:w="0" w:type="dxa"/>
                    <w:left w:w="28" w:type="dxa"/>
                    <w:bottom w:w="0" w:type="dxa"/>
                    <w:right w:w="28" w:type="dxa"/>
                  </w:tcMar>
                  <w:vAlign w:val="center"/>
                </w:tcPr>
                <w:p w14:paraId="070F06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color w:val="auto"/>
                      <w:kern w:val="0"/>
                      <w:szCs w:val="21"/>
                    </w:rPr>
                  </w:pPr>
                  <w:r>
                    <w:rPr>
                      <w:rFonts w:hint="default" w:ascii="Times New Roman" w:hAnsi="Times New Roman" w:cs="Times New Roman"/>
                      <w:color w:val="auto"/>
                      <w:kern w:val="0"/>
                      <w:sz w:val="21"/>
                      <w:szCs w:val="21"/>
                      <w:highlight w:val="none"/>
                      <w:lang w:bidi="ar"/>
                    </w:rPr>
                    <w:t>≤500</w:t>
                  </w:r>
                </w:p>
              </w:tc>
              <w:tc>
                <w:tcPr>
                  <w:tcW w:w="1124" w:type="dxa"/>
                  <w:tcBorders>
                    <w:tl2br w:val="nil"/>
                    <w:tr2bl w:val="nil"/>
                  </w:tcBorders>
                  <w:noWrap w:val="0"/>
                  <w:tcMar>
                    <w:top w:w="0" w:type="dxa"/>
                    <w:left w:w="28" w:type="dxa"/>
                    <w:bottom w:w="0" w:type="dxa"/>
                    <w:right w:w="28" w:type="dxa"/>
                  </w:tcMar>
                  <w:vAlign w:val="center"/>
                </w:tcPr>
                <w:p w14:paraId="071505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eastAsia="宋体"/>
                      <w:color w:val="auto"/>
                      <w:szCs w:val="21"/>
                      <w:lang w:val="en-US" w:eastAsia="zh-CN"/>
                    </w:rPr>
                  </w:pPr>
                  <w:r>
                    <w:rPr>
                      <w:rFonts w:hint="default"/>
                      <w:color w:val="auto"/>
                      <w:kern w:val="0"/>
                      <w:sz w:val="21"/>
                      <w:szCs w:val="21"/>
                      <w:highlight w:val="none"/>
                      <w:lang w:bidi="ar"/>
                    </w:rPr>
                    <w:t>≤</w:t>
                  </w:r>
                  <w:r>
                    <w:rPr>
                      <w:rFonts w:hint="eastAsia"/>
                      <w:color w:val="auto"/>
                      <w:kern w:val="0"/>
                      <w:sz w:val="21"/>
                      <w:szCs w:val="21"/>
                      <w:highlight w:val="none"/>
                      <w:lang w:val="en-US" w:eastAsia="zh-CN" w:bidi="ar"/>
                    </w:rPr>
                    <w:t>40</w:t>
                  </w:r>
                </w:p>
              </w:tc>
              <w:tc>
                <w:tcPr>
                  <w:tcW w:w="765" w:type="dxa"/>
                  <w:tcBorders>
                    <w:tl2br w:val="nil"/>
                    <w:tr2bl w:val="nil"/>
                  </w:tcBorders>
                  <w:noWrap w:val="0"/>
                  <w:tcMar>
                    <w:top w:w="0" w:type="dxa"/>
                    <w:left w:w="28" w:type="dxa"/>
                    <w:bottom w:w="0" w:type="dxa"/>
                    <w:right w:w="28" w:type="dxa"/>
                  </w:tcMar>
                  <w:vAlign w:val="center"/>
                </w:tcPr>
                <w:p w14:paraId="6CCE23E1">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等线" w:cs="Times New Roman"/>
                      <w:i w:val="0"/>
                      <w:iCs w:val="0"/>
                      <w:color w:val="auto"/>
                      <w:kern w:val="0"/>
                      <w:sz w:val="21"/>
                      <w:szCs w:val="21"/>
                      <w:u w:val="none"/>
                      <w:lang w:val="en-US" w:eastAsia="zh-CN" w:bidi="ar"/>
                    </w:rPr>
                    <w:t xml:space="preserve">0.0080 </w:t>
                  </w:r>
                </w:p>
              </w:tc>
              <w:tc>
                <w:tcPr>
                  <w:tcW w:w="850" w:type="dxa"/>
                  <w:vMerge w:val="continue"/>
                  <w:tcBorders>
                    <w:tl2br w:val="nil"/>
                    <w:tr2bl w:val="nil"/>
                  </w:tcBorders>
                  <w:noWrap w:val="0"/>
                  <w:tcMar>
                    <w:top w:w="0" w:type="dxa"/>
                    <w:left w:w="28" w:type="dxa"/>
                    <w:bottom w:w="0" w:type="dxa"/>
                    <w:right w:w="28" w:type="dxa"/>
                  </w:tcMar>
                  <w:vAlign w:val="center"/>
                </w:tcPr>
                <w:p w14:paraId="1C4BE8EE">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r>
            <w:tr w14:paraId="1F2EDF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1" w:type="dxa"/>
                  <w:vMerge w:val="continue"/>
                  <w:tcBorders>
                    <w:tl2br w:val="nil"/>
                    <w:tr2bl w:val="nil"/>
                  </w:tcBorders>
                  <w:noWrap w:val="0"/>
                  <w:tcMar>
                    <w:top w:w="0" w:type="dxa"/>
                    <w:left w:w="28" w:type="dxa"/>
                    <w:bottom w:w="0" w:type="dxa"/>
                    <w:right w:w="28" w:type="dxa"/>
                  </w:tcMar>
                  <w:vAlign w:val="center"/>
                </w:tcPr>
                <w:p w14:paraId="07DE98F5">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492" w:type="dxa"/>
                  <w:vMerge w:val="continue"/>
                  <w:tcBorders>
                    <w:tl2br w:val="nil"/>
                    <w:tr2bl w:val="nil"/>
                  </w:tcBorders>
                  <w:noWrap w:val="0"/>
                  <w:tcMar>
                    <w:top w:w="0" w:type="dxa"/>
                    <w:left w:w="28" w:type="dxa"/>
                    <w:bottom w:w="0" w:type="dxa"/>
                    <w:right w:w="28" w:type="dxa"/>
                  </w:tcMar>
                  <w:vAlign w:val="center"/>
                </w:tcPr>
                <w:p w14:paraId="626BF9C1">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574" w:type="dxa"/>
                  <w:vMerge w:val="continue"/>
                  <w:tcBorders>
                    <w:tl2br w:val="nil"/>
                    <w:tr2bl w:val="nil"/>
                  </w:tcBorders>
                  <w:noWrap w:val="0"/>
                  <w:tcMar>
                    <w:top w:w="0" w:type="dxa"/>
                    <w:left w:w="28" w:type="dxa"/>
                    <w:bottom w:w="0" w:type="dxa"/>
                    <w:right w:w="28" w:type="dxa"/>
                  </w:tcMar>
                  <w:vAlign w:val="center"/>
                </w:tcPr>
                <w:p w14:paraId="5E82612D">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735" w:type="dxa"/>
                  <w:tcBorders>
                    <w:tl2br w:val="nil"/>
                    <w:tr2bl w:val="nil"/>
                  </w:tcBorders>
                  <w:noWrap w:val="0"/>
                  <w:tcMar>
                    <w:top w:w="0" w:type="dxa"/>
                    <w:left w:w="28" w:type="dxa"/>
                    <w:bottom w:w="0" w:type="dxa"/>
                    <w:right w:w="28" w:type="dxa"/>
                  </w:tcMar>
                  <w:vAlign w:val="center"/>
                </w:tcPr>
                <w:p w14:paraId="501301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color w:val="auto"/>
                      <w:szCs w:val="21"/>
                    </w:rPr>
                  </w:pPr>
                  <w:r>
                    <w:rPr>
                      <w:rFonts w:hint="default"/>
                      <w:color w:val="auto"/>
                      <w:kern w:val="0"/>
                      <w:sz w:val="21"/>
                      <w:szCs w:val="21"/>
                      <w:highlight w:val="none"/>
                      <w:lang w:bidi="ar"/>
                    </w:rPr>
                    <w:t>SS</w:t>
                  </w:r>
                </w:p>
              </w:tc>
              <w:tc>
                <w:tcPr>
                  <w:tcW w:w="682" w:type="dxa"/>
                  <w:tcBorders>
                    <w:tl2br w:val="nil"/>
                    <w:tr2bl w:val="nil"/>
                  </w:tcBorders>
                  <w:noWrap w:val="0"/>
                  <w:tcMar>
                    <w:top w:w="0" w:type="dxa"/>
                    <w:left w:w="28" w:type="dxa"/>
                    <w:bottom w:w="0" w:type="dxa"/>
                    <w:right w:w="28" w:type="dxa"/>
                  </w:tcMar>
                  <w:vAlign w:val="center"/>
                </w:tcPr>
                <w:p w14:paraId="5410EB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color w:val="auto"/>
                      <w:szCs w:val="21"/>
                    </w:rPr>
                  </w:pPr>
                  <w:r>
                    <w:rPr>
                      <w:rFonts w:hint="eastAsia"/>
                      <w:color w:val="auto"/>
                      <w:kern w:val="0"/>
                      <w:sz w:val="21"/>
                      <w:szCs w:val="21"/>
                      <w:highlight w:val="none"/>
                      <w:lang w:val="en-US" w:eastAsia="zh-CN" w:bidi="ar"/>
                    </w:rPr>
                    <w:t>400</w:t>
                  </w:r>
                </w:p>
              </w:tc>
              <w:tc>
                <w:tcPr>
                  <w:tcW w:w="738" w:type="dxa"/>
                  <w:tcBorders>
                    <w:tl2br w:val="nil"/>
                    <w:tr2bl w:val="nil"/>
                  </w:tcBorders>
                  <w:noWrap w:val="0"/>
                  <w:tcMar>
                    <w:top w:w="0" w:type="dxa"/>
                    <w:left w:w="28" w:type="dxa"/>
                    <w:bottom w:w="0" w:type="dxa"/>
                    <w:right w:w="28" w:type="dxa"/>
                  </w:tcMar>
                  <w:vAlign w:val="center"/>
                </w:tcPr>
                <w:p w14:paraId="387857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 xml:space="preserve">0.0800 </w:t>
                  </w:r>
                </w:p>
              </w:tc>
              <w:tc>
                <w:tcPr>
                  <w:tcW w:w="546" w:type="dxa"/>
                  <w:vMerge w:val="continue"/>
                  <w:tcBorders>
                    <w:tl2br w:val="nil"/>
                    <w:tr2bl w:val="nil"/>
                  </w:tcBorders>
                  <w:noWrap w:val="0"/>
                  <w:tcMar>
                    <w:top w:w="0" w:type="dxa"/>
                    <w:left w:w="28" w:type="dxa"/>
                    <w:bottom w:w="0" w:type="dxa"/>
                    <w:right w:w="28" w:type="dxa"/>
                  </w:tcMar>
                  <w:vAlign w:val="center"/>
                </w:tcPr>
                <w:p w14:paraId="241E1FFD">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719" w:type="dxa"/>
                  <w:gridSpan w:val="2"/>
                  <w:tcBorders>
                    <w:tl2br w:val="nil"/>
                    <w:tr2bl w:val="nil"/>
                  </w:tcBorders>
                  <w:noWrap w:val="0"/>
                  <w:tcMar>
                    <w:top w:w="0" w:type="dxa"/>
                    <w:left w:w="28" w:type="dxa"/>
                    <w:bottom w:w="0" w:type="dxa"/>
                    <w:right w:w="28" w:type="dxa"/>
                  </w:tcMar>
                  <w:vAlign w:val="center"/>
                </w:tcPr>
                <w:p w14:paraId="209770E0">
                  <w:pPr>
                    <w:keepNext w:val="0"/>
                    <w:keepLines w:val="0"/>
                    <w:widowControl/>
                    <w:suppressLineNumbers w:val="0"/>
                    <w:spacing w:before="0" w:beforeAutospacing="0" w:after="0" w:afterAutospacing="0" w:line="240" w:lineRule="auto"/>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highlight w:val="none"/>
                      <w:u w:val="none"/>
                      <w:lang w:val="en-US" w:eastAsia="zh-CN" w:bidi="ar"/>
                    </w:rPr>
                    <w:t>360</w:t>
                  </w:r>
                </w:p>
              </w:tc>
              <w:tc>
                <w:tcPr>
                  <w:tcW w:w="672" w:type="dxa"/>
                  <w:tcBorders>
                    <w:tl2br w:val="nil"/>
                    <w:tr2bl w:val="nil"/>
                  </w:tcBorders>
                  <w:noWrap w:val="0"/>
                  <w:tcMar>
                    <w:top w:w="0" w:type="dxa"/>
                    <w:left w:w="28" w:type="dxa"/>
                    <w:bottom w:w="0" w:type="dxa"/>
                    <w:right w:w="28" w:type="dxa"/>
                  </w:tcMar>
                  <w:vAlign w:val="center"/>
                </w:tcPr>
                <w:p w14:paraId="1D8D56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 xml:space="preserve">0.0720 </w:t>
                  </w:r>
                </w:p>
              </w:tc>
              <w:tc>
                <w:tcPr>
                  <w:tcW w:w="842" w:type="dxa"/>
                  <w:tcBorders>
                    <w:tl2br w:val="nil"/>
                    <w:tr2bl w:val="nil"/>
                  </w:tcBorders>
                  <w:noWrap w:val="0"/>
                  <w:tcMar>
                    <w:top w:w="0" w:type="dxa"/>
                    <w:left w:w="28" w:type="dxa"/>
                    <w:bottom w:w="0" w:type="dxa"/>
                    <w:right w:w="28" w:type="dxa"/>
                  </w:tcMar>
                  <w:vAlign w:val="center"/>
                </w:tcPr>
                <w:p w14:paraId="6B7785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color w:val="auto"/>
                      <w:kern w:val="0"/>
                      <w:szCs w:val="21"/>
                    </w:rPr>
                  </w:pPr>
                  <w:r>
                    <w:rPr>
                      <w:rFonts w:hint="default" w:ascii="Times New Roman" w:hAnsi="Times New Roman" w:cs="Times New Roman"/>
                      <w:color w:val="auto"/>
                      <w:kern w:val="0"/>
                      <w:sz w:val="21"/>
                      <w:szCs w:val="21"/>
                      <w:highlight w:val="none"/>
                      <w:lang w:bidi="ar"/>
                    </w:rPr>
                    <w:t>≤400</w:t>
                  </w:r>
                </w:p>
              </w:tc>
              <w:tc>
                <w:tcPr>
                  <w:tcW w:w="1124" w:type="dxa"/>
                  <w:tcBorders>
                    <w:tl2br w:val="nil"/>
                    <w:tr2bl w:val="nil"/>
                  </w:tcBorders>
                  <w:noWrap w:val="0"/>
                  <w:tcMar>
                    <w:top w:w="0" w:type="dxa"/>
                    <w:left w:w="28" w:type="dxa"/>
                    <w:bottom w:w="0" w:type="dxa"/>
                    <w:right w:w="28" w:type="dxa"/>
                  </w:tcMar>
                  <w:vAlign w:val="center"/>
                </w:tcPr>
                <w:p w14:paraId="6BD2F1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color w:val="auto"/>
                      <w:szCs w:val="21"/>
                      <w:lang w:val="en-US"/>
                    </w:rPr>
                  </w:pPr>
                  <w:r>
                    <w:rPr>
                      <w:rFonts w:hint="default"/>
                      <w:color w:val="auto"/>
                      <w:kern w:val="0"/>
                      <w:sz w:val="21"/>
                      <w:szCs w:val="21"/>
                      <w:highlight w:val="none"/>
                      <w:lang w:bidi="ar"/>
                    </w:rPr>
                    <w:t>≤</w:t>
                  </w:r>
                  <w:r>
                    <w:rPr>
                      <w:rFonts w:hint="eastAsia"/>
                      <w:color w:val="auto"/>
                      <w:kern w:val="0"/>
                      <w:sz w:val="21"/>
                      <w:szCs w:val="21"/>
                      <w:highlight w:val="none"/>
                      <w:lang w:val="en-US" w:eastAsia="zh-CN" w:bidi="ar"/>
                    </w:rPr>
                    <w:t>10</w:t>
                  </w:r>
                </w:p>
              </w:tc>
              <w:tc>
                <w:tcPr>
                  <w:tcW w:w="765" w:type="dxa"/>
                  <w:tcBorders>
                    <w:tl2br w:val="nil"/>
                    <w:tr2bl w:val="nil"/>
                  </w:tcBorders>
                  <w:noWrap w:val="0"/>
                  <w:tcMar>
                    <w:top w:w="0" w:type="dxa"/>
                    <w:left w:w="28" w:type="dxa"/>
                    <w:bottom w:w="0" w:type="dxa"/>
                    <w:right w:w="28" w:type="dxa"/>
                  </w:tcMar>
                  <w:vAlign w:val="center"/>
                </w:tcPr>
                <w:p w14:paraId="1D224D71">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等线" w:cs="Times New Roman"/>
                      <w:i w:val="0"/>
                      <w:iCs w:val="0"/>
                      <w:color w:val="auto"/>
                      <w:kern w:val="0"/>
                      <w:sz w:val="21"/>
                      <w:szCs w:val="21"/>
                      <w:u w:val="none"/>
                      <w:lang w:val="en-US" w:eastAsia="zh-CN" w:bidi="ar"/>
                    </w:rPr>
                    <w:t xml:space="preserve">0.0020 </w:t>
                  </w:r>
                </w:p>
              </w:tc>
              <w:tc>
                <w:tcPr>
                  <w:tcW w:w="850" w:type="dxa"/>
                  <w:vMerge w:val="continue"/>
                  <w:tcBorders>
                    <w:tl2br w:val="nil"/>
                    <w:tr2bl w:val="nil"/>
                  </w:tcBorders>
                  <w:noWrap w:val="0"/>
                  <w:tcMar>
                    <w:top w:w="0" w:type="dxa"/>
                    <w:left w:w="28" w:type="dxa"/>
                    <w:bottom w:w="0" w:type="dxa"/>
                    <w:right w:w="28" w:type="dxa"/>
                  </w:tcMar>
                  <w:vAlign w:val="center"/>
                </w:tcPr>
                <w:p w14:paraId="4380A7C8">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r>
            <w:tr w14:paraId="662127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1" w:type="dxa"/>
                  <w:vMerge w:val="continue"/>
                  <w:tcBorders>
                    <w:tl2br w:val="nil"/>
                    <w:tr2bl w:val="nil"/>
                  </w:tcBorders>
                  <w:noWrap w:val="0"/>
                  <w:tcMar>
                    <w:top w:w="0" w:type="dxa"/>
                    <w:left w:w="28" w:type="dxa"/>
                    <w:bottom w:w="0" w:type="dxa"/>
                    <w:right w:w="28" w:type="dxa"/>
                  </w:tcMar>
                  <w:vAlign w:val="center"/>
                </w:tcPr>
                <w:p w14:paraId="08B0AECC">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492" w:type="dxa"/>
                  <w:vMerge w:val="continue"/>
                  <w:tcBorders>
                    <w:tl2br w:val="nil"/>
                    <w:tr2bl w:val="nil"/>
                  </w:tcBorders>
                  <w:noWrap w:val="0"/>
                  <w:tcMar>
                    <w:top w:w="0" w:type="dxa"/>
                    <w:left w:w="28" w:type="dxa"/>
                    <w:bottom w:w="0" w:type="dxa"/>
                    <w:right w:w="28" w:type="dxa"/>
                  </w:tcMar>
                  <w:vAlign w:val="center"/>
                </w:tcPr>
                <w:p w14:paraId="0036CFAC">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574" w:type="dxa"/>
                  <w:vMerge w:val="continue"/>
                  <w:tcBorders>
                    <w:tl2br w:val="nil"/>
                    <w:tr2bl w:val="nil"/>
                  </w:tcBorders>
                  <w:noWrap w:val="0"/>
                  <w:tcMar>
                    <w:top w:w="0" w:type="dxa"/>
                    <w:left w:w="28" w:type="dxa"/>
                    <w:bottom w:w="0" w:type="dxa"/>
                    <w:right w:w="28" w:type="dxa"/>
                  </w:tcMar>
                  <w:vAlign w:val="center"/>
                </w:tcPr>
                <w:p w14:paraId="75D92EF6">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735" w:type="dxa"/>
                  <w:tcBorders>
                    <w:tl2br w:val="nil"/>
                    <w:tr2bl w:val="nil"/>
                  </w:tcBorders>
                  <w:noWrap w:val="0"/>
                  <w:tcMar>
                    <w:top w:w="0" w:type="dxa"/>
                    <w:left w:w="28" w:type="dxa"/>
                    <w:bottom w:w="0" w:type="dxa"/>
                    <w:right w:w="28" w:type="dxa"/>
                  </w:tcMar>
                  <w:vAlign w:val="center"/>
                </w:tcPr>
                <w:p w14:paraId="4EC143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color w:val="auto"/>
                      <w:szCs w:val="21"/>
                    </w:rPr>
                  </w:pPr>
                  <w:r>
                    <w:rPr>
                      <w:rFonts w:hint="default"/>
                      <w:color w:val="auto"/>
                      <w:kern w:val="0"/>
                      <w:sz w:val="21"/>
                      <w:szCs w:val="21"/>
                      <w:highlight w:val="none"/>
                      <w:lang w:bidi="ar"/>
                    </w:rPr>
                    <w:t>氨氮</w:t>
                  </w:r>
                </w:p>
              </w:tc>
              <w:tc>
                <w:tcPr>
                  <w:tcW w:w="682" w:type="dxa"/>
                  <w:tcBorders>
                    <w:tl2br w:val="nil"/>
                    <w:tr2bl w:val="nil"/>
                  </w:tcBorders>
                  <w:noWrap w:val="0"/>
                  <w:tcMar>
                    <w:top w:w="0" w:type="dxa"/>
                    <w:left w:w="28" w:type="dxa"/>
                    <w:bottom w:w="0" w:type="dxa"/>
                    <w:right w:w="28" w:type="dxa"/>
                  </w:tcMar>
                  <w:vAlign w:val="center"/>
                </w:tcPr>
                <w:p w14:paraId="033AFF0E">
                  <w:pPr>
                    <w:keepNext w:val="0"/>
                    <w:keepLines w:val="0"/>
                    <w:widowControl/>
                    <w:suppressLineNumbers w:val="0"/>
                    <w:spacing w:before="0" w:beforeAutospacing="0" w:after="0" w:afterAutospacing="0" w:line="240" w:lineRule="auto"/>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highlight w:val="none"/>
                      <w:u w:val="none"/>
                      <w:lang w:val="en-US" w:eastAsia="zh-CN" w:bidi="ar"/>
                    </w:rPr>
                    <w:t>35</w:t>
                  </w:r>
                </w:p>
              </w:tc>
              <w:tc>
                <w:tcPr>
                  <w:tcW w:w="738" w:type="dxa"/>
                  <w:tcBorders>
                    <w:tl2br w:val="nil"/>
                    <w:tr2bl w:val="nil"/>
                  </w:tcBorders>
                  <w:noWrap w:val="0"/>
                  <w:tcMar>
                    <w:top w:w="0" w:type="dxa"/>
                    <w:left w:w="28" w:type="dxa"/>
                    <w:bottom w:w="0" w:type="dxa"/>
                    <w:right w:w="28" w:type="dxa"/>
                  </w:tcMar>
                  <w:vAlign w:val="center"/>
                </w:tcPr>
                <w:p w14:paraId="1282E6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 xml:space="preserve">0.0070 </w:t>
                  </w:r>
                </w:p>
              </w:tc>
              <w:tc>
                <w:tcPr>
                  <w:tcW w:w="546" w:type="dxa"/>
                  <w:vMerge w:val="continue"/>
                  <w:tcBorders>
                    <w:tl2br w:val="nil"/>
                    <w:tr2bl w:val="nil"/>
                  </w:tcBorders>
                  <w:noWrap w:val="0"/>
                  <w:tcMar>
                    <w:top w:w="0" w:type="dxa"/>
                    <w:left w:w="28" w:type="dxa"/>
                    <w:bottom w:w="0" w:type="dxa"/>
                    <w:right w:w="28" w:type="dxa"/>
                  </w:tcMar>
                  <w:vAlign w:val="center"/>
                </w:tcPr>
                <w:p w14:paraId="5525024C">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719" w:type="dxa"/>
                  <w:gridSpan w:val="2"/>
                  <w:tcBorders>
                    <w:tl2br w:val="nil"/>
                    <w:tr2bl w:val="nil"/>
                  </w:tcBorders>
                  <w:noWrap w:val="0"/>
                  <w:tcMar>
                    <w:top w:w="0" w:type="dxa"/>
                    <w:left w:w="28" w:type="dxa"/>
                    <w:bottom w:w="0" w:type="dxa"/>
                    <w:right w:w="28" w:type="dxa"/>
                  </w:tcMar>
                  <w:vAlign w:val="center"/>
                </w:tcPr>
                <w:p w14:paraId="57A0D4F0">
                  <w:pPr>
                    <w:keepNext w:val="0"/>
                    <w:keepLines w:val="0"/>
                    <w:widowControl/>
                    <w:suppressLineNumbers w:val="0"/>
                    <w:spacing w:before="0" w:beforeAutospacing="0" w:after="0" w:afterAutospacing="0" w:line="240" w:lineRule="auto"/>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highlight w:val="none"/>
                      <w:u w:val="none"/>
                      <w:lang w:val="en-US" w:eastAsia="zh-CN" w:bidi="ar"/>
                    </w:rPr>
                    <w:t>35</w:t>
                  </w:r>
                </w:p>
              </w:tc>
              <w:tc>
                <w:tcPr>
                  <w:tcW w:w="672" w:type="dxa"/>
                  <w:tcBorders>
                    <w:tl2br w:val="nil"/>
                    <w:tr2bl w:val="nil"/>
                  </w:tcBorders>
                  <w:noWrap w:val="0"/>
                  <w:tcMar>
                    <w:top w:w="0" w:type="dxa"/>
                    <w:left w:w="28" w:type="dxa"/>
                    <w:bottom w:w="0" w:type="dxa"/>
                    <w:right w:w="28" w:type="dxa"/>
                  </w:tcMar>
                  <w:vAlign w:val="center"/>
                </w:tcPr>
                <w:p w14:paraId="4DD8CC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 xml:space="preserve">0.0070 </w:t>
                  </w:r>
                </w:p>
              </w:tc>
              <w:tc>
                <w:tcPr>
                  <w:tcW w:w="842" w:type="dxa"/>
                  <w:tcBorders>
                    <w:tl2br w:val="nil"/>
                    <w:tr2bl w:val="nil"/>
                  </w:tcBorders>
                  <w:noWrap w:val="0"/>
                  <w:tcMar>
                    <w:top w:w="0" w:type="dxa"/>
                    <w:left w:w="28" w:type="dxa"/>
                    <w:bottom w:w="0" w:type="dxa"/>
                    <w:right w:w="28" w:type="dxa"/>
                  </w:tcMar>
                  <w:vAlign w:val="center"/>
                </w:tcPr>
                <w:p w14:paraId="6AF093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color w:val="auto"/>
                      <w:kern w:val="0"/>
                      <w:szCs w:val="21"/>
                    </w:rPr>
                  </w:pPr>
                  <w:r>
                    <w:rPr>
                      <w:rFonts w:hint="default" w:ascii="Times New Roman" w:hAnsi="Times New Roman" w:cs="Times New Roman"/>
                      <w:color w:val="auto"/>
                      <w:kern w:val="0"/>
                      <w:sz w:val="21"/>
                      <w:szCs w:val="21"/>
                      <w:highlight w:val="none"/>
                      <w:lang w:bidi="ar"/>
                    </w:rPr>
                    <w:t>≤45</w:t>
                  </w:r>
                </w:p>
              </w:tc>
              <w:tc>
                <w:tcPr>
                  <w:tcW w:w="1124" w:type="dxa"/>
                  <w:tcBorders>
                    <w:tl2br w:val="nil"/>
                    <w:tr2bl w:val="nil"/>
                  </w:tcBorders>
                  <w:noWrap w:val="0"/>
                  <w:tcMar>
                    <w:top w:w="0" w:type="dxa"/>
                    <w:left w:w="28" w:type="dxa"/>
                    <w:bottom w:w="0" w:type="dxa"/>
                    <w:right w:w="28" w:type="dxa"/>
                  </w:tcMar>
                  <w:vAlign w:val="center"/>
                </w:tcPr>
                <w:p w14:paraId="4850A8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eastAsia="宋体"/>
                      <w:color w:val="auto"/>
                      <w:szCs w:val="21"/>
                      <w:lang w:val="en-US" w:eastAsia="zh-CN"/>
                    </w:rPr>
                  </w:pPr>
                  <w:r>
                    <w:rPr>
                      <w:rFonts w:hint="default"/>
                      <w:color w:val="auto"/>
                      <w:kern w:val="0"/>
                      <w:sz w:val="21"/>
                      <w:szCs w:val="21"/>
                      <w:highlight w:val="none"/>
                      <w:lang w:bidi="ar"/>
                    </w:rPr>
                    <w:t>≤</w:t>
                  </w:r>
                  <w:r>
                    <w:rPr>
                      <w:rFonts w:hint="eastAsia"/>
                      <w:color w:val="auto"/>
                      <w:kern w:val="0"/>
                      <w:sz w:val="21"/>
                      <w:szCs w:val="21"/>
                      <w:highlight w:val="none"/>
                      <w:lang w:val="en-US" w:eastAsia="zh-CN" w:bidi="ar"/>
                    </w:rPr>
                    <w:t>3（5）</w:t>
                  </w:r>
                </w:p>
              </w:tc>
              <w:tc>
                <w:tcPr>
                  <w:tcW w:w="765" w:type="dxa"/>
                  <w:tcBorders>
                    <w:tl2br w:val="nil"/>
                    <w:tr2bl w:val="nil"/>
                  </w:tcBorders>
                  <w:noWrap w:val="0"/>
                  <w:tcMar>
                    <w:top w:w="0" w:type="dxa"/>
                    <w:left w:w="28" w:type="dxa"/>
                    <w:bottom w:w="0" w:type="dxa"/>
                    <w:right w:w="28" w:type="dxa"/>
                  </w:tcMar>
                  <w:vAlign w:val="center"/>
                </w:tcPr>
                <w:p w14:paraId="56382BC7">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等线" w:cs="Times New Roman"/>
                      <w:i w:val="0"/>
                      <w:iCs w:val="0"/>
                      <w:color w:val="auto"/>
                      <w:kern w:val="0"/>
                      <w:sz w:val="21"/>
                      <w:szCs w:val="21"/>
                      <w:u w:val="none"/>
                      <w:lang w:val="en-US" w:eastAsia="zh-CN" w:bidi="ar"/>
                    </w:rPr>
                    <w:t xml:space="preserve">0.0006 </w:t>
                  </w:r>
                </w:p>
              </w:tc>
              <w:tc>
                <w:tcPr>
                  <w:tcW w:w="850" w:type="dxa"/>
                  <w:vMerge w:val="continue"/>
                  <w:tcBorders>
                    <w:tl2br w:val="nil"/>
                    <w:tr2bl w:val="nil"/>
                  </w:tcBorders>
                  <w:noWrap w:val="0"/>
                  <w:tcMar>
                    <w:top w:w="0" w:type="dxa"/>
                    <w:left w:w="28" w:type="dxa"/>
                    <w:bottom w:w="0" w:type="dxa"/>
                    <w:right w:w="28" w:type="dxa"/>
                  </w:tcMar>
                  <w:vAlign w:val="center"/>
                </w:tcPr>
                <w:p w14:paraId="7C3A27C7">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r>
            <w:tr w14:paraId="458198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1" w:type="dxa"/>
                  <w:vMerge w:val="continue"/>
                  <w:tcBorders>
                    <w:tl2br w:val="nil"/>
                    <w:tr2bl w:val="nil"/>
                  </w:tcBorders>
                  <w:noWrap w:val="0"/>
                  <w:tcMar>
                    <w:top w:w="0" w:type="dxa"/>
                    <w:left w:w="28" w:type="dxa"/>
                    <w:bottom w:w="0" w:type="dxa"/>
                    <w:right w:w="28" w:type="dxa"/>
                  </w:tcMar>
                  <w:vAlign w:val="center"/>
                </w:tcPr>
                <w:p w14:paraId="4C771267">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492" w:type="dxa"/>
                  <w:vMerge w:val="continue"/>
                  <w:tcBorders>
                    <w:tl2br w:val="nil"/>
                    <w:tr2bl w:val="nil"/>
                  </w:tcBorders>
                  <w:noWrap w:val="0"/>
                  <w:tcMar>
                    <w:top w:w="0" w:type="dxa"/>
                    <w:left w:w="28" w:type="dxa"/>
                    <w:bottom w:w="0" w:type="dxa"/>
                    <w:right w:w="28" w:type="dxa"/>
                  </w:tcMar>
                  <w:vAlign w:val="center"/>
                </w:tcPr>
                <w:p w14:paraId="087E577F">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574" w:type="dxa"/>
                  <w:vMerge w:val="continue"/>
                  <w:tcBorders>
                    <w:tl2br w:val="nil"/>
                    <w:tr2bl w:val="nil"/>
                  </w:tcBorders>
                  <w:noWrap w:val="0"/>
                  <w:tcMar>
                    <w:top w:w="0" w:type="dxa"/>
                    <w:left w:w="28" w:type="dxa"/>
                    <w:bottom w:w="0" w:type="dxa"/>
                    <w:right w:w="28" w:type="dxa"/>
                  </w:tcMar>
                  <w:vAlign w:val="center"/>
                </w:tcPr>
                <w:p w14:paraId="1939F2F9">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735" w:type="dxa"/>
                  <w:tcBorders>
                    <w:tl2br w:val="nil"/>
                    <w:tr2bl w:val="nil"/>
                  </w:tcBorders>
                  <w:noWrap w:val="0"/>
                  <w:tcMar>
                    <w:top w:w="0" w:type="dxa"/>
                    <w:left w:w="28" w:type="dxa"/>
                    <w:bottom w:w="0" w:type="dxa"/>
                    <w:right w:w="28" w:type="dxa"/>
                  </w:tcMar>
                  <w:vAlign w:val="center"/>
                </w:tcPr>
                <w:p w14:paraId="72B241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color w:val="auto"/>
                      <w:szCs w:val="21"/>
                    </w:rPr>
                  </w:pPr>
                  <w:r>
                    <w:rPr>
                      <w:rFonts w:hint="default"/>
                      <w:color w:val="auto"/>
                      <w:kern w:val="0"/>
                      <w:sz w:val="21"/>
                      <w:szCs w:val="21"/>
                      <w:highlight w:val="none"/>
                      <w:lang w:bidi="ar"/>
                    </w:rPr>
                    <w:t>总氮</w:t>
                  </w:r>
                </w:p>
              </w:tc>
              <w:tc>
                <w:tcPr>
                  <w:tcW w:w="682" w:type="dxa"/>
                  <w:tcBorders>
                    <w:tl2br w:val="nil"/>
                    <w:tr2bl w:val="nil"/>
                  </w:tcBorders>
                  <w:noWrap w:val="0"/>
                  <w:tcMar>
                    <w:top w:w="0" w:type="dxa"/>
                    <w:left w:w="28" w:type="dxa"/>
                    <w:bottom w:w="0" w:type="dxa"/>
                    <w:right w:w="28" w:type="dxa"/>
                  </w:tcMar>
                  <w:vAlign w:val="center"/>
                </w:tcPr>
                <w:p w14:paraId="416239F4">
                  <w:pPr>
                    <w:keepNext w:val="0"/>
                    <w:keepLines w:val="0"/>
                    <w:widowControl/>
                    <w:suppressLineNumbers w:val="0"/>
                    <w:spacing w:before="0" w:beforeAutospacing="0" w:after="0" w:afterAutospacing="0" w:line="240" w:lineRule="auto"/>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738" w:type="dxa"/>
                  <w:tcBorders>
                    <w:tl2br w:val="nil"/>
                    <w:tr2bl w:val="nil"/>
                  </w:tcBorders>
                  <w:noWrap w:val="0"/>
                  <w:tcMar>
                    <w:top w:w="0" w:type="dxa"/>
                    <w:left w:w="28" w:type="dxa"/>
                    <w:bottom w:w="0" w:type="dxa"/>
                    <w:right w:w="28" w:type="dxa"/>
                  </w:tcMar>
                  <w:vAlign w:val="center"/>
                </w:tcPr>
                <w:p w14:paraId="690855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 xml:space="preserve">0.0090 </w:t>
                  </w:r>
                </w:p>
              </w:tc>
              <w:tc>
                <w:tcPr>
                  <w:tcW w:w="546" w:type="dxa"/>
                  <w:vMerge w:val="continue"/>
                  <w:tcBorders>
                    <w:tl2br w:val="nil"/>
                    <w:tr2bl w:val="nil"/>
                  </w:tcBorders>
                  <w:noWrap w:val="0"/>
                  <w:tcMar>
                    <w:top w:w="0" w:type="dxa"/>
                    <w:left w:w="28" w:type="dxa"/>
                    <w:bottom w:w="0" w:type="dxa"/>
                    <w:right w:w="28" w:type="dxa"/>
                  </w:tcMar>
                  <w:vAlign w:val="center"/>
                </w:tcPr>
                <w:p w14:paraId="310E11CC">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719" w:type="dxa"/>
                  <w:gridSpan w:val="2"/>
                  <w:tcBorders>
                    <w:tl2br w:val="nil"/>
                    <w:tr2bl w:val="nil"/>
                  </w:tcBorders>
                  <w:noWrap w:val="0"/>
                  <w:tcMar>
                    <w:top w:w="0" w:type="dxa"/>
                    <w:left w:w="28" w:type="dxa"/>
                    <w:bottom w:w="0" w:type="dxa"/>
                    <w:right w:w="28" w:type="dxa"/>
                  </w:tcMar>
                  <w:vAlign w:val="center"/>
                </w:tcPr>
                <w:p w14:paraId="1AEC65B5">
                  <w:pPr>
                    <w:keepNext w:val="0"/>
                    <w:keepLines w:val="0"/>
                    <w:widowControl/>
                    <w:suppressLineNumbers w:val="0"/>
                    <w:spacing w:before="0" w:beforeAutospacing="0" w:after="0" w:afterAutospacing="0" w:line="240" w:lineRule="auto"/>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672" w:type="dxa"/>
                  <w:tcBorders>
                    <w:tl2br w:val="nil"/>
                    <w:tr2bl w:val="nil"/>
                  </w:tcBorders>
                  <w:noWrap w:val="0"/>
                  <w:tcMar>
                    <w:top w:w="0" w:type="dxa"/>
                    <w:left w:w="28" w:type="dxa"/>
                    <w:bottom w:w="0" w:type="dxa"/>
                    <w:right w:w="28" w:type="dxa"/>
                  </w:tcMar>
                  <w:vAlign w:val="center"/>
                </w:tcPr>
                <w:p w14:paraId="010606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 xml:space="preserve">0.0090 </w:t>
                  </w:r>
                </w:p>
              </w:tc>
              <w:tc>
                <w:tcPr>
                  <w:tcW w:w="842" w:type="dxa"/>
                  <w:tcBorders>
                    <w:tl2br w:val="nil"/>
                    <w:tr2bl w:val="nil"/>
                  </w:tcBorders>
                  <w:noWrap w:val="0"/>
                  <w:tcMar>
                    <w:top w:w="0" w:type="dxa"/>
                    <w:left w:w="28" w:type="dxa"/>
                    <w:bottom w:w="0" w:type="dxa"/>
                    <w:right w:w="28" w:type="dxa"/>
                  </w:tcMar>
                  <w:vAlign w:val="center"/>
                </w:tcPr>
                <w:p w14:paraId="42A6E4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color w:val="auto"/>
                      <w:kern w:val="0"/>
                      <w:szCs w:val="21"/>
                    </w:rPr>
                  </w:pPr>
                  <w:r>
                    <w:rPr>
                      <w:rFonts w:hint="default" w:ascii="Times New Roman" w:hAnsi="Times New Roman" w:cs="Times New Roman"/>
                      <w:color w:val="auto"/>
                      <w:kern w:val="0"/>
                      <w:sz w:val="21"/>
                      <w:szCs w:val="21"/>
                      <w:highlight w:val="none"/>
                      <w:lang w:bidi="ar"/>
                    </w:rPr>
                    <w:t>≤70</w:t>
                  </w:r>
                </w:p>
              </w:tc>
              <w:tc>
                <w:tcPr>
                  <w:tcW w:w="1124" w:type="dxa"/>
                  <w:tcBorders>
                    <w:tl2br w:val="nil"/>
                    <w:tr2bl w:val="nil"/>
                  </w:tcBorders>
                  <w:noWrap w:val="0"/>
                  <w:tcMar>
                    <w:top w:w="0" w:type="dxa"/>
                    <w:left w:w="28" w:type="dxa"/>
                    <w:bottom w:w="0" w:type="dxa"/>
                    <w:right w:w="28" w:type="dxa"/>
                  </w:tcMar>
                  <w:vAlign w:val="center"/>
                </w:tcPr>
                <w:p w14:paraId="170379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eastAsia="宋体"/>
                      <w:color w:val="auto"/>
                      <w:szCs w:val="21"/>
                      <w:lang w:val="en-US" w:eastAsia="zh-CN"/>
                    </w:rPr>
                  </w:pPr>
                  <w:r>
                    <w:rPr>
                      <w:rFonts w:hint="default"/>
                      <w:color w:val="auto"/>
                      <w:kern w:val="0"/>
                      <w:sz w:val="21"/>
                      <w:szCs w:val="21"/>
                      <w:highlight w:val="none"/>
                      <w:lang w:bidi="ar"/>
                    </w:rPr>
                    <w:t>≤</w:t>
                  </w:r>
                  <w:r>
                    <w:rPr>
                      <w:rFonts w:hint="eastAsia"/>
                      <w:color w:val="auto"/>
                      <w:kern w:val="0"/>
                      <w:sz w:val="21"/>
                      <w:szCs w:val="21"/>
                      <w:highlight w:val="none"/>
                      <w:lang w:val="en-US" w:eastAsia="zh-CN" w:bidi="ar"/>
                    </w:rPr>
                    <w:t>10（12）</w:t>
                  </w:r>
                </w:p>
              </w:tc>
              <w:tc>
                <w:tcPr>
                  <w:tcW w:w="765" w:type="dxa"/>
                  <w:tcBorders>
                    <w:tl2br w:val="nil"/>
                    <w:tr2bl w:val="nil"/>
                  </w:tcBorders>
                  <w:noWrap w:val="0"/>
                  <w:tcMar>
                    <w:top w:w="0" w:type="dxa"/>
                    <w:left w:w="28" w:type="dxa"/>
                    <w:bottom w:w="0" w:type="dxa"/>
                    <w:right w:w="28" w:type="dxa"/>
                  </w:tcMar>
                  <w:vAlign w:val="center"/>
                </w:tcPr>
                <w:p w14:paraId="30CEE41E">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等线" w:cs="Times New Roman"/>
                      <w:i w:val="0"/>
                      <w:iCs w:val="0"/>
                      <w:color w:val="auto"/>
                      <w:kern w:val="0"/>
                      <w:sz w:val="21"/>
                      <w:szCs w:val="21"/>
                      <w:u w:val="none"/>
                      <w:lang w:val="en-US" w:eastAsia="zh-CN" w:bidi="ar"/>
                    </w:rPr>
                    <w:t xml:space="preserve">0.0020 </w:t>
                  </w:r>
                </w:p>
              </w:tc>
              <w:tc>
                <w:tcPr>
                  <w:tcW w:w="850" w:type="dxa"/>
                  <w:vMerge w:val="continue"/>
                  <w:tcBorders>
                    <w:tl2br w:val="nil"/>
                    <w:tr2bl w:val="nil"/>
                  </w:tcBorders>
                  <w:noWrap w:val="0"/>
                  <w:tcMar>
                    <w:top w:w="0" w:type="dxa"/>
                    <w:left w:w="28" w:type="dxa"/>
                    <w:bottom w:w="0" w:type="dxa"/>
                    <w:right w:w="28" w:type="dxa"/>
                  </w:tcMar>
                  <w:vAlign w:val="center"/>
                </w:tcPr>
                <w:p w14:paraId="6208F489">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r>
            <w:tr w14:paraId="5DA580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1" w:type="dxa"/>
                  <w:vMerge w:val="continue"/>
                  <w:tcBorders>
                    <w:tl2br w:val="nil"/>
                    <w:tr2bl w:val="nil"/>
                  </w:tcBorders>
                  <w:noWrap w:val="0"/>
                  <w:tcMar>
                    <w:top w:w="0" w:type="dxa"/>
                    <w:left w:w="28" w:type="dxa"/>
                    <w:bottom w:w="0" w:type="dxa"/>
                    <w:right w:w="28" w:type="dxa"/>
                  </w:tcMar>
                  <w:vAlign w:val="center"/>
                </w:tcPr>
                <w:p w14:paraId="4CDD7CA3">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492" w:type="dxa"/>
                  <w:vMerge w:val="continue"/>
                  <w:tcBorders>
                    <w:tl2br w:val="nil"/>
                    <w:tr2bl w:val="nil"/>
                  </w:tcBorders>
                  <w:noWrap w:val="0"/>
                  <w:tcMar>
                    <w:top w:w="0" w:type="dxa"/>
                    <w:left w:w="28" w:type="dxa"/>
                    <w:bottom w:w="0" w:type="dxa"/>
                    <w:right w:w="28" w:type="dxa"/>
                  </w:tcMar>
                  <w:vAlign w:val="center"/>
                </w:tcPr>
                <w:p w14:paraId="409CE9CA">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574" w:type="dxa"/>
                  <w:vMerge w:val="continue"/>
                  <w:tcBorders>
                    <w:tl2br w:val="nil"/>
                    <w:tr2bl w:val="nil"/>
                  </w:tcBorders>
                  <w:noWrap w:val="0"/>
                  <w:tcMar>
                    <w:top w:w="0" w:type="dxa"/>
                    <w:left w:w="28" w:type="dxa"/>
                    <w:bottom w:w="0" w:type="dxa"/>
                    <w:right w:w="28" w:type="dxa"/>
                  </w:tcMar>
                  <w:vAlign w:val="center"/>
                </w:tcPr>
                <w:p w14:paraId="6E42A7FA">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735" w:type="dxa"/>
                  <w:tcBorders>
                    <w:tl2br w:val="nil"/>
                    <w:tr2bl w:val="nil"/>
                  </w:tcBorders>
                  <w:noWrap w:val="0"/>
                  <w:tcMar>
                    <w:top w:w="0" w:type="dxa"/>
                    <w:left w:w="28" w:type="dxa"/>
                    <w:bottom w:w="0" w:type="dxa"/>
                    <w:right w:w="28" w:type="dxa"/>
                  </w:tcMar>
                  <w:vAlign w:val="center"/>
                </w:tcPr>
                <w:p w14:paraId="22DCDF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color w:val="auto"/>
                      <w:szCs w:val="21"/>
                    </w:rPr>
                  </w:pPr>
                  <w:r>
                    <w:rPr>
                      <w:rFonts w:hint="default"/>
                      <w:color w:val="auto"/>
                      <w:kern w:val="0"/>
                      <w:sz w:val="21"/>
                      <w:szCs w:val="21"/>
                      <w:highlight w:val="none"/>
                      <w:lang w:bidi="ar"/>
                    </w:rPr>
                    <w:t>总磷</w:t>
                  </w:r>
                </w:p>
              </w:tc>
              <w:tc>
                <w:tcPr>
                  <w:tcW w:w="682" w:type="dxa"/>
                  <w:tcBorders>
                    <w:tl2br w:val="nil"/>
                    <w:tr2bl w:val="nil"/>
                  </w:tcBorders>
                  <w:noWrap w:val="0"/>
                  <w:tcMar>
                    <w:top w:w="0" w:type="dxa"/>
                    <w:left w:w="28" w:type="dxa"/>
                    <w:bottom w:w="0" w:type="dxa"/>
                    <w:right w:w="28" w:type="dxa"/>
                  </w:tcMar>
                  <w:vAlign w:val="center"/>
                </w:tcPr>
                <w:p w14:paraId="0F03A4F2">
                  <w:pPr>
                    <w:keepNext w:val="0"/>
                    <w:keepLines w:val="0"/>
                    <w:widowControl/>
                    <w:suppressLineNumbers w:val="0"/>
                    <w:spacing w:before="0" w:beforeAutospacing="0" w:after="0" w:afterAutospacing="0" w:line="240" w:lineRule="auto"/>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738" w:type="dxa"/>
                  <w:tcBorders>
                    <w:tl2br w:val="nil"/>
                    <w:tr2bl w:val="nil"/>
                  </w:tcBorders>
                  <w:noWrap w:val="0"/>
                  <w:tcMar>
                    <w:top w:w="0" w:type="dxa"/>
                    <w:left w:w="28" w:type="dxa"/>
                    <w:bottom w:w="0" w:type="dxa"/>
                    <w:right w:w="28" w:type="dxa"/>
                  </w:tcMar>
                  <w:vAlign w:val="center"/>
                </w:tcPr>
                <w:p w14:paraId="0F5539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 xml:space="preserve">0.0010 </w:t>
                  </w:r>
                </w:p>
              </w:tc>
              <w:tc>
                <w:tcPr>
                  <w:tcW w:w="546" w:type="dxa"/>
                  <w:vMerge w:val="continue"/>
                  <w:tcBorders>
                    <w:tl2br w:val="nil"/>
                    <w:tr2bl w:val="nil"/>
                  </w:tcBorders>
                  <w:noWrap w:val="0"/>
                  <w:tcMar>
                    <w:top w:w="0" w:type="dxa"/>
                    <w:left w:w="28" w:type="dxa"/>
                    <w:bottom w:w="0" w:type="dxa"/>
                    <w:right w:w="28" w:type="dxa"/>
                  </w:tcMar>
                  <w:vAlign w:val="center"/>
                </w:tcPr>
                <w:p w14:paraId="098A3A88">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719" w:type="dxa"/>
                  <w:gridSpan w:val="2"/>
                  <w:tcBorders>
                    <w:tl2br w:val="nil"/>
                    <w:tr2bl w:val="nil"/>
                  </w:tcBorders>
                  <w:noWrap w:val="0"/>
                  <w:tcMar>
                    <w:top w:w="0" w:type="dxa"/>
                    <w:left w:w="28" w:type="dxa"/>
                    <w:bottom w:w="0" w:type="dxa"/>
                    <w:right w:w="28" w:type="dxa"/>
                  </w:tcMar>
                  <w:vAlign w:val="center"/>
                </w:tcPr>
                <w:p w14:paraId="007D0558">
                  <w:pPr>
                    <w:keepNext w:val="0"/>
                    <w:keepLines w:val="0"/>
                    <w:widowControl/>
                    <w:suppressLineNumbers w:val="0"/>
                    <w:spacing w:before="0" w:beforeAutospacing="0" w:after="0" w:afterAutospacing="0" w:line="240" w:lineRule="auto"/>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672" w:type="dxa"/>
                  <w:tcBorders>
                    <w:tl2br w:val="nil"/>
                    <w:tr2bl w:val="nil"/>
                  </w:tcBorders>
                  <w:noWrap w:val="0"/>
                  <w:tcMar>
                    <w:top w:w="0" w:type="dxa"/>
                    <w:left w:w="28" w:type="dxa"/>
                    <w:bottom w:w="0" w:type="dxa"/>
                    <w:right w:w="28" w:type="dxa"/>
                  </w:tcMar>
                  <w:vAlign w:val="center"/>
                </w:tcPr>
                <w:p w14:paraId="272A52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 xml:space="preserve">0.0010 </w:t>
                  </w:r>
                </w:p>
              </w:tc>
              <w:tc>
                <w:tcPr>
                  <w:tcW w:w="842" w:type="dxa"/>
                  <w:tcBorders>
                    <w:tl2br w:val="nil"/>
                    <w:tr2bl w:val="nil"/>
                  </w:tcBorders>
                  <w:noWrap w:val="0"/>
                  <w:tcMar>
                    <w:top w:w="0" w:type="dxa"/>
                    <w:left w:w="28" w:type="dxa"/>
                    <w:bottom w:w="0" w:type="dxa"/>
                    <w:right w:w="28" w:type="dxa"/>
                  </w:tcMar>
                  <w:vAlign w:val="center"/>
                </w:tcPr>
                <w:p w14:paraId="60CD9D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color w:val="auto"/>
                      <w:kern w:val="0"/>
                      <w:szCs w:val="21"/>
                    </w:rPr>
                  </w:pPr>
                  <w:r>
                    <w:rPr>
                      <w:rFonts w:hint="default" w:ascii="Times New Roman" w:hAnsi="Times New Roman" w:cs="Times New Roman"/>
                      <w:color w:val="auto"/>
                      <w:kern w:val="0"/>
                      <w:sz w:val="21"/>
                      <w:szCs w:val="21"/>
                      <w:highlight w:val="none"/>
                      <w:lang w:bidi="ar"/>
                    </w:rPr>
                    <w:t>≤8</w:t>
                  </w:r>
                </w:p>
              </w:tc>
              <w:tc>
                <w:tcPr>
                  <w:tcW w:w="1124" w:type="dxa"/>
                  <w:tcBorders>
                    <w:tl2br w:val="nil"/>
                    <w:tr2bl w:val="nil"/>
                  </w:tcBorders>
                  <w:noWrap w:val="0"/>
                  <w:tcMar>
                    <w:top w:w="0" w:type="dxa"/>
                    <w:left w:w="28" w:type="dxa"/>
                    <w:bottom w:w="0" w:type="dxa"/>
                    <w:right w:w="28" w:type="dxa"/>
                  </w:tcMar>
                  <w:vAlign w:val="center"/>
                </w:tcPr>
                <w:p w14:paraId="534090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color w:val="auto"/>
                      <w:szCs w:val="21"/>
                      <w:lang w:val="en-US"/>
                    </w:rPr>
                  </w:pPr>
                  <w:r>
                    <w:rPr>
                      <w:rFonts w:hint="default"/>
                      <w:color w:val="auto"/>
                      <w:kern w:val="0"/>
                      <w:sz w:val="21"/>
                      <w:szCs w:val="21"/>
                      <w:highlight w:val="none"/>
                      <w:lang w:bidi="ar"/>
                    </w:rPr>
                    <w:t>≤</w:t>
                  </w:r>
                  <w:r>
                    <w:rPr>
                      <w:rFonts w:hint="eastAsia"/>
                      <w:color w:val="auto"/>
                      <w:kern w:val="0"/>
                      <w:sz w:val="21"/>
                      <w:szCs w:val="21"/>
                      <w:highlight w:val="none"/>
                      <w:lang w:val="en-US" w:eastAsia="zh-CN" w:bidi="ar"/>
                    </w:rPr>
                    <w:t>0.3</w:t>
                  </w:r>
                </w:p>
              </w:tc>
              <w:tc>
                <w:tcPr>
                  <w:tcW w:w="765" w:type="dxa"/>
                  <w:tcBorders>
                    <w:tl2br w:val="nil"/>
                    <w:tr2bl w:val="nil"/>
                  </w:tcBorders>
                  <w:noWrap w:val="0"/>
                  <w:tcMar>
                    <w:top w:w="0" w:type="dxa"/>
                    <w:left w:w="28" w:type="dxa"/>
                    <w:bottom w:w="0" w:type="dxa"/>
                    <w:right w:w="28" w:type="dxa"/>
                  </w:tcMar>
                  <w:vAlign w:val="center"/>
                </w:tcPr>
                <w:p w14:paraId="7BD7D049">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等线" w:cs="Times New Roman"/>
                      <w:i w:val="0"/>
                      <w:iCs w:val="0"/>
                      <w:color w:val="auto"/>
                      <w:kern w:val="0"/>
                      <w:sz w:val="21"/>
                      <w:szCs w:val="21"/>
                      <w:u w:val="none"/>
                      <w:lang w:val="en-US" w:eastAsia="zh-CN" w:bidi="ar"/>
                    </w:rPr>
                    <w:t xml:space="preserve">0.0001 </w:t>
                  </w:r>
                </w:p>
              </w:tc>
              <w:tc>
                <w:tcPr>
                  <w:tcW w:w="850" w:type="dxa"/>
                  <w:vMerge w:val="continue"/>
                  <w:tcBorders>
                    <w:tl2br w:val="nil"/>
                    <w:tr2bl w:val="nil"/>
                  </w:tcBorders>
                  <w:noWrap w:val="0"/>
                  <w:tcMar>
                    <w:top w:w="0" w:type="dxa"/>
                    <w:left w:w="28" w:type="dxa"/>
                    <w:bottom w:w="0" w:type="dxa"/>
                    <w:right w:w="28" w:type="dxa"/>
                  </w:tcMar>
                  <w:vAlign w:val="center"/>
                </w:tcPr>
                <w:p w14:paraId="0BF05792">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r>
            <w:tr w14:paraId="06CD67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1" w:type="dxa"/>
                  <w:vMerge w:val="continue"/>
                  <w:tcBorders>
                    <w:tl2br w:val="nil"/>
                    <w:tr2bl w:val="nil"/>
                  </w:tcBorders>
                  <w:noWrap w:val="0"/>
                  <w:tcMar>
                    <w:top w:w="0" w:type="dxa"/>
                    <w:left w:w="28" w:type="dxa"/>
                    <w:bottom w:w="0" w:type="dxa"/>
                    <w:right w:w="28" w:type="dxa"/>
                  </w:tcMar>
                  <w:vAlign w:val="center"/>
                </w:tcPr>
                <w:p w14:paraId="4F4101E6">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492" w:type="dxa"/>
                  <w:vMerge w:val="continue"/>
                  <w:tcBorders>
                    <w:tl2br w:val="nil"/>
                    <w:tr2bl w:val="nil"/>
                  </w:tcBorders>
                  <w:noWrap w:val="0"/>
                  <w:tcMar>
                    <w:top w:w="0" w:type="dxa"/>
                    <w:left w:w="28" w:type="dxa"/>
                    <w:bottom w:w="0" w:type="dxa"/>
                    <w:right w:w="28" w:type="dxa"/>
                  </w:tcMar>
                  <w:vAlign w:val="center"/>
                </w:tcPr>
                <w:p w14:paraId="2A90FD9C">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574" w:type="dxa"/>
                  <w:vMerge w:val="continue"/>
                  <w:tcBorders>
                    <w:tl2br w:val="nil"/>
                    <w:tr2bl w:val="nil"/>
                  </w:tcBorders>
                  <w:noWrap w:val="0"/>
                  <w:tcMar>
                    <w:top w:w="0" w:type="dxa"/>
                    <w:left w:w="28" w:type="dxa"/>
                    <w:bottom w:w="0" w:type="dxa"/>
                    <w:right w:w="28" w:type="dxa"/>
                  </w:tcMar>
                  <w:vAlign w:val="center"/>
                </w:tcPr>
                <w:p w14:paraId="4607B4CD">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735" w:type="dxa"/>
                  <w:tcBorders>
                    <w:tl2br w:val="nil"/>
                    <w:tr2bl w:val="nil"/>
                  </w:tcBorders>
                  <w:noWrap w:val="0"/>
                  <w:tcMar>
                    <w:top w:w="0" w:type="dxa"/>
                    <w:left w:w="28" w:type="dxa"/>
                    <w:bottom w:w="0" w:type="dxa"/>
                    <w:right w:w="28" w:type="dxa"/>
                  </w:tcMar>
                  <w:vAlign w:val="center"/>
                </w:tcPr>
                <w:p w14:paraId="10BC8B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color w:val="auto"/>
                      <w:szCs w:val="21"/>
                    </w:rPr>
                  </w:pPr>
                  <w:r>
                    <w:rPr>
                      <w:rFonts w:hint="default"/>
                      <w:color w:val="auto"/>
                      <w:kern w:val="0"/>
                      <w:sz w:val="21"/>
                      <w:szCs w:val="21"/>
                      <w:highlight w:val="none"/>
                      <w:lang w:bidi="ar"/>
                    </w:rPr>
                    <w:t>LAS</w:t>
                  </w:r>
                </w:p>
              </w:tc>
              <w:tc>
                <w:tcPr>
                  <w:tcW w:w="682" w:type="dxa"/>
                  <w:tcBorders>
                    <w:tl2br w:val="nil"/>
                    <w:tr2bl w:val="nil"/>
                  </w:tcBorders>
                  <w:noWrap w:val="0"/>
                  <w:tcMar>
                    <w:top w:w="0" w:type="dxa"/>
                    <w:left w:w="28" w:type="dxa"/>
                    <w:bottom w:w="0" w:type="dxa"/>
                    <w:right w:w="28" w:type="dxa"/>
                  </w:tcMar>
                  <w:vAlign w:val="center"/>
                </w:tcPr>
                <w:p w14:paraId="139173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highlight w:val="none"/>
                      <w:u w:val="none"/>
                      <w:lang w:val="en-US" w:eastAsia="zh-CN" w:bidi="ar"/>
                    </w:rPr>
                    <w:t>40</w:t>
                  </w:r>
                </w:p>
              </w:tc>
              <w:tc>
                <w:tcPr>
                  <w:tcW w:w="738" w:type="dxa"/>
                  <w:tcBorders>
                    <w:tl2br w:val="nil"/>
                    <w:tr2bl w:val="nil"/>
                  </w:tcBorders>
                  <w:noWrap w:val="0"/>
                  <w:tcMar>
                    <w:top w:w="0" w:type="dxa"/>
                    <w:left w:w="28" w:type="dxa"/>
                    <w:bottom w:w="0" w:type="dxa"/>
                    <w:right w:w="28" w:type="dxa"/>
                  </w:tcMar>
                  <w:vAlign w:val="center"/>
                </w:tcPr>
                <w:p w14:paraId="249A57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 xml:space="preserve">0.0080 </w:t>
                  </w:r>
                </w:p>
              </w:tc>
              <w:tc>
                <w:tcPr>
                  <w:tcW w:w="546" w:type="dxa"/>
                  <w:vMerge w:val="continue"/>
                  <w:tcBorders>
                    <w:tl2br w:val="nil"/>
                    <w:tr2bl w:val="nil"/>
                  </w:tcBorders>
                  <w:noWrap w:val="0"/>
                  <w:tcMar>
                    <w:top w:w="0" w:type="dxa"/>
                    <w:left w:w="28" w:type="dxa"/>
                    <w:bottom w:w="0" w:type="dxa"/>
                    <w:right w:w="28" w:type="dxa"/>
                  </w:tcMar>
                  <w:vAlign w:val="center"/>
                </w:tcPr>
                <w:p w14:paraId="2EC5F417">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719" w:type="dxa"/>
                  <w:gridSpan w:val="2"/>
                  <w:tcBorders>
                    <w:tl2br w:val="nil"/>
                    <w:tr2bl w:val="nil"/>
                  </w:tcBorders>
                  <w:noWrap w:val="0"/>
                  <w:tcMar>
                    <w:top w:w="0" w:type="dxa"/>
                    <w:left w:w="28" w:type="dxa"/>
                    <w:bottom w:w="0" w:type="dxa"/>
                    <w:right w:w="28" w:type="dxa"/>
                  </w:tcMar>
                  <w:vAlign w:val="center"/>
                </w:tcPr>
                <w:p w14:paraId="6BD5BCC4">
                  <w:pPr>
                    <w:keepNext w:val="0"/>
                    <w:keepLines w:val="0"/>
                    <w:widowControl/>
                    <w:suppressLineNumbers w:val="0"/>
                    <w:spacing w:before="0" w:beforeAutospacing="0" w:after="0" w:afterAutospacing="0" w:line="240" w:lineRule="auto"/>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672" w:type="dxa"/>
                  <w:tcBorders>
                    <w:tl2br w:val="nil"/>
                    <w:tr2bl w:val="nil"/>
                  </w:tcBorders>
                  <w:noWrap w:val="0"/>
                  <w:tcMar>
                    <w:top w:w="0" w:type="dxa"/>
                    <w:left w:w="28" w:type="dxa"/>
                    <w:bottom w:w="0" w:type="dxa"/>
                    <w:right w:w="28" w:type="dxa"/>
                  </w:tcMar>
                  <w:vAlign w:val="center"/>
                </w:tcPr>
                <w:p w14:paraId="0FAC9D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 xml:space="preserve">0.0020 </w:t>
                  </w:r>
                </w:p>
              </w:tc>
              <w:tc>
                <w:tcPr>
                  <w:tcW w:w="842" w:type="dxa"/>
                  <w:tcBorders>
                    <w:tl2br w:val="nil"/>
                    <w:tr2bl w:val="nil"/>
                  </w:tcBorders>
                  <w:noWrap w:val="0"/>
                  <w:tcMar>
                    <w:top w:w="0" w:type="dxa"/>
                    <w:left w:w="28" w:type="dxa"/>
                    <w:bottom w:w="0" w:type="dxa"/>
                    <w:right w:w="28" w:type="dxa"/>
                  </w:tcMar>
                  <w:vAlign w:val="center"/>
                </w:tcPr>
                <w:p w14:paraId="0F820E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color w:val="auto"/>
                      <w:kern w:val="0"/>
                      <w:szCs w:val="21"/>
                    </w:rPr>
                  </w:pPr>
                  <w:r>
                    <w:rPr>
                      <w:rFonts w:hint="default" w:ascii="Times New Roman" w:hAnsi="Times New Roman" w:cs="Times New Roman"/>
                      <w:color w:val="auto"/>
                      <w:kern w:val="0"/>
                      <w:sz w:val="21"/>
                      <w:szCs w:val="21"/>
                      <w:highlight w:val="none"/>
                      <w:lang w:bidi="ar"/>
                    </w:rPr>
                    <w:t>≤</w:t>
                  </w:r>
                  <w:r>
                    <w:rPr>
                      <w:rFonts w:hint="eastAsia" w:ascii="Times New Roman" w:hAnsi="Times New Roman" w:cs="Times New Roman"/>
                      <w:color w:val="auto"/>
                      <w:kern w:val="0"/>
                      <w:sz w:val="21"/>
                      <w:szCs w:val="21"/>
                      <w:highlight w:val="none"/>
                      <w:lang w:val="en-US" w:eastAsia="zh-CN" w:bidi="ar"/>
                    </w:rPr>
                    <w:t>20</w:t>
                  </w:r>
                </w:p>
              </w:tc>
              <w:tc>
                <w:tcPr>
                  <w:tcW w:w="1124" w:type="dxa"/>
                  <w:tcBorders>
                    <w:tl2br w:val="nil"/>
                    <w:tr2bl w:val="nil"/>
                  </w:tcBorders>
                  <w:noWrap w:val="0"/>
                  <w:tcMar>
                    <w:top w:w="0" w:type="dxa"/>
                    <w:left w:w="28" w:type="dxa"/>
                    <w:bottom w:w="0" w:type="dxa"/>
                    <w:right w:w="28" w:type="dxa"/>
                  </w:tcMar>
                  <w:vAlign w:val="center"/>
                </w:tcPr>
                <w:p w14:paraId="3A44A4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color w:val="auto"/>
                      <w:szCs w:val="21"/>
                    </w:rPr>
                  </w:pPr>
                  <w:r>
                    <w:rPr>
                      <w:rFonts w:hint="default"/>
                      <w:color w:val="auto"/>
                      <w:kern w:val="0"/>
                      <w:sz w:val="21"/>
                      <w:szCs w:val="21"/>
                      <w:highlight w:val="none"/>
                      <w:lang w:bidi="ar"/>
                    </w:rPr>
                    <w:t>≤0.5</w:t>
                  </w:r>
                </w:p>
              </w:tc>
              <w:tc>
                <w:tcPr>
                  <w:tcW w:w="765" w:type="dxa"/>
                  <w:tcBorders>
                    <w:tl2br w:val="nil"/>
                    <w:tr2bl w:val="nil"/>
                  </w:tcBorders>
                  <w:noWrap w:val="0"/>
                  <w:tcMar>
                    <w:top w:w="0" w:type="dxa"/>
                    <w:left w:w="28" w:type="dxa"/>
                    <w:bottom w:w="0" w:type="dxa"/>
                    <w:right w:w="28" w:type="dxa"/>
                  </w:tcMar>
                  <w:vAlign w:val="center"/>
                </w:tcPr>
                <w:p w14:paraId="1090933F">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等线" w:cs="Times New Roman"/>
                      <w:i w:val="0"/>
                      <w:iCs w:val="0"/>
                      <w:color w:val="auto"/>
                      <w:kern w:val="0"/>
                      <w:sz w:val="21"/>
                      <w:szCs w:val="21"/>
                      <w:u w:val="none"/>
                      <w:lang w:val="en-US" w:eastAsia="zh-CN" w:bidi="ar"/>
                    </w:rPr>
                    <w:t xml:space="preserve">0.0001 </w:t>
                  </w:r>
                </w:p>
              </w:tc>
              <w:tc>
                <w:tcPr>
                  <w:tcW w:w="850" w:type="dxa"/>
                  <w:vMerge w:val="continue"/>
                  <w:tcBorders>
                    <w:tl2br w:val="nil"/>
                    <w:tr2bl w:val="nil"/>
                  </w:tcBorders>
                  <w:noWrap w:val="0"/>
                  <w:tcMar>
                    <w:top w:w="0" w:type="dxa"/>
                    <w:left w:w="28" w:type="dxa"/>
                    <w:bottom w:w="0" w:type="dxa"/>
                    <w:right w:w="28" w:type="dxa"/>
                  </w:tcMar>
                  <w:vAlign w:val="center"/>
                </w:tcPr>
                <w:p w14:paraId="0A45BA6B">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r>
            <w:tr w14:paraId="6BCE87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31" w:type="dxa"/>
                  <w:vMerge w:val="restart"/>
                  <w:tcBorders>
                    <w:tl2br w:val="nil"/>
                    <w:tr2bl w:val="nil"/>
                  </w:tcBorders>
                  <w:noWrap w:val="0"/>
                  <w:tcMar>
                    <w:top w:w="0" w:type="dxa"/>
                    <w:left w:w="28" w:type="dxa"/>
                    <w:bottom w:w="0" w:type="dxa"/>
                    <w:right w:w="28" w:type="dxa"/>
                  </w:tcMar>
                  <w:vAlign w:val="center"/>
                </w:tcPr>
                <w:p w14:paraId="1D0BBDC2">
                  <w:pPr>
                    <w:keepNext w:val="0"/>
                    <w:keepLines w:val="0"/>
                    <w:suppressLineNumbers w:val="0"/>
                    <w:adjustRightInd w:val="0"/>
                    <w:snapToGrid w:val="0"/>
                    <w:spacing w:before="0" w:beforeAutospacing="0" w:after="0" w:afterAutospacing="0"/>
                    <w:ind w:left="0" w:right="0"/>
                    <w:jc w:val="center"/>
                    <w:rPr>
                      <w:rFonts w:hint="eastAsia" w:eastAsia="宋体"/>
                      <w:color w:val="auto"/>
                      <w:szCs w:val="21"/>
                      <w:lang w:val="en-US" w:eastAsia="zh-CN"/>
                    </w:rPr>
                  </w:pPr>
                  <w:r>
                    <w:rPr>
                      <w:rFonts w:hint="eastAsia"/>
                      <w:color w:val="auto"/>
                      <w:szCs w:val="21"/>
                      <w:lang w:val="en-US" w:eastAsia="zh-CN"/>
                    </w:rPr>
                    <w:t>纯水制备</w:t>
                  </w:r>
                </w:p>
              </w:tc>
              <w:tc>
                <w:tcPr>
                  <w:tcW w:w="492" w:type="dxa"/>
                  <w:vMerge w:val="restart"/>
                  <w:tcBorders>
                    <w:tl2br w:val="nil"/>
                    <w:tr2bl w:val="nil"/>
                  </w:tcBorders>
                  <w:noWrap w:val="0"/>
                  <w:tcMar>
                    <w:top w:w="0" w:type="dxa"/>
                    <w:left w:w="28" w:type="dxa"/>
                    <w:bottom w:w="0" w:type="dxa"/>
                    <w:right w:w="28" w:type="dxa"/>
                  </w:tcMar>
                  <w:vAlign w:val="center"/>
                </w:tcPr>
                <w:p w14:paraId="1859E1A8">
                  <w:pPr>
                    <w:keepNext w:val="0"/>
                    <w:keepLines w:val="0"/>
                    <w:suppressLineNumbers w:val="0"/>
                    <w:adjustRightInd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纯水制备浓水</w:t>
                  </w:r>
                </w:p>
              </w:tc>
              <w:tc>
                <w:tcPr>
                  <w:tcW w:w="574" w:type="dxa"/>
                  <w:vMerge w:val="restart"/>
                  <w:tcBorders>
                    <w:tl2br w:val="nil"/>
                    <w:tr2bl w:val="nil"/>
                  </w:tcBorders>
                  <w:noWrap w:val="0"/>
                  <w:tcMar>
                    <w:top w:w="0" w:type="dxa"/>
                    <w:left w:w="28" w:type="dxa"/>
                    <w:bottom w:w="0" w:type="dxa"/>
                    <w:right w:w="28" w:type="dxa"/>
                  </w:tcMar>
                  <w:vAlign w:val="center"/>
                </w:tcPr>
                <w:p w14:paraId="68FAAF72">
                  <w:pPr>
                    <w:keepNext w:val="0"/>
                    <w:keepLines w:val="0"/>
                    <w:suppressLineNumbers w:val="0"/>
                    <w:adjustRightInd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4.95</w:t>
                  </w:r>
                </w:p>
              </w:tc>
              <w:tc>
                <w:tcPr>
                  <w:tcW w:w="735" w:type="dxa"/>
                  <w:tcBorders>
                    <w:tl2br w:val="nil"/>
                    <w:tr2bl w:val="nil"/>
                  </w:tcBorders>
                  <w:noWrap w:val="0"/>
                  <w:tcMar>
                    <w:top w:w="0" w:type="dxa"/>
                    <w:left w:w="28" w:type="dxa"/>
                    <w:bottom w:w="0" w:type="dxa"/>
                    <w:right w:w="28" w:type="dxa"/>
                  </w:tcMar>
                  <w:vAlign w:val="center"/>
                </w:tcPr>
                <w:p w14:paraId="3894083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color w:val="auto"/>
                      <w:kern w:val="0"/>
                      <w:sz w:val="21"/>
                      <w:szCs w:val="21"/>
                      <w:highlight w:val="none"/>
                      <w:lang w:bidi="ar"/>
                    </w:rPr>
                  </w:pPr>
                  <w:r>
                    <w:rPr>
                      <w:rFonts w:hint="default" w:ascii="Times New Roman" w:hAnsi="Times New Roman" w:eastAsia="宋体" w:cs="Times New Roman"/>
                      <w:color w:val="auto"/>
                      <w:sz w:val="21"/>
                      <w:szCs w:val="21"/>
                      <w:highlight w:val="none"/>
                    </w:rPr>
                    <w:t>COD</w:t>
                  </w:r>
                </w:p>
              </w:tc>
              <w:tc>
                <w:tcPr>
                  <w:tcW w:w="682" w:type="dxa"/>
                  <w:tcBorders>
                    <w:tl2br w:val="nil"/>
                    <w:tr2bl w:val="nil"/>
                  </w:tcBorders>
                  <w:noWrap w:val="0"/>
                  <w:tcMar>
                    <w:top w:w="0" w:type="dxa"/>
                    <w:left w:w="28" w:type="dxa"/>
                    <w:bottom w:w="0" w:type="dxa"/>
                    <w:right w:w="28" w:type="dxa"/>
                  </w:tcMar>
                  <w:vAlign w:val="center"/>
                </w:tcPr>
                <w:p w14:paraId="0F514F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color w:val="auto"/>
                      <w:szCs w:val="21"/>
                    </w:rPr>
                  </w:pPr>
                  <w:r>
                    <w:rPr>
                      <w:rFonts w:hint="eastAsia" w:cs="Times New Roman"/>
                      <w:color w:val="auto"/>
                      <w:kern w:val="2"/>
                      <w:sz w:val="21"/>
                      <w:szCs w:val="21"/>
                      <w:highlight w:val="none"/>
                      <w:lang w:val="en-US" w:eastAsia="zh-CN" w:bidi="ar-SA"/>
                    </w:rPr>
                    <w:t>40</w:t>
                  </w:r>
                </w:p>
              </w:tc>
              <w:tc>
                <w:tcPr>
                  <w:tcW w:w="738" w:type="dxa"/>
                  <w:tcBorders>
                    <w:tl2br w:val="nil"/>
                    <w:tr2bl w:val="nil"/>
                  </w:tcBorders>
                  <w:noWrap w:val="0"/>
                  <w:tcMar>
                    <w:top w:w="0" w:type="dxa"/>
                    <w:left w:w="28" w:type="dxa"/>
                    <w:bottom w:w="0" w:type="dxa"/>
                    <w:right w:w="28" w:type="dxa"/>
                  </w:tcMar>
                  <w:vAlign w:val="center"/>
                </w:tcPr>
                <w:p w14:paraId="7DCC64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 xml:space="preserve">0.0002 </w:t>
                  </w:r>
                </w:p>
              </w:tc>
              <w:tc>
                <w:tcPr>
                  <w:tcW w:w="546" w:type="dxa"/>
                  <w:vMerge w:val="restart"/>
                  <w:tcBorders>
                    <w:tl2br w:val="nil"/>
                    <w:tr2bl w:val="nil"/>
                  </w:tcBorders>
                  <w:noWrap w:val="0"/>
                  <w:tcMar>
                    <w:top w:w="0" w:type="dxa"/>
                    <w:left w:w="28" w:type="dxa"/>
                    <w:bottom w:w="0" w:type="dxa"/>
                    <w:right w:w="28" w:type="dxa"/>
                  </w:tcMar>
                  <w:vAlign w:val="center"/>
                </w:tcPr>
                <w:p w14:paraId="36F4FEB2">
                  <w:pPr>
                    <w:keepNext w:val="0"/>
                    <w:keepLines w:val="0"/>
                    <w:suppressLineNumbers w:val="0"/>
                    <w:adjustRightInd w:val="0"/>
                    <w:snapToGrid w:val="0"/>
                    <w:spacing w:before="0" w:beforeAutospacing="0" w:after="0" w:afterAutospacing="0"/>
                    <w:ind w:left="0" w:right="0"/>
                    <w:jc w:val="center"/>
                    <w:rPr>
                      <w:rFonts w:hint="eastAsia" w:eastAsia="宋体"/>
                      <w:color w:val="auto"/>
                      <w:szCs w:val="21"/>
                      <w:lang w:val="en-US" w:eastAsia="zh-CN"/>
                    </w:rPr>
                  </w:pPr>
                  <w:r>
                    <w:rPr>
                      <w:rFonts w:hint="eastAsia"/>
                      <w:color w:val="auto"/>
                      <w:szCs w:val="21"/>
                      <w:lang w:val="en-US" w:eastAsia="zh-CN"/>
                    </w:rPr>
                    <w:t>/</w:t>
                  </w:r>
                </w:p>
              </w:tc>
              <w:tc>
                <w:tcPr>
                  <w:tcW w:w="719" w:type="dxa"/>
                  <w:gridSpan w:val="2"/>
                  <w:tcBorders>
                    <w:tl2br w:val="nil"/>
                    <w:tr2bl w:val="nil"/>
                  </w:tcBorders>
                  <w:noWrap w:val="0"/>
                  <w:tcMar>
                    <w:top w:w="0" w:type="dxa"/>
                    <w:left w:w="28" w:type="dxa"/>
                    <w:bottom w:w="0" w:type="dxa"/>
                    <w:right w:w="28" w:type="dxa"/>
                  </w:tcMar>
                  <w:vAlign w:val="center"/>
                </w:tcPr>
                <w:p w14:paraId="4DC551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color w:val="auto"/>
                      <w:szCs w:val="21"/>
                    </w:rPr>
                  </w:pPr>
                  <w:r>
                    <w:rPr>
                      <w:rFonts w:hint="eastAsia" w:cs="Times New Roman"/>
                      <w:i w:val="0"/>
                      <w:iCs w:val="0"/>
                      <w:color w:val="auto"/>
                      <w:kern w:val="0"/>
                      <w:sz w:val="21"/>
                      <w:szCs w:val="21"/>
                      <w:u w:val="none"/>
                      <w:lang w:val="en-US" w:eastAsia="zh-CN" w:bidi="ar"/>
                    </w:rPr>
                    <w:t>40</w:t>
                  </w:r>
                </w:p>
              </w:tc>
              <w:tc>
                <w:tcPr>
                  <w:tcW w:w="672" w:type="dxa"/>
                  <w:tcBorders>
                    <w:tl2br w:val="nil"/>
                    <w:tr2bl w:val="nil"/>
                  </w:tcBorders>
                  <w:noWrap w:val="0"/>
                  <w:tcMar>
                    <w:top w:w="0" w:type="dxa"/>
                    <w:left w:w="28" w:type="dxa"/>
                    <w:bottom w:w="0" w:type="dxa"/>
                    <w:right w:w="28" w:type="dxa"/>
                  </w:tcMar>
                  <w:vAlign w:val="center"/>
                </w:tcPr>
                <w:p w14:paraId="735670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 xml:space="preserve">0.0002 </w:t>
                  </w:r>
                </w:p>
              </w:tc>
              <w:tc>
                <w:tcPr>
                  <w:tcW w:w="842" w:type="dxa"/>
                  <w:tcBorders>
                    <w:tl2br w:val="nil"/>
                    <w:tr2bl w:val="nil"/>
                  </w:tcBorders>
                  <w:noWrap w:val="0"/>
                  <w:tcMar>
                    <w:top w:w="0" w:type="dxa"/>
                    <w:left w:w="28" w:type="dxa"/>
                    <w:bottom w:w="0" w:type="dxa"/>
                    <w:right w:w="28" w:type="dxa"/>
                  </w:tcMar>
                  <w:vAlign w:val="center"/>
                </w:tcPr>
                <w:p w14:paraId="3FA861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color w:val="auto"/>
                      <w:kern w:val="0"/>
                      <w:szCs w:val="21"/>
                    </w:rPr>
                  </w:pPr>
                  <w:r>
                    <w:rPr>
                      <w:rFonts w:hint="default" w:ascii="Times New Roman" w:hAnsi="Times New Roman" w:cs="Times New Roman"/>
                      <w:color w:val="auto"/>
                      <w:kern w:val="0"/>
                      <w:sz w:val="21"/>
                      <w:szCs w:val="21"/>
                      <w:highlight w:val="none"/>
                      <w:lang w:bidi="ar"/>
                    </w:rPr>
                    <w:t>≤500</w:t>
                  </w:r>
                </w:p>
              </w:tc>
              <w:tc>
                <w:tcPr>
                  <w:tcW w:w="1124" w:type="dxa"/>
                  <w:tcBorders>
                    <w:tl2br w:val="nil"/>
                    <w:tr2bl w:val="nil"/>
                  </w:tcBorders>
                  <w:noWrap w:val="0"/>
                  <w:tcMar>
                    <w:top w:w="0" w:type="dxa"/>
                    <w:left w:w="28" w:type="dxa"/>
                    <w:bottom w:w="0" w:type="dxa"/>
                    <w:right w:w="28" w:type="dxa"/>
                  </w:tcMar>
                  <w:vAlign w:val="center"/>
                </w:tcPr>
                <w:p w14:paraId="399BE8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color w:val="auto"/>
                      <w:szCs w:val="21"/>
                      <w:lang w:val="en-US"/>
                    </w:rPr>
                  </w:pPr>
                  <w:r>
                    <w:rPr>
                      <w:rFonts w:hint="default"/>
                      <w:color w:val="auto"/>
                      <w:kern w:val="0"/>
                      <w:sz w:val="21"/>
                      <w:szCs w:val="21"/>
                      <w:highlight w:val="none"/>
                      <w:lang w:bidi="ar"/>
                    </w:rPr>
                    <w:t>≤</w:t>
                  </w:r>
                  <w:r>
                    <w:rPr>
                      <w:rFonts w:hint="eastAsia"/>
                      <w:color w:val="auto"/>
                      <w:kern w:val="0"/>
                      <w:sz w:val="21"/>
                      <w:szCs w:val="21"/>
                      <w:highlight w:val="none"/>
                      <w:lang w:val="en-US" w:eastAsia="zh-CN" w:bidi="ar"/>
                    </w:rPr>
                    <w:t>40</w:t>
                  </w:r>
                </w:p>
              </w:tc>
              <w:tc>
                <w:tcPr>
                  <w:tcW w:w="765" w:type="dxa"/>
                  <w:tcBorders>
                    <w:tl2br w:val="nil"/>
                    <w:tr2bl w:val="nil"/>
                  </w:tcBorders>
                  <w:noWrap w:val="0"/>
                  <w:tcMar>
                    <w:top w:w="0" w:type="dxa"/>
                    <w:left w:w="28" w:type="dxa"/>
                    <w:bottom w:w="0" w:type="dxa"/>
                    <w:right w:w="28" w:type="dxa"/>
                  </w:tcMar>
                  <w:vAlign w:val="center"/>
                </w:tcPr>
                <w:p w14:paraId="3F3509BB">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等线" w:cs="Times New Roman"/>
                      <w:i w:val="0"/>
                      <w:iCs w:val="0"/>
                      <w:color w:val="auto"/>
                      <w:kern w:val="0"/>
                      <w:sz w:val="21"/>
                      <w:szCs w:val="21"/>
                      <w:u w:val="none"/>
                      <w:lang w:val="en-US" w:eastAsia="zh-CN" w:bidi="ar"/>
                    </w:rPr>
                    <w:t xml:space="preserve">0.0002 </w:t>
                  </w:r>
                </w:p>
              </w:tc>
              <w:tc>
                <w:tcPr>
                  <w:tcW w:w="850" w:type="dxa"/>
                  <w:vMerge w:val="continue"/>
                  <w:tcBorders>
                    <w:tl2br w:val="nil"/>
                    <w:tr2bl w:val="nil"/>
                  </w:tcBorders>
                  <w:noWrap w:val="0"/>
                  <w:tcMar>
                    <w:top w:w="0" w:type="dxa"/>
                    <w:left w:w="28" w:type="dxa"/>
                    <w:bottom w:w="0" w:type="dxa"/>
                    <w:right w:w="28" w:type="dxa"/>
                  </w:tcMar>
                  <w:vAlign w:val="center"/>
                </w:tcPr>
                <w:p w14:paraId="732356AC">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r>
            <w:tr w14:paraId="3744FA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1" w:type="dxa"/>
                  <w:vMerge w:val="continue"/>
                  <w:tcBorders>
                    <w:tl2br w:val="nil"/>
                    <w:tr2bl w:val="nil"/>
                  </w:tcBorders>
                  <w:noWrap w:val="0"/>
                  <w:tcMar>
                    <w:top w:w="0" w:type="dxa"/>
                    <w:left w:w="28" w:type="dxa"/>
                    <w:bottom w:w="0" w:type="dxa"/>
                    <w:right w:w="28" w:type="dxa"/>
                  </w:tcMar>
                  <w:vAlign w:val="center"/>
                </w:tcPr>
                <w:p w14:paraId="7E4D078A">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492" w:type="dxa"/>
                  <w:vMerge w:val="continue"/>
                  <w:tcBorders>
                    <w:tl2br w:val="nil"/>
                    <w:tr2bl w:val="nil"/>
                  </w:tcBorders>
                  <w:noWrap w:val="0"/>
                  <w:tcMar>
                    <w:top w:w="0" w:type="dxa"/>
                    <w:left w:w="28" w:type="dxa"/>
                    <w:bottom w:w="0" w:type="dxa"/>
                    <w:right w:w="28" w:type="dxa"/>
                  </w:tcMar>
                  <w:vAlign w:val="center"/>
                </w:tcPr>
                <w:p w14:paraId="42B1A402">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574" w:type="dxa"/>
                  <w:vMerge w:val="continue"/>
                  <w:tcBorders>
                    <w:tl2br w:val="nil"/>
                    <w:tr2bl w:val="nil"/>
                  </w:tcBorders>
                  <w:noWrap w:val="0"/>
                  <w:tcMar>
                    <w:top w:w="0" w:type="dxa"/>
                    <w:left w:w="28" w:type="dxa"/>
                    <w:bottom w:w="0" w:type="dxa"/>
                    <w:right w:w="28" w:type="dxa"/>
                  </w:tcMar>
                  <w:vAlign w:val="center"/>
                </w:tcPr>
                <w:p w14:paraId="1206AEE0">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735" w:type="dxa"/>
                  <w:tcBorders>
                    <w:tl2br w:val="nil"/>
                    <w:tr2bl w:val="nil"/>
                  </w:tcBorders>
                  <w:noWrap w:val="0"/>
                  <w:tcMar>
                    <w:top w:w="0" w:type="dxa"/>
                    <w:left w:w="28" w:type="dxa"/>
                    <w:bottom w:w="0" w:type="dxa"/>
                    <w:right w:w="28" w:type="dxa"/>
                  </w:tcMar>
                  <w:vAlign w:val="center"/>
                </w:tcPr>
                <w:p w14:paraId="11866FE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color w:val="auto"/>
                      <w:kern w:val="0"/>
                      <w:sz w:val="21"/>
                      <w:szCs w:val="21"/>
                      <w:highlight w:val="none"/>
                      <w:lang w:bidi="ar"/>
                    </w:rPr>
                  </w:pPr>
                  <w:r>
                    <w:rPr>
                      <w:rFonts w:hint="default" w:ascii="Times New Roman" w:hAnsi="Times New Roman" w:eastAsia="宋体" w:cs="Times New Roman"/>
                      <w:color w:val="auto"/>
                      <w:sz w:val="21"/>
                      <w:szCs w:val="21"/>
                      <w:highlight w:val="none"/>
                    </w:rPr>
                    <w:t>SS</w:t>
                  </w:r>
                </w:p>
              </w:tc>
              <w:tc>
                <w:tcPr>
                  <w:tcW w:w="682" w:type="dxa"/>
                  <w:tcBorders>
                    <w:tl2br w:val="nil"/>
                    <w:tr2bl w:val="nil"/>
                  </w:tcBorders>
                  <w:noWrap w:val="0"/>
                  <w:tcMar>
                    <w:top w:w="0" w:type="dxa"/>
                    <w:left w:w="28" w:type="dxa"/>
                    <w:bottom w:w="0" w:type="dxa"/>
                    <w:right w:w="28" w:type="dxa"/>
                  </w:tcMar>
                  <w:vAlign w:val="center"/>
                </w:tcPr>
                <w:p w14:paraId="538F6F2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color w:val="auto"/>
                      <w:szCs w:val="21"/>
                    </w:rPr>
                  </w:pPr>
                  <w:r>
                    <w:rPr>
                      <w:rFonts w:hint="eastAsia" w:cs="Times New Roman"/>
                      <w:color w:val="auto"/>
                      <w:kern w:val="2"/>
                      <w:sz w:val="21"/>
                      <w:szCs w:val="21"/>
                      <w:highlight w:val="none"/>
                      <w:lang w:val="en-US" w:eastAsia="zh-CN" w:bidi="ar-SA"/>
                    </w:rPr>
                    <w:t>30</w:t>
                  </w:r>
                </w:p>
              </w:tc>
              <w:tc>
                <w:tcPr>
                  <w:tcW w:w="738" w:type="dxa"/>
                  <w:tcBorders>
                    <w:tl2br w:val="nil"/>
                    <w:tr2bl w:val="nil"/>
                  </w:tcBorders>
                  <w:noWrap w:val="0"/>
                  <w:tcMar>
                    <w:top w:w="0" w:type="dxa"/>
                    <w:left w:w="28" w:type="dxa"/>
                    <w:bottom w:w="0" w:type="dxa"/>
                    <w:right w:w="28" w:type="dxa"/>
                  </w:tcMar>
                  <w:vAlign w:val="center"/>
                </w:tcPr>
                <w:p w14:paraId="35A59D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 xml:space="preserve">0.0001 </w:t>
                  </w:r>
                </w:p>
              </w:tc>
              <w:tc>
                <w:tcPr>
                  <w:tcW w:w="546" w:type="dxa"/>
                  <w:vMerge w:val="continue"/>
                  <w:tcBorders>
                    <w:tl2br w:val="nil"/>
                    <w:tr2bl w:val="nil"/>
                  </w:tcBorders>
                  <w:noWrap w:val="0"/>
                  <w:tcMar>
                    <w:top w:w="0" w:type="dxa"/>
                    <w:left w:w="28" w:type="dxa"/>
                    <w:bottom w:w="0" w:type="dxa"/>
                    <w:right w:w="28" w:type="dxa"/>
                  </w:tcMar>
                  <w:vAlign w:val="center"/>
                </w:tcPr>
                <w:p w14:paraId="73C7F0CB">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719" w:type="dxa"/>
                  <w:gridSpan w:val="2"/>
                  <w:tcBorders>
                    <w:tl2br w:val="nil"/>
                    <w:tr2bl w:val="nil"/>
                  </w:tcBorders>
                  <w:noWrap w:val="0"/>
                  <w:tcMar>
                    <w:top w:w="0" w:type="dxa"/>
                    <w:left w:w="28" w:type="dxa"/>
                    <w:bottom w:w="0" w:type="dxa"/>
                    <w:right w:w="28" w:type="dxa"/>
                  </w:tcMar>
                  <w:vAlign w:val="center"/>
                </w:tcPr>
                <w:p w14:paraId="6A71CB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color w:val="auto"/>
                      <w:szCs w:val="21"/>
                    </w:rPr>
                  </w:pPr>
                  <w:r>
                    <w:rPr>
                      <w:rFonts w:hint="eastAsia" w:cs="Times New Roman"/>
                      <w:i w:val="0"/>
                      <w:iCs w:val="0"/>
                      <w:color w:val="auto"/>
                      <w:kern w:val="0"/>
                      <w:sz w:val="21"/>
                      <w:szCs w:val="21"/>
                      <w:u w:val="none"/>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0</w:t>
                  </w:r>
                </w:p>
              </w:tc>
              <w:tc>
                <w:tcPr>
                  <w:tcW w:w="672" w:type="dxa"/>
                  <w:tcBorders>
                    <w:tl2br w:val="nil"/>
                    <w:tr2bl w:val="nil"/>
                  </w:tcBorders>
                  <w:noWrap w:val="0"/>
                  <w:tcMar>
                    <w:top w:w="0" w:type="dxa"/>
                    <w:left w:w="28" w:type="dxa"/>
                    <w:bottom w:w="0" w:type="dxa"/>
                    <w:right w:w="28" w:type="dxa"/>
                  </w:tcMar>
                  <w:vAlign w:val="center"/>
                </w:tcPr>
                <w:p w14:paraId="52B6B9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 xml:space="preserve">0.0001 </w:t>
                  </w:r>
                </w:p>
              </w:tc>
              <w:tc>
                <w:tcPr>
                  <w:tcW w:w="842" w:type="dxa"/>
                  <w:tcBorders>
                    <w:tl2br w:val="nil"/>
                    <w:tr2bl w:val="nil"/>
                  </w:tcBorders>
                  <w:noWrap w:val="0"/>
                  <w:tcMar>
                    <w:top w:w="0" w:type="dxa"/>
                    <w:left w:w="28" w:type="dxa"/>
                    <w:bottom w:w="0" w:type="dxa"/>
                    <w:right w:w="28" w:type="dxa"/>
                  </w:tcMar>
                  <w:vAlign w:val="center"/>
                </w:tcPr>
                <w:p w14:paraId="69060F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color w:val="auto"/>
                      <w:kern w:val="0"/>
                      <w:szCs w:val="21"/>
                    </w:rPr>
                  </w:pPr>
                  <w:r>
                    <w:rPr>
                      <w:rFonts w:hint="default" w:ascii="Times New Roman" w:hAnsi="Times New Roman" w:cs="Times New Roman"/>
                      <w:color w:val="auto"/>
                      <w:kern w:val="0"/>
                      <w:sz w:val="21"/>
                      <w:szCs w:val="21"/>
                      <w:highlight w:val="none"/>
                      <w:lang w:bidi="ar"/>
                    </w:rPr>
                    <w:t>≤400</w:t>
                  </w:r>
                </w:p>
              </w:tc>
              <w:tc>
                <w:tcPr>
                  <w:tcW w:w="1124" w:type="dxa"/>
                  <w:tcBorders>
                    <w:tl2br w:val="nil"/>
                    <w:tr2bl w:val="nil"/>
                  </w:tcBorders>
                  <w:noWrap w:val="0"/>
                  <w:tcMar>
                    <w:top w:w="0" w:type="dxa"/>
                    <w:left w:w="28" w:type="dxa"/>
                    <w:bottom w:w="0" w:type="dxa"/>
                    <w:right w:w="28" w:type="dxa"/>
                  </w:tcMar>
                  <w:vAlign w:val="center"/>
                </w:tcPr>
                <w:p w14:paraId="5476B4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color w:val="auto"/>
                      <w:szCs w:val="21"/>
                      <w:lang w:val="en-US"/>
                    </w:rPr>
                  </w:pPr>
                  <w:r>
                    <w:rPr>
                      <w:rFonts w:hint="default"/>
                      <w:color w:val="auto"/>
                      <w:kern w:val="0"/>
                      <w:sz w:val="21"/>
                      <w:szCs w:val="21"/>
                      <w:highlight w:val="none"/>
                      <w:lang w:bidi="ar"/>
                    </w:rPr>
                    <w:t>≤</w:t>
                  </w:r>
                  <w:r>
                    <w:rPr>
                      <w:rFonts w:hint="eastAsia"/>
                      <w:color w:val="auto"/>
                      <w:kern w:val="0"/>
                      <w:sz w:val="21"/>
                      <w:szCs w:val="21"/>
                      <w:highlight w:val="none"/>
                      <w:lang w:val="en-US" w:eastAsia="zh-CN" w:bidi="ar"/>
                    </w:rPr>
                    <w:t>10</w:t>
                  </w:r>
                </w:p>
              </w:tc>
              <w:tc>
                <w:tcPr>
                  <w:tcW w:w="765" w:type="dxa"/>
                  <w:tcBorders>
                    <w:tl2br w:val="nil"/>
                    <w:tr2bl w:val="nil"/>
                  </w:tcBorders>
                  <w:noWrap w:val="0"/>
                  <w:tcMar>
                    <w:top w:w="0" w:type="dxa"/>
                    <w:left w:w="28" w:type="dxa"/>
                    <w:bottom w:w="0" w:type="dxa"/>
                    <w:right w:w="28" w:type="dxa"/>
                  </w:tcMar>
                  <w:vAlign w:val="center"/>
                </w:tcPr>
                <w:p w14:paraId="3117F9AD">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eastAsia="等线" w:cs="Times New Roman"/>
                      <w:i w:val="0"/>
                      <w:iCs w:val="0"/>
                      <w:color w:val="auto"/>
                      <w:kern w:val="0"/>
                      <w:sz w:val="21"/>
                      <w:szCs w:val="21"/>
                      <w:u w:val="none"/>
                      <w:lang w:val="en-US" w:eastAsia="zh-CN" w:bidi="ar"/>
                    </w:rPr>
                    <w:t>0.00005</w:t>
                  </w:r>
                  <w:r>
                    <w:rPr>
                      <w:rFonts w:hint="default" w:ascii="Times New Roman" w:hAnsi="Times New Roman" w:eastAsia="等线" w:cs="Times New Roman"/>
                      <w:i w:val="0"/>
                      <w:iCs w:val="0"/>
                      <w:color w:val="auto"/>
                      <w:kern w:val="0"/>
                      <w:sz w:val="21"/>
                      <w:szCs w:val="21"/>
                      <w:u w:val="none"/>
                      <w:lang w:val="en-US" w:eastAsia="zh-CN" w:bidi="ar"/>
                    </w:rPr>
                    <w:t xml:space="preserve"> </w:t>
                  </w:r>
                </w:p>
              </w:tc>
              <w:tc>
                <w:tcPr>
                  <w:tcW w:w="850" w:type="dxa"/>
                  <w:vMerge w:val="continue"/>
                  <w:tcBorders>
                    <w:tl2br w:val="nil"/>
                    <w:tr2bl w:val="nil"/>
                  </w:tcBorders>
                  <w:noWrap w:val="0"/>
                  <w:tcMar>
                    <w:top w:w="0" w:type="dxa"/>
                    <w:left w:w="28" w:type="dxa"/>
                    <w:bottom w:w="0" w:type="dxa"/>
                    <w:right w:w="28" w:type="dxa"/>
                  </w:tcMar>
                  <w:vAlign w:val="center"/>
                </w:tcPr>
                <w:p w14:paraId="2CD0D837">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r>
            <w:tr w14:paraId="26642E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1" w:type="dxa"/>
                  <w:vMerge w:val="restart"/>
                  <w:tcBorders>
                    <w:tl2br w:val="nil"/>
                    <w:tr2bl w:val="nil"/>
                  </w:tcBorders>
                  <w:noWrap w:val="0"/>
                  <w:tcMar>
                    <w:top w:w="0" w:type="dxa"/>
                    <w:left w:w="28" w:type="dxa"/>
                    <w:bottom w:w="0" w:type="dxa"/>
                    <w:right w:w="28" w:type="dxa"/>
                  </w:tcMar>
                  <w:vAlign w:val="center"/>
                </w:tcPr>
                <w:p w14:paraId="348B30E1">
                  <w:pPr>
                    <w:keepNext w:val="0"/>
                    <w:keepLines w:val="0"/>
                    <w:suppressLineNumbers w:val="0"/>
                    <w:adjustRightInd w:val="0"/>
                    <w:snapToGrid w:val="0"/>
                    <w:spacing w:before="0" w:beforeAutospacing="0" w:after="0" w:afterAutospacing="0"/>
                    <w:ind w:left="0" w:right="0"/>
                    <w:jc w:val="center"/>
                    <w:rPr>
                      <w:rFonts w:hint="eastAsia" w:eastAsia="宋体"/>
                      <w:color w:val="auto"/>
                      <w:szCs w:val="21"/>
                      <w:lang w:val="en-US" w:eastAsia="zh-CN"/>
                    </w:rPr>
                  </w:pPr>
                  <w:r>
                    <w:rPr>
                      <w:rFonts w:hint="eastAsia"/>
                      <w:color w:val="auto"/>
                      <w:szCs w:val="21"/>
                      <w:lang w:val="en-US" w:eastAsia="zh-CN"/>
                    </w:rPr>
                    <w:t>水浴锅</w:t>
                  </w:r>
                </w:p>
              </w:tc>
              <w:tc>
                <w:tcPr>
                  <w:tcW w:w="492" w:type="dxa"/>
                  <w:vMerge w:val="restart"/>
                  <w:tcBorders>
                    <w:tl2br w:val="nil"/>
                    <w:tr2bl w:val="nil"/>
                  </w:tcBorders>
                  <w:noWrap w:val="0"/>
                  <w:tcMar>
                    <w:top w:w="0" w:type="dxa"/>
                    <w:left w:w="28" w:type="dxa"/>
                    <w:bottom w:w="0" w:type="dxa"/>
                    <w:right w:w="28" w:type="dxa"/>
                  </w:tcMar>
                  <w:vAlign w:val="center"/>
                </w:tcPr>
                <w:p w14:paraId="1AB50F68">
                  <w:pPr>
                    <w:keepNext w:val="0"/>
                    <w:keepLines w:val="0"/>
                    <w:suppressLineNumbers w:val="0"/>
                    <w:adjustRightInd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水浴锅排水</w:t>
                  </w:r>
                </w:p>
              </w:tc>
              <w:tc>
                <w:tcPr>
                  <w:tcW w:w="574" w:type="dxa"/>
                  <w:vMerge w:val="restart"/>
                  <w:tcBorders>
                    <w:tl2br w:val="nil"/>
                    <w:tr2bl w:val="nil"/>
                  </w:tcBorders>
                  <w:noWrap w:val="0"/>
                  <w:tcMar>
                    <w:top w:w="0" w:type="dxa"/>
                    <w:left w:w="28" w:type="dxa"/>
                    <w:bottom w:w="0" w:type="dxa"/>
                    <w:right w:w="28" w:type="dxa"/>
                  </w:tcMar>
                  <w:vAlign w:val="center"/>
                </w:tcPr>
                <w:p w14:paraId="36F81C48">
                  <w:pPr>
                    <w:keepNext w:val="0"/>
                    <w:keepLines w:val="0"/>
                    <w:suppressLineNumbers w:val="0"/>
                    <w:adjustRightInd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1.44</w:t>
                  </w:r>
                </w:p>
              </w:tc>
              <w:tc>
                <w:tcPr>
                  <w:tcW w:w="735" w:type="dxa"/>
                  <w:tcBorders>
                    <w:tl2br w:val="nil"/>
                    <w:tr2bl w:val="nil"/>
                  </w:tcBorders>
                  <w:noWrap w:val="0"/>
                  <w:tcMar>
                    <w:top w:w="0" w:type="dxa"/>
                    <w:left w:w="28" w:type="dxa"/>
                    <w:bottom w:w="0" w:type="dxa"/>
                    <w:right w:w="28" w:type="dxa"/>
                  </w:tcMar>
                  <w:vAlign w:val="center"/>
                </w:tcPr>
                <w:p w14:paraId="2FFB1FE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color w:val="auto"/>
                      <w:kern w:val="0"/>
                      <w:sz w:val="21"/>
                      <w:szCs w:val="21"/>
                      <w:highlight w:val="none"/>
                      <w:lang w:bidi="ar"/>
                    </w:rPr>
                  </w:pPr>
                  <w:r>
                    <w:rPr>
                      <w:rFonts w:hint="default" w:ascii="Times New Roman" w:hAnsi="Times New Roman" w:eastAsia="宋体" w:cs="Times New Roman"/>
                      <w:color w:val="auto"/>
                      <w:sz w:val="21"/>
                      <w:szCs w:val="21"/>
                      <w:highlight w:val="none"/>
                    </w:rPr>
                    <w:t>COD</w:t>
                  </w:r>
                </w:p>
              </w:tc>
              <w:tc>
                <w:tcPr>
                  <w:tcW w:w="682" w:type="dxa"/>
                  <w:tcBorders>
                    <w:tl2br w:val="nil"/>
                    <w:tr2bl w:val="nil"/>
                  </w:tcBorders>
                  <w:noWrap w:val="0"/>
                  <w:tcMar>
                    <w:top w:w="0" w:type="dxa"/>
                    <w:left w:w="28" w:type="dxa"/>
                    <w:bottom w:w="0" w:type="dxa"/>
                    <w:right w:w="28" w:type="dxa"/>
                  </w:tcMar>
                  <w:vAlign w:val="center"/>
                </w:tcPr>
                <w:p w14:paraId="5B5BBA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color w:val="auto"/>
                      <w:szCs w:val="21"/>
                    </w:rPr>
                  </w:pPr>
                  <w:r>
                    <w:rPr>
                      <w:rFonts w:hint="eastAsia" w:ascii="Times New Roman" w:hAnsi="Times New Roman" w:eastAsia="宋体" w:cs="Times New Roman"/>
                      <w:color w:val="auto"/>
                      <w:kern w:val="2"/>
                      <w:sz w:val="21"/>
                      <w:szCs w:val="21"/>
                      <w:highlight w:val="none"/>
                      <w:lang w:val="en-US" w:eastAsia="zh-CN" w:bidi="ar-SA"/>
                    </w:rPr>
                    <w:t>40</w:t>
                  </w:r>
                </w:p>
              </w:tc>
              <w:tc>
                <w:tcPr>
                  <w:tcW w:w="738" w:type="dxa"/>
                  <w:tcBorders>
                    <w:tl2br w:val="nil"/>
                    <w:tr2bl w:val="nil"/>
                  </w:tcBorders>
                  <w:noWrap w:val="0"/>
                  <w:tcMar>
                    <w:top w:w="0" w:type="dxa"/>
                    <w:left w:w="28" w:type="dxa"/>
                    <w:bottom w:w="0" w:type="dxa"/>
                    <w:right w:w="28" w:type="dxa"/>
                  </w:tcMar>
                  <w:vAlign w:val="center"/>
                </w:tcPr>
                <w:p w14:paraId="7F1358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 xml:space="preserve">0.0001 </w:t>
                  </w:r>
                </w:p>
              </w:tc>
              <w:tc>
                <w:tcPr>
                  <w:tcW w:w="546" w:type="dxa"/>
                  <w:vMerge w:val="restart"/>
                  <w:tcBorders>
                    <w:tl2br w:val="nil"/>
                    <w:tr2bl w:val="nil"/>
                  </w:tcBorders>
                  <w:noWrap w:val="0"/>
                  <w:tcMar>
                    <w:top w:w="0" w:type="dxa"/>
                    <w:left w:w="28" w:type="dxa"/>
                    <w:bottom w:w="0" w:type="dxa"/>
                    <w:right w:w="28" w:type="dxa"/>
                  </w:tcMar>
                  <w:vAlign w:val="center"/>
                </w:tcPr>
                <w:p w14:paraId="05CAC8FA">
                  <w:pPr>
                    <w:keepNext w:val="0"/>
                    <w:keepLines w:val="0"/>
                    <w:suppressLineNumbers w:val="0"/>
                    <w:adjustRightInd w:val="0"/>
                    <w:snapToGrid w:val="0"/>
                    <w:spacing w:before="0" w:beforeAutospacing="0" w:after="0" w:afterAutospacing="0"/>
                    <w:ind w:left="0" w:right="0"/>
                    <w:jc w:val="center"/>
                    <w:rPr>
                      <w:rFonts w:hint="eastAsia" w:eastAsia="宋体"/>
                      <w:color w:val="auto"/>
                      <w:szCs w:val="21"/>
                      <w:lang w:val="en-US" w:eastAsia="zh-CN"/>
                    </w:rPr>
                  </w:pPr>
                  <w:r>
                    <w:rPr>
                      <w:rFonts w:hint="eastAsia"/>
                      <w:color w:val="auto"/>
                      <w:szCs w:val="21"/>
                      <w:lang w:val="en-US" w:eastAsia="zh-CN"/>
                    </w:rPr>
                    <w:t>/</w:t>
                  </w:r>
                </w:p>
              </w:tc>
              <w:tc>
                <w:tcPr>
                  <w:tcW w:w="719" w:type="dxa"/>
                  <w:gridSpan w:val="2"/>
                  <w:tcBorders>
                    <w:tl2br w:val="nil"/>
                    <w:tr2bl w:val="nil"/>
                  </w:tcBorders>
                  <w:noWrap w:val="0"/>
                  <w:tcMar>
                    <w:top w:w="0" w:type="dxa"/>
                    <w:left w:w="28" w:type="dxa"/>
                    <w:bottom w:w="0" w:type="dxa"/>
                    <w:right w:w="28" w:type="dxa"/>
                  </w:tcMar>
                  <w:vAlign w:val="center"/>
                </w:tcPr>
                <w:p w14:paraId="788478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color w:val="auto"/>
                      <w:szCs w:val="21"/>
                    </w:rPr>
                  </w:pPr>
                  <w:r>
                    <w:rPr>
                      <w:rFonts w:hint="eastAsia" w:cs="Times New Roman"/>
                      <w:i w:val="0"/>
                      <w:iCs w:val="0"/>
                      <w:color w:val="auto"/>
                      <w:kern w:val="0"/>
                      <w:sz w:val="21"/>
                      <w:szCs w:val="21"/>
                      <w:u w:val="none"/>
                      <w:lang w:val="en-US" w:eastAsia="zh-CN" w:bidi="ar"/>
                    </w:rPr>
                    <w:t>40</w:t>
                  </w:r>
                </w:p>
              </w:tc>
              <w:tc>
                <w:tcPr>
                  <w:tcW w:w="672" w:type="dxa"/>
                  <w:tcBorders>
                    <w:tl2br w:val="nil"/>
                    <w:tr2bl w:val="nil"/>
                  </w:tcBorders>
                  <w:noWrap w:val="0"/>
                  <w:tcMar>
                    <w:top w:w="0" w:type="dxa"/>
                    <w:left w:w="28" w:type="dxa"/>
                    <w:bottom w:w="0" w:type="dxa"/>
                    <w:right w:w="28" w:type="dxa"/>
                  </w:tcMar>
                  <w:vAlign w:val="center"/>
                </w:tcPr>
                <w:p w14:paraId="7D3B7B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 xml:space="preserve">0.0001 </w:t>
                  </w:r>
                </w:p>
              </w:tc>
              <w:tc>
                <w:tcPr>
                  <w:tcW w:w="842" w:type="dxa"/>
                  <w:tcBorders>
                    <w:tl2br w:val="nil"/>
                    <w:tr2bl w:val="nil"/>
                  </w:tcBorders>
                  <w:noWrap w:val="0"/>
                  <w:tcMar>
                    <w:top w:w="0" w:type="dxa"/>
                    <w:left w:w="28" w:type="dxa"/>
                    <w:bottom w:w="0" w:type="dxa"/>
                    <w:right w:w="28" w:type="dxa"/>
                  </w:tcMar>
                  <w:vAlign w:val="center"/>
                </w:tcPr>
                <w:p w14:paraId="7D2C91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color w:val="auto"/>
                      <w:kern w:val="0"/>
                      <w:szCs w:val="21"/>
                    </w:rPr>
                  </w:pPr>
                  <w:r>
                    <w:rPr>
                      <w:rFonts w:hint="default" w:ascii="Times New Roman" w:hAnsi="Times New Roman" w:cs="Times New Roman"/>
                      <w:color w:val="auto"/>
                      <w:kern w:val="0"/>
                      <w:sz w:val="21"/>
                      <w:szCs w:val="21"/>
                      <w:highlight w:val="none"/>
                      <w:lang w:bidi="ar"/>
                    </w:rPr>
                    <w:t>≤500</w:t>
                  </w:r>
                </w:p>
              </w:tc>
              <w:tc>
                <w:tcPr>
                  <w:tcW w:w="1124" w:type="dxa"/>
                  <w:tcBorders>
                    <w:tl2br w:val="nil"/>
                    <w:tr2bl w:val="nil"/>
                  </w:tcBorders>
                  <w:noWrap w:val="0"/>
                  <w:tcMar>
                    <w:top w:w="0" w:type="dxa"/>
                    <w:left w:w="28" w:type="dxa"/>
                    <w:bottom w:w="0" w:type="dxa"/>
                    <w:right w:w="28" w:type="dxa"/>
                  </w:tcMar>
                  <w:vAlign w:val="center"/>
                </w:tcPr>
                <w:p w14:paraId="40032B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color w:val="auto"/>
                      <w:szCs w:val="21"/>
                      <w:lang w:val="en-US"/>
                    </w:rPr>
                  </w:pPr>
                  <w:r>
                    <w:rPr>
                      <w:rFonts w:hint="default"/>
                      <w:color w:val="auto"/>
                      <w:kern w:val="0"/>
                      <w:sz w:val="21"/>
                      <w:szCs w:val="21"/>
                      <w:highlight w:val="none"/>
                      <w:lang w:bidi="ar"/>
                    </w:rPr>
                    <w:t>≤</w:t>
                  </w:r>
                  <w:r>
                    <w:rPr>
                      <w:rFonts w:hint="eastAsia"/>
                      <w:color w:val="auto"/>
                      <w:kern w:val="0"/>
                      <w:sz w:val="21"/>
                      <w:szCs w:val="21"/>
                      <w:highlight w:val="none"/>
                      <w:lang w:val="en-US" w:eastAsia="zh-CN" w:bidi="ar"/>
                    </w:rPr>
                    <w:t>40</w:t>
                  </w:r>
                </w:p>
              </w:tc>
              <w:tc>
                <w:tcPr>
                  <w:tcW w:w="765" w:type="dxa"/>
                  <w:tcBorders>
                    <w:tl2br w:val="nil"/>
                    <w:tr2bl w:val="nil"/>
                  </w:tcBorders>
                  <w:noWrap w:val="0"/>
                  <w:tcMar>
                    <w:top w:w="0" w:type="dxa"/>
                    <w:left w:w="28" w:type="dxa"/>
                    <w:bottom w:w="0" w:type="dxa"/>
                    <w:right w:w="28" w:type="dxa"/>
                  </w:tcMar>
                  <w:vAlign w:val="center"/>
                </w:tcPr>
                <w:p w14:paraId="1BD1E937">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等线" w:cs="Times New Roman"/>
                      <w:i w:val="0"/>
                      <w:iCs w:val="0"/>
                      <w:color w:val="auto"/>
                      <w:kern w:val="0"/>
                      <w:sz w:val="21"/>
                      <w:szCs w:val="21"/>
                      <w:u w:val="none"/>
                      <w:lang w:val="en-US" w:eastAsia="zh-CN" w:bidi="ar"/>
                    </w:rPr>
                    <w:t xml:space="preserve">0.0001 </w:t>
                  </w:r>
                </w:p>
              </w:tc>
              <w:tc>
                <w:tcPr>
                  <w:tcW w:w="850" w:type="dxa"/>
                  <w:vMerge w:val="continue"/>
                  <w:tcBorders>
                    <w:tl2br w:val="nil"/>
                    <w:tr2bl w:val="nil"/>
                  </w:tcBorders>
                  <w:noWrap w:val="0"/>
                  <w:tcMar>
                    <w:top w:w="0" w:type="dxa"/>
                    <w:left w:w="28" w:type="dxa"/>
                    <w:bottom w:w="0" w:type="dxa"/>
                    <w:right w:w="28" w:type="dxa"/>
                  </w:tcMar>
                  <w:vAlign w:val="center"/>
                </w:tcPr>
                <w:p w14:paraId="63088D63">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r>
            <w:tr w14:paraId="4039E5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1" w:type="dxa"/>
                  <w:vMerge w:val="continue"/>
                  <w:tcBorders>
                    <w:tl2br w:val="nil"/>
                    <w:tr2bl w:val="nil"/>
                  </w:tcBorders>
                  <w:noWrap w:val="0"/>
                  <w:tcMar>
                    <w:top w:w="0" w:type="dxa"/>
                    <w:left w:w="28" w:type="dxa"/>
                    <w:bottom w:w="0" w:type="dxa"/>
                    <w:right w:w="28" w:type="dxa"/>
                  </w:tcMar>
                  <w:vAlign w:val="center"/>
                </w:tcPr>
                <w:p w14:paraId="2E35E484">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492" w:type="dxa"/>
                  <w:vMerge w:val="continue"/>
                  <w:tcBorders>
                    <w:tl2br w:val="nil"/>
                    <w:tr2bl w:val="nil"/>
                  </w:tcBorders>
                  <w:noWrap w:val="0"/>
                  <w:tcMar>
                    <w:top w:w="0" w:type="dxa"/>
                    <w:left w:w="28" w:type="dxa"/>
                    <w:bottom w:w="0" w:type="dxa"/>
                    <w:right w:w="28" w:type="dxa"/>
                  </w:tcMar>
                  <w:vAlign w:val="center"/>
                </w:tcPr>
                <w:p w14:paraId="7D04D734">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574" w:type="dxa"/>
                  <w:vMerge w:val="continue"/>
                  <w:tcBorders>
                    <w:tl2br w:val="nil"/>
                    <w:tr2bl w:val="nil"/>
                  </w:tcBorders>
                  <w:noWrap w:val="0"/>
                  <w:tcMar>
                    <w:top w:w="0" w:type="dxa"/>
                    <w:left w:w="28" w:type="dxa"/>
                    <w:bottom w:w="0" w:type="dxa"/>
                    <w:right w:w="28" w:type="dxa"/>
                  </w:tcMar>
                  <w:vAlign w:val="center"/>
                </w:tcPr>
                <w:p w14:paraId="419E9748">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735" w:type="dxa"/>
                  <w:tcBorders>
                    <w:tl2br w:val="nil"/>
                    <w:tr2bl w:val="nil"/>
                  </w:tcBorders>
                  <w:noWrap w:val="0"/>
                  <w:tcMar>
                    <w:top w:w="0" w:type="dxa"/>
                    <w:left w:w="28" w:type="dxa"/>
                    <w:bottom w:w="0" w:type="dxa"/>
                    <w:right w:w="28" w:type="dxa"/>
                  </w:tcMar>
                  <w:vAlign w:val="center"/>
                </w:tcPr>
                <w:p w14:paraId="009EFC1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color w:val="auto"/>
                      <w:kern w:val="0"/>
                      <w:sz w:val="21"/>
                      <w:szCs w:val="21"/>
                      <w:highlight w:val="none"/>
                      <w:lang w:bidi="ar"/>
                    </w:rPr>
                  </w:pPr>
                  <w:r>
                    <w:rPr>
                      <w:rFonts w:hint="default" w:ascii="Times New Roman" w:hAnsi="Times New Roman" w:eastAsia="宋体" w:cs="Times New Roman"/>
                      <w:color w:val="auto"/>
                      <w:sz w:val="21"/>
                      <w:szCs w:val="21"/>
                      <w:highlight w:val="none"/>
                    </w:rPr>
                    <w:t>SS</w:t>
                  </w:r>
                </w:p>
              </w:tc>
              <w:tc>
                <w:tcPr>
                  <w:tcW w:w="682" w:type="dxa"/>
                  <w:tcBorders>
                    <w:tl2br w:val="nil"/>
                    <w:tr2bl w:val="nil"/>
                  </w:tcBorders>
                  <w:noWrap w:val="0"/>
                  <w:tcMar>
                    <w:top w:w="0" w:type="dxa"/>
                    <w:left w:w="28" w:type="dxa"/>
                    <w:bottom w:w="0" w:type="dxa"/>
                    <w:right w:w="28" w:type="dxa"/>
                  </w:tcMar>
                  <w:vAlign w:val="center"/>
                </w:tcPr>
                <w:p w14:paraId="4BD2F49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color w:val="auto"/>
                      <w:szCs w:val="21"/>
                    </w:rPr>
                  </w:pPr>
                  <w:r>
                    <w:rPr>
                      <w:rFonts w:hint="eastAsia" w:ascii="Times New Roman" w:hAnsi="Times New Roman" w:eastAsia="宋体" w:cs="Times New Roman"/>
                      <w:color w:val="auto"/>
                      <w:kern w:val="2"/>
                      <w:sz w:val="21"/>
                      <w:szCs w:val="21"/>
                      <w:highlight w:val="none"/>
                      <w:lang w:val="en-US" w:eastAsia="zh-CN" w:bidi="ar-SA"/>
                    </w:rPr>
                    <w:t>30</w:t>
                  </w:r>
                </w:p>
              </w:tc>
              <w:tc>
                <w:tcPr>
                  <w:tcW w:w="738" w:type="dxa"/>
                  <w:tcBorders>
                    <w:tl2br w:val="nil"/>
                    <w:tr2bl w:val="nil"/>
                  </w:tcBorders>
                  <w:noWrap w:val="0"/>
                  <w:tcMar>
                    <w:top w:w="0" w:type="dxa"/>
                    <w:left w:w="28" w:type="dxa"/>
                    <w:bottom w:w="0" w:type="dxa"/>
                    <w:right w:w="28" w:type="dxa"/>
                  </w:tcMar>
                  <w:vAlign w:val="center"/>
                </w:tcPr>
                <w:p w14:paraId="745C92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等线" w:cs="Times New Roman"/>
                      <w:i w:val="0"/>
                      <w:iCs w:val="0"/>
                      <w:color w:val="auto"/>
                      <w:kern w:val="0"/>
                      <w:sz w:val="21"/>
                      <w:szCs w:val="21"/>
                      <w:u w:val="none"/>
                      <w:lang w:val="en-US" w:eastAsia="zh-CN" w:bidi="ar"/>
                    </w:rPr>
                    <w:t>0.00004</w:t>
                  </w:r>
                  <w:r>
                    <w:rPr>
                      <w:rFonts w:hint="default" w:ascii="Times New Roman" w:hAnsi="Times New Roman" w:eastAsia="等线" w:cs="Times New Roman"/>
                      <w:i w:val="0"/>
                      <w:iCs w:val="0"/>
                      <w:color w:val="auto"/>
                      <w:kern w:val="0"/>
                      <w:sz w:val="21"/>
                      <w:szCs w:val="21"/>
                      <w:u w:val="none"/>
                      <w:lang w:val="en-US" w:eastAsia="zh-CN" w:bidi="ar"/>
                    </w:rPr>
                    <w:t xml:space="preserve"> </w:t>
                  </w:r>
                </w:p>
              </w:tc>
              <w:tc>
                <w:tcPr>
                  <w:tcW w:w="546" w:type="dxa"/>
                  <w:vMerge w:val="continue"/>
                  <w:tcBorders>
                    <w:tl2br w:val="nil"/>
                    <w:tr2bl w:val="nil"/>
                  </w:tcBorders>
                  <w:noWrap w:val="0"/>
                  <w:tcMar>
                    <w:top w:w="0" w:type="dxa"/>
                    <w:left w:w="28" w:type="dxa"/>
                    <w:bottom w:w="0" w:type="dxa"/>
                    <w:right w:w="28" w:type="dxa"/>
                  </w:tcMar>
                  <w:vAlign w:val="center"/>
                </w:tcPr>
                <w:p w14:paraId="340E29E3">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719" w:type="dxa"/>
                  <w:gridSpan w:val="2"/>
                  <w:tcBorders>
                    <w:tl2br w:val="nil"/>
                    <w:tr2bl w:val="nil"/>
                  </w:tcBorders>
                  <w:noWrap w:val="0"/>
                  <w:tcMar>
                    <w:top w:w="0" w:type="dxa"/>
                    <w:left w:w="28" w:type="dxa"/>
                    <w:bottom w:w="0" w:type="dxa"/>
                    <w:right w:w="28" w:type="dxa"/>
                  </w:tcMar>
                  <w:vAlign w:val="center"/>
                </w:tcPr>
                <w:p w14:paraId="2310F2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color w:val="auto"/>
                      <w:szCs w:val="21"/>
                    </w:rPr>
                  </w:pPr>
                  <w:r>
                    <w:rPr>
                      <w:rFonts w:hint="eastAsia" w:cs="Times New Roman"/>
                      <w:i w:val="0"/>
                      <w:iCs w:val="0"/>
                      <w:color w:val="auto"/>
                      <w:kern w:val="0"/>
                      <w:sz w:val="21"/>
                      <w:szCs w:val="21"/>
                      <w:u w:val="none"/>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0</w:t>
                  </w:r>
                </w:p>
              </w:tc>
              <w:tc>
                <w:tcPr>
                  <w:tcW w:w="672" w:type="dxa"/>
                  <w:tcBorders>
                    <w:tl2br w:val="nil"/>
                    <w:tr2bl w:val="nil"/>
                  </w:tcBorders>
                  <w:noWrap w:val="0"/>
                  <w:tcMar>
                    <w:top w:w="0" w:type="dxa"/>
                    <w:left w:w="28" w:type="dxa"/>
                    <w:bottom w:w="0" w:type="dxa"/>
                    <w:right w:w="28" w:type="dxa"/>
                  </w:tcMar>
                  <w:vAlign w:val="center"/>
                </w:tcPr>
                <w:p w14:paraId="06AA5C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等线" w:cs="Times New Roman"/>
                      <w:i w:val="0"/>
                      <w:iCs w:val="0"/>
                      <w:color w:val="auto"/>
                      <w:kern w:val="0"/>
                      <w:sz w:val="21"/>
                      <w:szCs w:val="21"/>
                      <w:u w:val="none"/>
                      <w:lang w:val="en-US" w:eastAsia="zh-CN" w:bidi="ar"/>
                    </w:rPr>
                    <w:t>0.00004</w:t>
                  </w:r>
                  <w:r>
                    <w:rPr>
                      <w:rFonts w:hint="default" w:ascii="Times New Roman" w:hAnsi="Times New Roman" w:eastAsia="等线" w:cs="Times New Roman"/>
                      <w:i w:val="0"/>
                      <w:iCs w:val="0"/>
                      <w:color w:val="auto"/>
                      <w:kern w:val="0"/>
                      <w:sz w:val="21"/>
                      <w:szCs w:val="21"/>
                      <w:u w:val="none"/>
                      <w:lang w:val="en-US" w:eastAsia="zh-CN" w:bidi="ar"/>
                    </w:rPr>
                    <w:t xml:space="preserve"> </w:t>
                  </w:r>
                </w:p>
              </w:tc>
              <w:tc>
                <w:tcPr>
                  <w:tcW w:w="842" w:type="dxa"/>
                  <w:tcBorders>
                    <w:tl2br w:val="nil"/>
                    <w:tr2bl w:val="nil"/>
                  </w:tcBorders>
                  <w:noWrap w:val="0"/>
                  <w:tcMar>
                    <w:top w:w="0" w:type="dxa"/>
                    <w:left w:w="28" w:type="dxa"/>
                    <w:bottom w:w="0" w:type="dxa"/>
                    <w:right w:w="28" w:type="dxa"/>
                  </w:tcMar>
                  <w:vAlign w:val="center"/>
                </w:tcPr>
                <w:p w14:paraId="3901DD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color w:val="auto"/>
                      <w:kern w:val="0"/>
                      <w:szCs w:val="21"/>
                    </w:rPr>
                  </w:pPr>
                  <w:r>
                    <w:rPr>
                      <w:rFonts w:hint="default" w:ascii="Times New Roman" w:hAnsi="Times New Roman" w:cs="Times New Roman"/>
                      <w:color w:val="auto"/>
                      <w:kern w:val="0"/>
                      <w:sz w:val="21"/>
                      <w:szCs w:val="21"/>
                      <w:highlight w:val="none"/>
                      <w:lang w:bidi="ar"/>
                    </w:rPr>
                    <w:t>≤400</w:t>
                  </w:r>
                </w:p>
              </w:tc>
              <w:tc>
                <w:tcPr>
                  <w:tcW w:w="1124" w:type="dxa"/>
                  <w:tcBorders>
                    <w:tl2br w:val="nil"/>
                    <w:tr2bl w:val="nil"/>
                  </w:tcBorders>
                  <w:noWrap w:val="0"/>
                  <w:tcMar>
                    <w:top w:w="0" w:type="dxa"/>
                    <w:left w:w="28" w:type="dxa"/>
                    <w:bottom w:w="0" w:type="dxa"/>
                    <w:right w:w="28" w:type="dxa"/>
                  </w:tcMar>
                  <w:vAlign w:val="center"/>
                </w:tcPr>
                <w:p w14:paraId="66DDE3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eastAsia="宋体"/>
                      <w:color w:val="auto"/>
                      <w:szCs w:val="21"/>
                      <w:lang w:val="en-US" w:eastAsia="zh-CN"/>
                    </w:rPr>
                  </w:pPr>
                  <w:r>
                    <w:rPr>
                      <w:rFonts w:hint="default"/>
                      <w:color w:val="auto"/>
                      <w:kern w:val="0"/>
                      <w:sz w:val="21"/>
                      <w:szCs w:val="21"/>
                      <w:highlight w:val="none"/>
                      <w:lang w:bidi="ar"/>
                    </w:rPr>
                    <w:t>≤</w:t>
                  </w:r>
                  <w:r>
                    <w:rPr>
                      <w:rFonts w:hint="eastAsia"/>
                      <w:color w:val="auto"/>
                      <w:kern w:val="0"/>
                      <w:sz w:val="21"/>
                      <w:szCs w:val="21"/>
                      <w:highlight w:val="none"/>
                      <w:lang w:val="en-US" w:eastAsia="zh-CN" w:bidi="ar"/>
                    </w:rPr>
                    <w:t>10</w:t>
                  </w:r>
                </w:p>
              </w:tc>
              <w:tc>
                <w:tcPr>
                  <w:tcW w:w="765" w:type="dxa"/>
                  <w:tcBorders>
                    <w:tl2br w:val="nil"/>
                    <w:tr2bl w:val="nil"/>
                  </w:tcBorders>
                  <w:noWrap w:val="0"/>
                  <w:tcMar>
                    <w:top w:w="0" w:type="dxa"/>
                    <w:left w:w="28" w:type="dxa"/>
                    <w:bottom w:w="0" w:type="dxa"/>
                    <w:right w:w="28" w:type="dxa"/>
                  </w:tcMar>
                  <w:vAlign w:val="center"/>
                </w:tcPr>
                <w:p w14:paraId="42765D13">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eastAsia="等线" w:cs="Times New Roman"/>
                      <w:i w:val="0"/>
                      <w:iCs w:val="0"/>
                      <w:color w:val="auto"/>
                      <w:kern w:val="0"/>
                      <w:sz w:val="21"/>
                      <w:szCs w:val="21"/>
                      <w:u w:val="none"/>
                      <w:lang w:val="en-US" w:eastAsia="zh-CN" w:bidi="ar"/>
                    </w:rPr>
                    <w:t>0.000014</w:t>
                  </w:r>
                  <w:r>
                    <w:rPr>
                      <w:rFonts w:hint="default" w:ascii="Times New Roman" w:hAnsi="Times New Roman" w:eastAsia="等线" w:cs="Times New Roman"/>
                      <w:i w:val="0"/>
                      <w:iCs w:val="0"/>
                      <w:color w:val="auto"/>
                      <w:kern w:val="0"/>
                      <w:sz w:val="21"/>
                      <w:szCs w:val="21"/>
                      <w:u w:val="none"/>
                      <w:lang w:val="en-US" w:eastAsia="zh-CN" w:bidi="ar"/>
                    </w:rPr>
                    <w:t xml:space="preserve"> </w:t>
                  </w:r>
                </w:p>
              </w:tc>
              <w:tc>
                <w:tcPr>
                  <w:tcW w:w="850" w:type="dxa"/>
                  <w:vMerge w:val="continue"/>
                  <w:tcBorders>
                    <w:tl2br w:val="nil"/>
                    <w:tr2bl w:val="nil"/>
                  </w:tcBorders>
                  <w:noWrap w:val="0"/>
                  <w:tcMar>
                    <w:top w:w="0" w:type="dxa"/>
                    <w:left w:w="28" w:type="dxa"/>
                    <w:bottom w:w="0" w:type="dxa"/>
                    <w:right w:w="28" w:type="dxa"/>
                  </w:tcMar>
                  <w:vAlign w:val="center"/>
                </w:tcPr>
                <w:p w14:paraId="7DF740C1">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r>
            <w:tr w14:paraId="45A75A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923" w:type="dxa"/>
                  <w:gridSpan w:val="2"/>
                  <w:vMerge w:val="restart"/>
                  <w:tcBorders>
                    <w:tl2br w:val="nil"/>
                    <w:tr2bl w:val="nil"/>
                  </w:tcBorders>
                  <w:noWrap w:val="0"/>
                  <w:tcMar>
                    <w:top w:w="0" w:type="dxa"/>
                    <w:left w:w="28" w:type="dxa"/>
                    <w:bottom w:w="0" w:type="dxa"/>
                    <w:right w:w="28" w:type="dxa"/>
                  </w:tcMar>
                  <w:vAlign w:val="center"/>
                </w:tcPr>
                <w:p w14:paraId="581C477A">
                  <w:pPr>
                    <w:keepNext w:val="0"/>
                    <w:keepLines w:val="0"/>
                    <w:suppressLineNumbers w:val="0"/>
                    <w:adjustRightInd w:val="0"/>
                    <w:snapToGrid w:val="0"/>
                    <w:spacing w:before="0" w:beforeAutospacing="0" w:after="0" w:afterAutospacing="0"/>
                    <w:ind w:left="0" w:right="0"/>
                    <w:jc w:val="center"/>
                    <w:rPr>
                      <w:rFonts w:hint="eastAsia" w:eastAsia="宋体"/>
                      <w:color w:val="auto"/>
                      <w:szCs w:val="21"/>
                      <w:lang w:val="en-US" w:eastAsia="zh-CN"/>
                    </w:rPr>
                  </w:pPr>
                  <w:r>
                    <w:rPr>
                      <w:rFonts w:hint="eastAsia"/>
                      <w:color w:val="auto"/>
                      <w:szCs w:val="21"/>
                      <w:lang w:val="en-US" w:eastAsia="zh-CN"/>
                    </w:rPr>
                    <w:t>合计排放量</w:t>
                  </w:r>
                </w:p>
              </w:tc>
              <w:tc>
                <w:tcPr>
                  <w:tcW w:w="574" w:type="dxa"/>
                  <w:vMerge w:val="restart"/>
                  <w:tcBorders>
                    <w:tl2br w:val="nil"/>
                    <w:tr2bl w:val="nil"/>
                  </w:tcBorders>
                  <w:noWrap w:val="0"/>
                  <w:tcMar>
                    <w:top w:w="0" w:type="dxa"/>
                    <w:left w:w="28" w:type="dxa"/>
                    <w:bottom w:w="0" w:type="dxa"/>
                    <w:right w:w="28" w:type="dxa"/>
                  </w:tcMar>
                  <w:vAlign w:val="center"/>
                </w:tcPr>
                <w:p w14:paraId="3A200FE4">
                  <w:pPr>
                    <w:keepNext w:val="0"/>
                    <w:keepLines w:val="0"/>
                    <w:suppressLineNumbers w:val="0"/>
                    <w:adjustRightInd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318.89</w:t>
                  </w:r>
                </w:p>
              </w:tc>
              <w:tc>
                <w:tcPr>
                  <w:tcW w:w="735" w:type="dxa"/>
                  <w:tcBorders>
                    <w:tl2br w:val="nil"/>
                    <w:tr2bl w:val="nil"/>
                  </w:tcBorders>
                  <w:noWrap w:val="0"/>
                  <w:tcMar>
                    <w:top w:w="0" w:type="dxa"/>
                    <w:left w:w="28" w:type="dxa"/>
                    <w:bottom w:w="0" w:type="dxa"/>
                    <w:right w:w="28" w:type="dxa"/>
                  </w:tcMar>
                  <w:vAlign w:val="center"/>
                </w:tcPr>
                <w:p w14:paraId="1F0B75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rPr>
                  </w:pPr>
                  <w:r>
                    <w:rPr>
                      <w:rFonts w:hint="default"/>
                      <w:color w:val="auto"/>
                      <w:szCs w:val="21"/>
                    </w:rPr>
                    <w:t>pH</w:t>
                  </w:r>
                </w:p>
              </w:tc>
              <w:tc>
                <w:tcPr>
                  <w:tcW w:w="1420" w:type="dxa"/>
                  <w:gridSpan w:val="2"/>
                  <w:tcBorders>
                    <w:tl2br w:val="nil"/>
                    <w:tr2bl w:val="nil"/>
                  </w:tcBorders>
                  <w:noWrap w:val="0"/>
                  <w:tcMar>
                    <w:top w:w="0" w:type="dxa"/>
                    <w:left w:w="28" w:type="dxa"/>
                    <w:bottom w:w="0" w:type="dxa"/>
                    <w:right w:w="28" w:type="dxa"/>
                  </w:tcMar>
                  <w:vAlign w:val="center"/>
                </w:tcPr>
                <w:p w14:paraId="4BA6B1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color w:val="auto"/>
                      <w:kern w:val="0"/>
                      <w:szCs w:val="21"/>
                      <w:lang w:bidi="ar"/>
                    </w:rPr>
                    <w:t>6~9</w:t>
                  </w:r>
                </w:p>
              </w:tc>
              <w:tc>
                <w:tcPr>
                  <w:tcW w:w="546" w:type="dxa"/>
                  <w:vMerge w:val="restart"/>
                  <w:tcBorders>
                    <w:tl2br w:val="nil"/>
                    <w:tr2bl w:val="nil"/>
                  </w:tcBorders>
                  <w:noWrap w:val="0"/>
                  <w:tcMar>
                    <w:top w:w="0" w:type="dxa"/>
                    <w:left w:w="28" w:type="dxa"/>
                    <w:bottom w:w="0" w:type="dxa"/>
                    <w:right w:w="28" w:type="dxa"/>
                  </w:tcMar>
                  <w:vAlign w:val="center"/>
                </w:tcPr>
                <w:p w14:paraId="72BC763E">
                  <w:pPr>
                    <w:keepNext w:val="0"/>
                    <w:keepLines w:val="0"/>
                    <w:suppressLineNumbers w:val="0"/>
                    <w:adjustRightInd w:val="0"/>
                    <w:snapToGrid w:val="0"/>
                    <w:spacing w:before="0" w:beforeAutospacing="0" w:after="0" w:afterAutospacing="0"/>
                    <w:ind w:left="0" w:right="0"/>
                    <w:jc w:val="center"/>
                    <w:rPr>
                      <w:rFonts w:hint="eastAsia" w:eastAsia="宋体"/>
                      <w:color w:val="auto"/>
                      <w:szCs w:val="21"/>
                      <w:lang w:val="en-US" w:eastAsia="zh-CN"/>
                    </w:rPr>
                  </w:pPr>
                  <w:r>
                    <w:rPr>
                      <w:rFonts w:hint="eastAsia"/>
                      <w:color w:val="auto"/>
                      <w:szCs w:val="21"/>
                      <w:lang w:val="en-US" w:eastAsia="zh-CN"/>
                    </w:rPr>
                    <w:t>/</w:t>
                  </w:r>
                </w:p>
              </w:tc>
              <w:tc>
                <w:tcPr>
                  <w:tcW w:w="1391" w:type="dxa"/>
                  <w:gridSpan w:val="3"/>
                  <w:tcBorders>
                    <w:tl2br w:val="nil"/>
                    <w:tr2bl w:val="nil"/>
                  </w:tcBorders>
                  <w:noWrap w:val="0"/>
                  <w:tcMar>
                    <w:top w:w="0" w:type="dxa"/>
                    <w:left w:w="28" w:type="dxa"/>
                    <w:bottom w:w="0" w:type="dxa"/>
                    <w:right w:w="28" w:type="dxa"/>
                  </w:tcMar>
                  <w:vAlign w:val="center"/>
                </w:tcPr>
                <w:p w14:paraId="5AA3A8E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highlight w:val="none"/>
                    </w:rPr>
                    <w:t>6-9</w:t>
                  </w:r>
                </w:p>
              </w:tc>
              <w:tc>
                <w:tcPr>
                  <w:tcW w:w="842" w:type="dxa"/>
                  <w:tcBorders>
                    <w:tl2br w:val="nil"/>
                    <w:tr2bl w:val="nil"/>
                  </w:tcBorders>
                  <w:noWrap w:val="0"/>
                  <w:tcMar>
                    <w:top w:w="0" w:type="dxa"/>
                    <w:left w:w="28" w:type="dxa"/>
                    <w:bottom w:w="0" w:type="dxa"/>
                    <w:right w:w="28" w:type="dxa"/>
                  </w:tcMar>
                  <w:vAlign w:val="center"/>
                </w:tcPr>
                <w:p w14:paraId="666C79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color w:val="auto"/>
                      <w:kern w:val="0"/>
                      <w:szCs w:val="21"/>
                    </w:rPr>
                  </w:pPr>
                  <w:r>
                    <w:rPr>
                      <w:rFonts w:hint="default" w:ascii="Times New Roman" w:hAnsi="Times New Roman" w:cs="Times New Roman"/>
                      <w:color w:val="auto"/>
                      <w:sz w:val="21"/>
                      <w:szCs w:val="21"/>
                      <w:highlight w:val="none"/>
                    </w:rPr>
                    <w:t>6-9</w:t>
                  </w:r>
                </w:p>
              </w:tc>
              <w:tc>
                <w:tcPr>
                  <w:tcW w:w="1889" w:type="dxa"/>
                  <w:gridSpan w:val="2"/>
                  <w:tcBorders>
                    <w:tl2br w:val="nil"/>
                    <w:tr2bl w:val="nil"/>
                  </w:tcBorders>
                  <w:noWrap w:val="0"/>
                  <w:tcMar>
                    <w:top w:w="0" w:type="dxa"/>
                    <w:left w:w="28" w:type="dxa"/>
                    <w:bottom w:w="0" w:type="dxa"/>
                    <w:right w:w="28" w:type="dxa"/>
                  </w:tcMar>
                  <w:vAlign w:val="center"/>
                </w:tcPr>
                <w:p w14:paraId="3CA66CA3">
                  <w:pPr>
                    <w:keepNext w:val="0"/>
                    <w:keepLines w:val="0"/>
                    <w:widowControl/>
                    <w:suppressLineNumbers w:val="0"/>
                    <w:adjustRightInd w:val="0"/>
                    <w:snapToGrid w:val="0"/>
                    <w:spacing w:before="0" w:beforeAutospacing="0" w:after="0" w:afterAutospacing="0"/>
                    <w:ind w:left="0" w:right="0"/>
                    <w:jc w:val="center"/>
                    <w:textAlignment w:val="center"/>
                    <w:rPr>
                      <w:rFonts w:hint="default"/>
                      <w:color w:val="auto"/>
                      <w:szCs w:val="21"/>
                    </w:rPr>
                  </w:pPr>
                  <w:r>
                    <w:rPr>
                      <w:rFonts w:hint="default" w:ascii="Times New Roman" w:hAnsi="Times New Roman" w:cs="Times New Roman"/>
                      <w:color w:val="auto"/>
                      <w:sz w:val="21"/>
                      <w:szCs w:val="21"/>
                      <w:highlight w:val="none"/>
                    </w:rPr>
                    <w:t>6-9</w:t>
                  </w:r>
                </w:p>
              </w:tc>
              <w:tc>
                <w:tcPr>
                  <w:tcW w:w="850" w:type="dxa"/>
                  <w:vMerge w:val="restart"/>
                  <w:tcBorders>
                    <w:tl2br w:val="nil"/>
                    <w:tr2bl w:val="nil"/>
                  </w:tcBorders>
                  <w:noWrap w:val="0"/>
                  <w:tcMar>
                    <w:top w:w="0" w:type="dxa"/>
                    <w:left w:w="28" w:type="dxa"/>
                    <w:bottom w:w="0" w:type="dxa"/>
                    <w:right w:w="28" w:type="dxa"/>
                  </w:tcMar>
                  <w:vAlign w:val="center"/>
                </w:tcPr>
                <w:p w14:paraId="4D1C4ED2">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接管进</w:t>
                  </w:r>
                  <w:r>
                    <w:rPr>
                      <w:rFonts w:hint="eastAsia" w:cs="Times New Roman"/>
                      <w:color w:val="auto"/>
                      <w:sz w:val="21"/>
                      <w:szCs w:val="21"/>
                      <w:lang w:eastAsia="zh-CN"/>
                    </w:rPr>
                    <w:t>太湖新城污水处理厂集中处理</w:t>
                  </w:r>
                  <w:r>
                    <w:rPr>
                      <w:rFonts w:hint="default"/>
                      <w:color w:val="auto"/>
                      <w:szCs w:val="21"/>
                    </w:rPr>
                    <w:t>，尾水排入</w:t>
                  </w:r>
                  <w:r>
                    <w:rPr>
                      <w:rFonts w:hint="eastAsia"/>
                      <w:color w:val="auto"/>
                      <w:szCs w:val="21"/>
                      <w:lang w:eastAsia="zh-CN"/>
                    </w:rPr>
                    <w:t>京杭运河</w:t>
                  </w:r>
                </w:p>
              </w:tc>
            </w:tr>
            <w:tr w14:paraId="4ED9A9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23" w:type="dxa"/>
                  <w:gridSpan w:val="2"/>
                  <w:vMerge w:val="continue"/>
                  <w:tcBorders>
                    <w:tl2br w:val="nil"/>
                    <w:tr2bl w:val="nil"/>
                  </w:tcBorders>
                  <w:noWrap w:val="0"/>
                  <w:tcMar>
                    <w:top w:w="0" w:type="dxa"/>
                    <w:left w:w="28" w:type="dxa"/>
                    <w:bottom w:w="0" w:type="dxa"/>
                    <w:right w:w="28" w:type="dxa"/>
                  </w:tcMar>
                  <w:vAlign w:val="center"/>
                </w:tcPr>
                <w:p w14:paraId="191E1610">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574" w:type="dxa"/>
                  <w:vMerge w:val="continue"/>
                  <w:tcBorders>
                    <w:tl2br w:val="nil"/>
                    <w:tr2bl w:val="nil"/>
                  </w:tcBorders>
                  <w:noWrap w:val="0"/>
                  <w:tcMar>
                    <w:top w:w="0" w:type="dxa"/>
                    <w:left w:w="28" w:type="dxa"/>
                    <w:bottom w:w="0" w:type="dxa"/>
                    <w:right w:w="28" w:type="dxa"/>
                  </w:tcMar>
                  <w:vAlign w:val="center"/>
                </w:tcPr>
                <w:p w14:paraId="4251AE38">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735" w:type="dxa"/>
                  <w:tcBorders>
                    <w:tl2br w:val="nil"/>
                    <w:tr2bl w:val="nil"/>
                  </w:tcBorders>
                  <w:noWrap w:val="0"/>
                  <w:tcMar>
                    <w:top w:w="0" w:type="dxa"/>
                    <w:left w:w="28" w:type="dxa"/>
                    <w:bottom w:w="0" w:type="dxa"/>
                    <w:right w:w="28" w:type="dxa"/>
                  </w:tcMar>
                  <w:vAlign w:val="center"/>
                </w:tcPr>
                <w:p w14:paraId="626C6B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rPr>
                  </w:pPr>
                  <w:r>
                    <w:rPr>
                      <w:rFonts w:hint="default"/>
                      <w:color w:val="auto"/>
                      <w:kern w:val="0"/>
                      <w:sz w:val="21"/>
                      <w:szCs w:val="21"/>
                      <w:highlight w:val="none"/>
                      <w:lang w:bidi="ar"/>
                    </w:rPr>
                    <w:t>COD</w:t>
                  </w:r>
                </w:p>
              </w:tc>
              <w:tc>
                <w:tcPr>
                  <w:tcW w:w="682" w:type="dxa"/>
                  <w:tcBorders>
                    <w:tl2br w:val="nil"/>
                    <w:tr2bl w:val="nil"/>
                  </w:tcBorders>
                  <w:noWrap w:val="0"/>
                  <w:tcMar>
                    <w:top w:w="0" w:type="dxa"/>
                    <w:left w:w="28" w:type="dxa"/>
                    <w:bottom w:w="0" w:type="dxa"/>
                    <w:right w:w="28" w:type="dxa"/>
                  </w:tcMar>
                  <w:vAlign w:val="center"/>
                </w:tcPr>
                <w:p w14:paraId="4D208631">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47</w:t>
                  </w:r>
                  <w:r>
                    <w:rPr>
                      <w:rFonts w:hint="eastAsia" w:cs="Times New Roman"/>
                      <w:i w:val="0"/>
                      <w:iCs w:val="0"/>
                      <w:color w:val="auto"/>
                      <w:kern w:val="0"/>
                      <w:sz w:val="21"/>
                      <w:szCs w:val="21"/>
                      <w:u w:val="none"/>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738" w:type="dxa"/>
                  <w:tcBorders>
                    <w:tl2br w:val="nil"/>
                    <w:tr2bl w:val="nil"/>
                  </w:tcBorders>
                  <w:noWrap w:val="0"/>
                  <w:tcMar>
                    <w:top w:w="0" w:type="dxa"/>
                    <w:left w:w="28" w:type="dxa"/>
                    <w:bottom w:w="0" w:type="dxa"/>
                    <w:right w:w="28" w:type="dxa"/>
                  </w:tcMar>
                  <w:vAlign w:val="center"/>
                </w:tcPr>
                <w:p w14:paraId="4341A9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 xml:space="preserve">0.1505 </w:t>
                  </w:r>
                </w:p>
              </w:tc>
              <w:tc>
                <w:tcPr>
                  <w:tcW w:w="546" w:type="dxa"/>
                  <w:vMerge w:val="continue"/>
                  <w:tcBorders>
                    <w:tl2br w:val="nil"/>
                    <w:tr2bl w:val="nil"/>
                  </w:tcBorders>
                  <w:noWrap w:val="0"/>
                  <w:tcMar>
                    <w:top w:w="0" w:type="dxa"/>
                    <w:left w:w="28" w:type="dxa"/>
                    <w:bottom w:w="0" w:type="dxa"/>
                    <w:right w:w="28" w:type="dxa"/>
                  </w:tcMar>
                  <w:vAlign w:val="center"/>
                </w:tcPr>
                <w:p w14:paraId="676BEBE5">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611" w:type="dxa"/>
                  <w:tcBorders>
                    <w:tl2br w:val="nil"/>
                    <w:tr2bl w:val="nil"/>
                  </w:tcBorders>
                  <w:noWrap w:val="0"/>
                  <w:tcMar>
                    <w:top w:w="0" w:type="dxa"/>
                    <w:left w:w="28" w:type="dxa"/>
                    <w:bottom w:w="0" w:type="dxa"/>
                    <w:right w:w="28" w:type="dxa"/>
                  </w:tcMar>
                  <w:vAlign w:val="center"/>
                </w:tcPr>
                <w:p w14:paraId="2C963AE2">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42</w:t>
                  </w:r>
                  <w:r>
                    <w:rPr>
                      <w:rFonts w:hint="eastAsia" w:cs="Times New Roman"/>
                      <w:i w:val="0"/>
                      <w:iCs w:val="0"/>
                      <w:color w:val="auto"/>
                      <w:kern w:val="0"/>
                      <w:sz w:val="21"/>
                      <w:szCs w:val="21"/>
                      <w:u w:val="none"/>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780" w:type="dxa"/>
                  <w:gridSpan w:val="2"/>
                  <w:tcBorders>
                    <w:tl2br w:val="nil"/>
                    <w:tr2bl w:val="nil"/>
                  </w:tcBorders>
                  <w:noWrap w:val="0"/>
                  <w:tcMar>
                    <w:top w:w="0" w:type="dxa"/>
                    <w:left w:w="28" w:type="dxa"/>
                    <w:bottom w:w="0" w:type="dxa"/>
                    <w:right w:w="28" w:type="dxa"/>
                  </w:tcMar>
                  <w:vAlign w:val="center"/>
                </w:tcPr>
                <w:p w14:paraId="7DF15D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 xml:space="preserve">0.1355 </w:t>
                  </w:r>
                </w:p>
              </w:tc>
              <w:tc>
                <w:tcPr>
                  <w:tcW w:w="842" w:type="dxa"/>
                  <w:tcBorders>
                    <w:tl2br w:val="nil"/>
                    <w:tr2bl w:val="nil"/>
                  </w:tcBorders>
                  <w:noWrap w:val="0"/>
                  <w:tcMar>
                    <w:top w:w="0" w:type="dxa"/>
                    <w:left w:w="28" w:type="dxa"/>
                    <w:bottom w:w="0" w:type="dxa"/>
                    <w:right w:w="28" w:type="dxa"/>
                  </w:tcMar>
                  <w:vAlign w:val="center"/>
                </w:tcPr>
                <w:p w14:paraId="360569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color w:val="auto"/>
                      <w:kern w:val="0"/>
                      <w:szCs w:val="21"/>
                    </w:rPr>
                  </w:pPr>
                  <w:r>
                    <w:rPr>
                      <w:rFonts w:hint="default" w:ascii="Times New Roman" w:hAnsi="Times New Roman" w:cs="Times New Roman"/>
                      <w:color w:val="auto"/>
                      <w:sz w:val="21"/>
                      <w:szCs w:val="21"/>
                      <w:highlight w:val="none"/>
                    </w:rPr>
                    <w:t>≤500</w:t>
                  </w:r>
                </w:p>
              </w:tc>
              <w:tc>
                <w:tcPr>
                  <w:tcW w:w="1124" w:type="dxa"/>
                  <w:tcBorders>
                    <w:tl2br w:val="nil"/>
                    <w:tr2bl w:val="nil"/>
                  </w:tcBorders>
                  <w:noWrap w:val="0"/>
                  <w:tcMar>
                    <w:top w:w="0" w:type="dxa"/>
                    <w:left w:w="28" w:type="dxa"/>
                    <w:bottom w:w="0" w:type="dxa"/>
                    <w:right w:w="28" w:type="dxa"/>
                  </w:tcMar>
                  <w:vAlign w:val="center"/>
                </w:tcPr>
                <w:p w14:paraId="660C09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eastAsia="宋体"/>
                      <w:color w:val="auto"/>
                      <w:szCs w:val="21"/>
                      <w:lang w:val="en-US" w:eastAsia="zh-CN"/>
                    </w:rPr>
                  </w:pPr>
                  <w:r>
                    <w:rPr>
                      <w:rFonts w:hint="default"/>
                      <w:color w:val="auto"/>
                      <w:kern w:val="0"/>
                      <w:sz w:val="21"/>
                      <w:szCs w:val="21"/>
                      <w:highlight w:val="none"/>
                      <w:lang w:bidi="ar"/>
                    </w:rPr>
                    <w:t>≤</w:t>
                  </w:r>
                  <w:r>
                    <w:rPr>
                      <w:rFonts w:hint="eastAsia"/>
                      <w:color w:val="auto"/>
                      <w:kern w:val="0"/>
                      <w:sz w:val="21"/>
                      <w:szCs w:val="21"/>
                      <w:highlight w:val="none"/>
                      <w:lang w:val="en-US" w:eastAsia="zh-CN" w:bidi="ar"/>
                    </w:rPr>
                    <w:t>40</w:t>
                  </w:r>
                </w:p>
              </w:tc>
              <w:tc>
                <w:tcPr>
                  <w:tcW w:w="765" w:type="dxa"/>
                  <w:tcBorders>
                    <w:tl2br w:val="nil"/>
                    <w:tr2bl w:val="nil"/>
                  </w:tcBorders>
                  <w:noWrap w:val="0"/>
                  <w:tcMar>
                    <w:top w:w="0" w:type="dxa"/>
                    <w:left w:w="28" w:type="dxa"/>
                    <w:bottom w:w="0" w:type="dxa"/>
                    <w:right w:w="28" w:type="dxa"/>
                  </w:tcMar>
                  <w:vAlign w:val="center"/>
                </w:tcPr>
                <w:p w14:paraId="4F881899">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等线" w:cs="Times New Roman"/>
                      <w:i w:val="0"/>
                      <w:iCs w:val="0"/>
                      <w:color w:val="auto"/>
                      <w:kern w:val="0"/>
                      <w:sz w:val="21"/>
                      <w:szCs w:val="21"/>
                      <w:u w:val="none"/>
                      <w:lang w:val="en-US" w:eastAsia="zh-CN" w:bidi="ar"/>
                    </w:rPr>
                    <w:t xml:space="preserve">0.0128 </w:t>
                  </w:r>
                </w:p>
              </w:tc>
              <w:tc>
                <w:tcPr>
                  <w:tcW w:w="850" w:type="dxa"/>
                  <w:vMerge w:val="continue"/>
                  <w:tcBorders>
                    <w:tl2br w:val="nil"/>
                    <w:tr2bl w:val="nil"/>
                  </w:tcBorders>
                  <w:noWrap w:val="0"/>
                  <w:tcMar>
                    <w:top w:w="0" w:type="dxa"/>
                    <w:left w:w="28" w:type="dxa"/>
                    <w:bottom w:w="0" w:type="dxa"/>
                    <w:right w:w="28" w:type="dxa"/>
                  </w:tcMar>
                  <w:vAlign w:val="center"/>
                </w:tcPr>
                <w:p w14:paraId="62B42D5D">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r>
            <w:tr w14:paraId="52731D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23" w:type="dxa"/>
                  <w:gridSpan w:val="2"/>
                  <w:vMerge w:val="continue"/>
                  <w:tcBorders>
                    <w:tl2br w:val="nil"/>
                    <w:tr2bl w:val="nil"/>
                  </w:tcBorders>
                  <w:noWrap w:val="0"/>
                  <w:tcMar>
                    <w:top w:w="0" w:type="dxa"/>
                    <w:left w:w="28" w:type="dxa"/>
                    <w:bottom w:w="0" w:type="dxa"/>
                    <w:right w:w="28" w:type="dxa"/>
                  </w:tcMar>
                  <w:vAlign w:val="center"/>
                </w:tcPr>
                <w:p w14:paraId="77C3547C">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574" w:type="dxa"/>
                  <w:vMerge w:val="continue"/>
                  <w:tcBorders>
                    <w:tl2br w:val="nil"/>
                    <w:tr2bl w:val="nil"/>
                  </w:tcBorders>
                  <w:noWrap w:val="0"/>
                  <w:tcMar>
                    <w:top w:w="0" w:type="dxa"/>
                    <w:left w:w="28" w:type="dxa"/>
                    <w:bottom w:w="0" w:type="dxa"/>
                    <w:right w:w="28" w:type="dxa"/>
                  </w:tcMar>
                  <w:vAlign w:val="center"/>
                </w:tcPr>
                <w:p w14:paraId="437A3F5A">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735" w:type="dxa"/>
                  <w:tcBorders>
                    <w:tl2br w:val="nil"/>
                    <w:tr2bl w:val="nil"/>
                  </w:tcBorders>
                  <w:noWrap w:val="0"/>
                  <w:tcMar>
                    <w:top w:w="0" w:type="dxa"/>
                    <w:left w:w="28" w:type="dxa"/>
                    <w:bottom w:w="0" w:type="dxa"/>
                    <w:right w:w="28" w:type="dxa"/>
                  </w:tcMar>
                  <w:vAlign w:val="center"/>
                </w:tcPr>
                <w:p w14:paraId="0F3336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rPr>
                  </w:pPr>
                  <w:r>
                    <w:rPr>
                      <w:rFonts w:hint="default"/>
                      <w:color w:val="auto"/>
                      <w:kern w:val="0"/>
                      <w:sz w:val="21"/>
                      <w:szCs w:val="21"/>
                      <w:highlight w:val="none"/>
                      <w:lang w:bidi="ar"/>
                    </w:rPr>
                    <w:t>SS</w:t>
                  </w:r>
                </w:p>
              </w:tc>
              <w:tc>
                <w:tcPr>
                  <w:tcW w:w="682" w:type="dxa"/>
                  <w:tcBorders>
                    <w:tl2br w:val="nil"/>
                    <w:tr2bl w:val="nil"/>
                  </w:tcBorders>
                  <w:noWrap w:val="0"/>
                  <w:tcMar>
                    <w:top w:w="0" w:type="dxa"/>
                    <w:left w:w="28" w:type="dxa"/>
                    <w:bottom w:w="0" w:type="dxa"/>
                    <w:right w:w="28" w:type="dxa"/>
                  </w:tcMar>
                  <w:vAlign w:val="center"/>
                </w:tcPr>
                <w:p w14:paraId="60548C13">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377 </w:t>
                  </w:r>
                </w:p>
              </w:tc>
              <w:tc>
                <w:tcPr>
                  <w:tcW w:w="738" w:type="dxa"/>
                  <w:tcBorders>
                    <w:tl2br w:val="nil"/>
                    <w:tr2bl w:val="nil"/>
                  </w:tcBorders>
                  <w:noWrap w:val="0"/>
                  <w:tcMar>
                    <w:top w:w="0" w:type="dxa"/>
                    <w:left w:w="28" w:type="dxa"/>
                    <w:bottom w:w="0" w:type="dxa"/>
                    <w:right w:w="28" w:type="dxa"/>
                  </w:tcMar>
                  <w:vAlign w:val="center"/>
                </w:tcPr>
                <w:p w14:paraId="2FC3E4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 xml:space="preserve">0.1202 </w:t>
                  </w:r>
                </w:p>
              </w:tc>
              <w:tc>
                <w:tcPr>
                  <w:tcW w:w="546" w:type="dxa"/>
                  <w:vMerge w:val="continue"/>
                  <w:tcBorders>
                    <w:tl2br w:val="nil"/>
                    <w:tr2bl w:val="nil"/>
                  </w:tcBorders>
                  <w:noWrap w:val="0"/>
                  <w:tcMar>
                    <w:top w:w="0" w:type="dxa"/>
                    <w:left w:w="28" w:type="dxa"/>
                    <w:bottom w:w="0" w:type="dxa"/>
                    <w:right w:w="28" w:type="dxa"/>
                  </w:tcMar>
                  <w:vAlign w:val="center"/>
                </w:tcPr>
                <w:p w14:paraId="5ECDDEC1">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611" w:type="dxa"/>
                  <w:tcBorders>
                    <w:tl2br w:val="nil"/>
                    <w:tr2bl w:val="nil"/>
                  </w:tcBorders>
                  <w:noWrap w:val="0"/>
                  <w:tcMar>
                    <w:top w:w="0" w:type="dxa"/>
                    <w:left w:w="28" w:type="dxa"/>
                    <w:bottom w:w="0" w:type="dxa"/>
                    <w:right w:w="28" w:type="dxa"/>
                  </w:tcMar>
                  <w:vAlign w:val="center"/>
                </w:tcPr>
                <w:p w14:paraId="6177A538">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3</w:t>
                  </w:r>
                  <w:r>
                    <w:rPr>
                      <w:rFonts w:hint="eastAsia" w:cs="Times New Roman"/>
                      <w:i w:val="0"/>
                      <w:iCs w:val="0"/>
                      <w:color w:val="auto"/>
                      <w:kern w:val="0"/>
                      <w:sz w:val="21"/>
                      <w:szCs w:val="21"/>
                      <w:u w:val="none"/>
                      <w:lang w:val="en-US" w:eastAsia="zh-CN" w:bidi="ar"/>
                    </w:rPr>
                    <w:t>40</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780" w:type="dxa"/>
                  <w:gridSpan w:val="2"/>
                  <w:tcBorders>
                    <w:tl2br w:val="nil"/>
                    <w:tr2bl w:val="nil"/>
                  </w:tcBorders>
                  <w:noWrap w:val="0"/>
                  <w:tcMar>
                    <w:top w:w="0" w:type="dxa"/>
                    <w:left w:w="28" w:type="dxa"/>
                    <w:bottom w:w="0" w:type="dxa"/>
                    <w:right w:w="28" w:type="dxa"/>
                  </w:tcMar>
                  <w:vAlign w:val="center"/>
                </w:tcPr>
                <w:p w14:paraId="782C12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 xml:space="preserve">0.1084 </w:t>
                  </w:r>
                </w:p>
              </w:tc>
              <w:tc>
                <w:tcPr>
                  <w:tcW w:w="842" w:type="dxa"/>
                  <w:tcBorders>
                    <w:tl2br w:val="nil"/>
                    <w:tr2bl w:val="nil"/>
                  </w:tcBorders>
                  <w:noWrap w:val="0"/>
                  <w:tcMar>
                    <w:top w:w="0" w:type="dxa"/>
                    <w:left w:w="28" w:type="dxa"/>
                    <w:bottom w:w="0" w:type="dxa"/>
                    <w:right w:w="28" w:type="dxa"/>
                  </w:tcMar>
                  <w:vAlign w:val="center"/>
                </w:tcPr>
                <w:p w14:paraId="11675DB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color w:val="auto"/>
                      <w:kern w:val="0"/>
                      <w:szCs w:val="21"/>
                    </w:rPr>
                  </w:pPr>
                  <w:r>
                    <w:rPr>
                      <w:rFonts w:hint="default" w:ascii="Times New Roman" w:hAnsi="Times New Roman" w:cs="Times New Roman"/>
                      <w:color w:val="auto"/>
                      <w:sz w:val="21"/>
                      <w:szCs w:val="21"/>
                      <w:highlight w:val="none"/>
                    </w:rPr>
                    <w:t>≤400</w:t>
                  </w:r>
                </w:p>
              </w:tc>
              <w:tc>
                <w:tcPr>
                  <w:tcW w:w="1124" w:type="dxa"/>
                  <w:tcBorders>
                    <w:tl2br w:val="nil"/>
                    <w:tr2bl w:val="nil"/>
                  </w:tcBorders>
                  <w:noWrap w:val="0"/>
                  <w:tcMar>
                    <w:top w:w="0" w:type="dxa"/>
                    <w:left w:w="28" w:type="dxa"/>
                    <w:bottom w:w="0" w:type="dxa"/>
                    <w:right w:w="28" w:type="dxa"/>
                  </w:tcMar>
                  <w:vAlign w:val="center"/>
                </w:tcPr>
                <w:p w14:paraId="2D532D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eastAsia="宋体"/>
                      <w:color w:val="auto"/>
                      <w:szCs w:val="21"/>
                      <w:lang w:val="en-US" w:eastAsia="zh-CN"/>
                    </w:rPr>
                  </w:pPr>
                  <w:r>
                    <w:rPr>
                      <w:rFonts w:hint="default"/>
                      <w:color w:val="auto"/>
                      <w:kern w:val="0"/>
                      <w:sz w:val="21"/>
                      <w:szCs w:val="21"/>
                      <w:highlight w:val="none"/>
                      <w:lang w:bidi="ar"/>
                    </w:rPr>
                    <w:t>≤</w:t>
                  </w:r>
                  <w:r>
                    <w:rPr>
                      <w:rFonts w:hint="eastAsia"/>
                      <w:color w:val="auto"/>
                      <w:kern w:val="0"/>
                      <w:sz w:val="21"/>
                      <w:szCs w:val="21"/>
                      <w:highlight w:val="none"/>
                      <w:lang w:val="en-US" w:eastAsia="zh-CN" w:bidi="ar"/>
                    </w:rPr>
                    <w:t>10</w:t>
                  </w:r>
                </w:p>
              </w:tc>
              <w:tc>
                <w:tcPr>
                  <w:tcW w:w="765" w:type="dxa"/>
                  <w:tcBorders>
                    <w:tl2br w:val="nil"/>
                    <w:tr2bl w:val="nil"/>
                  </w:tcBorders>
                  <w:noWrap w:val="0"/>
                  <w:tcMar>
                    <w:top w:w="0" w:type="dxa"/>
                    <w:left w:w="28" w:type="dxa"/>
                    <w:bottom w:w="0" w:type="dxa"/>
                    <w:right w:w="28" w:type="dxa"/>
                  </w:tcMar>
                  <w:vAlign w:val="center"/>
                </w:tcPr>
                <w:p w14:paraId="49D90F5E">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等线" w:cs="Times New Roman"/>
                      <w:i w:val="0"/>
                      <w:iCs w:val="0"/>
                      <w:color w:val="auto"/>
                      <w:kern w:val="0"/>
                      <w:sz w:val="21"/>
                      <w:szCs w:val="21"/>
                      <w:u w:val="none"/>
                      <w:lang w:val="en-US" w:eastAsia="zh-CN" w:bidi="ar"/>
                    </w:rPr>
                    <w:t xml:space="preserve">0.0032 </w:t>
                  </w:r>
                </w:p>
              </w:tc>
              <w:tc>
                <w:tcPr>
                  <w:tcW w:w="850" w:type="dxa"/>
                  <w:vMerge w:val="continue"/>
                  <w:tcBorders>
                    <w:tl2br w:val="nil"/>
                    <w:tr2bl w:val="nil"/>
                  </w:tcBorders>
                  <w:noWrap w:val="0"/>
                  <w:tcMar>
                    <w:top w:w="0" w:type="dxa"/>
                    <w:left w:w="28" w:type="dxa"/>
                    <w:bottom w:w="0" w:type="dxa"/>
                    <w:right w:w="28" w:type="dxa"/>
                  </w:tcMar>
                  <w:vAlign w:val="center"/>
                </w:tcPr>
                <w:p w14:paraId="68E5CEF4">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r>
            <w:tr w14:paraId="126132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23" w:type="dxa"/>
                  <w:gridSpan w:val="2"/>
                  <w:vMerge w:val="continue"/>
                  <w:tcBorders>
                    <w:tl2br w:val="nil"/>
                    <w:tr2bl w:val="nil"/>
                  </w:tcBorders>
                  <w:noWrap w:val="0"/>
                  <w:tcMar>
                    <w:top w:w="0" w:type="dxa"/>
                    <w:left w:w="28" w:type="dxa"/>
                    <w:bottom w:w="0" w:type="dxa"/>
                    <w:right w:w="28" w:type="dxa"/>
                  </w:tcMar>
                  <w:vAlign w:val="center"/>
                </w:tcPr>
                <w:p w14:paraId="59AE290B">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574" w:type="dxa"/>
                  <w:vMerge w:val="continue"/>
                  <w:tcBorders>
                    <w:tl2br w:val="nil"/>
                    <w:tr2bl w:val="nil"/>
                  </w:tcBorders>
                  <w:noWrap w:val="0"/>
                  <w:tcMar>
                    <w:top w:w="0" w:type="dxa"/>
                    <w:left w:w="28" w:type="dxa"/>
                    <w:bottom w:w="0" w:type="dxa"/>
                    <w:right w:w="28" w:type="dxa"/>
                  </w:tcMar>
                  <w:vAlign w:val="center"/>
                </w:tcPr>
                <w:p w14:paraId="4EC2D22C">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735" w:type="dxa"/>
                  <w:tcBorders>
                    <w:tl2br w:val="nil"/>
                    <w:tr2bl w:val="nil"/>
                  </w:tcBorders>
                  <w:noWrap w:val="0"/>
                  <w:tcMar>
                    <w:top w:w="0" w:type="dxa"/>
                    <w:left w:w="28" w:type="dxa"/>
                    <w:bottom w:w="0" w:type="dxa"/>
                    <w:right w:w="28" w:type="dxa"/>
                  </w:tcMar>
                  <w:vAlign w:val="center"/>
                </w:tcPr>
                <w:p w14:paraId="266533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rPr>
                  </w:pPr>
                  <w:r>
                    <w:rPr>
                      <w:rFonts w:hint="default"/>
                      <w:color w:val="auto"/>
                      <w:kern w:val="0"/>
                      <w:sz w:val="21"/>
                      <w:szCs w:val="21"/>
                      <w:highlight w:val="none"/>
                      <w:lang w:bidi="ar"/>
                    </w:rPr>
                    <w:t>氨氮</w:t>
                  </w:r>
                </w:p>
              </w:tc>
              <w:tc>
                <w:tcPr>
                  <w:tcW w:w="682" w:type="dxa"/>
                  <w:tcBorders>
                    <w:tl2br w:val="nil"/>
                    <w:tr2bl w:val="nil"/>
                  </w:tcBorders>
                  <w:noWrap w:val="0"/>
                  <w:tcMar>
                    <w:top w:w="0" w:type="dxa"/>
                    <w:left w:w="28" w:type="dxa"/>
                    <w:bottom w:w="0" w:type="dxa"/>
                    <w:right w:w="28" w:type="dxa"/>
                  </w:tcMar>
                  <w:vAlign w:val="center"/>
                </w:tcPr>
                <w:p w14:paraId="2A0A158C">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33 </w:t>
                  </w:r>
                </w:p>
              </w:tc>
              <w:tc>
                <w:tcPr>
                  <w:tcW w:w="738" w:type="dxa"/>
                  <w:tcBorders>
                    <w:tl2br w:val="nil"/>
                    <w:tr2bl w:val="nil"/>
                  </w:tcBorders>
                  <w:noWrap w:val="0"/>
                  <w:tcMar>
                    <w:top w:w="0" w:type="dxa"/>
                    <w:left w:w="28" w:type="dxa"/>
                    <w:bottom w:w="0" w:type="dxa"/>
                    <w:right w:w="28" w:type="dxa"/>
                  </w:tcMar>
                  <w:vAlign w:val="center"/>
                </w:tcPr>
                <w:p w14:paraId="48D887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 xml:space="preserve">0.0105 </w:t>
                  </w:r>
                </w:p>
              </w:tc>
              <w:tc>
                <w:tcPr>
                  <w:tcW w:w="546" w:type="dxa"/>
                  <w:vMerge w:val="continue"/>
                  <w:tcBorders>
                    <w:tl2br w:val="nil"/>
                    <w:tr2bl w:val="nil"/>
                  </w:tcBorders>
                  <w:noWrap w:val="0"/>
                  <w:tcMar>
                    <w:top w:w="0" w:type="dxa"/>
                    <w:left w:w="28" w:type="dxa"/>
                    <w:bottom w:w="0" w:type="dxa"/>
                    <w:right w:w="28" w:type="dxa"/>
                  </w:tcMar>
                  <w:vAlign w:val="center"/>
                </w:tcPr>
                <w:p w14:paraId="728C058D">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611" w:type="dxa"/>
                  <w:tcBorders>
                    <w:tl2br w:val="nil"/>
                    <w:tr2bl w:val="nil"/>
                  </w:tcBorders>
                  <w:noWrap w:val="0"/>
                  <w:tcMar>
                    <w:top w:w="0" w:type="dxa"/>
                    <w:left w:w="28" w:type="dxa"/>
                    <w:bottom w:w="0" w:type="dxa"/>
                    <w:right w:w="28" w:type="dxa"/>
                  </w:tcMar>
                  <w:vAlign w:val="center"/>
                </w:tcPr>
                <w:p w14:paraId="5763CBF5">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33 </w:t>
                  </w:r>
                </w:p>
              </w:tc>
              <w:tc>
                <w:tcPr>
                  <w:tcW w:w="780" w:type="dxa"/>
                  <w:gridSpan w:val="2"/>
                  <w:tcBorders>
                    <w:tl2br w:val="nil"/>
                    <w:tr2bl w:val="nil"/>
                  </w:tcBorders>
                  <w:noWrap w:val="0"/>
                  <w:tcMar>
                    <w:top w:w="0" w:type="dxa"/>
                    <w:left w:w="28" w:type="dxa"/>
                    <w:bottom w:w="0" w:type="dxa"/>
                    <w:right w:w="28" w:type="dxa"/>
                  </w:tcMar>
                  <w:vAlign w:val="center"/>
                </w:tcPr>
                <w:p w14:paraId="665A36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 xml:space="preserve">0.0105 </w:t>
                  </w:r>
                </w:p>
              </w:tc>
              <w:tc>
                <w:tcPr>
                  <w:tcW w:w="842" w:type="dxa"/>
                  <w:tcBorders>
                    <w:tl2br w:val="nil"/>
                    <w:tr2bl w:val="nil"/>
                  </w:tcBorders>
                  <w:noWrap w:val="0"/>
                  <w:tcMar>
                    <w:top w:w="0" w:type="dxa"/>
                    <w:left w:w="28" w:type="dxa"/>
                    <w:bottom w:w="0" w:type="dxa"/>
                    <w:right w:w="28" w:type="dxa"/>
                  </w:tcMar>
                  <w:vAlign w:val="center"/>
                </w:tcPr>
                <w:p w14:paraId="57C11C9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color w:val="auto"/>
                      <w:kern w:val="0"/>
                      <w:szCs w:val="21"/>
                    </w:rPr>
                  </w:pPr>
                  <w:r>
                    <w:rPr>
                      <w:rFonts w:hint="default" w:ascii="Times New Roman" w:hAnsi="Times New Roman" w:cs="Times New Roman"/>
                      <w:color w:val="auto"/>
                      <w:sz w:val="21"/>
                      <w:szCs w:val="21"/>
                      <w:highlight w:val="none"/>
                    </w:rPr>
                    <w:t>≤45</w:t>
                  </w:r>
                </w:p>
              </w:tc>
              <w:tc>
                <w:tcPr>
                  <w:tcW w:w="1124" w:type="dxa"/>
                  <w:tcBorders>
                    <w:tl2br w:val="nil"/>
                    <w:tr2bl w:val="nil"/>
                  </w:tcBorders>
                  <w:noWrap w:val="0"/>
                  <w:tcMar>
                    <w:top w:w="0" w:type="dxa"/>
                    <w:left w:w="28" w:type="dxa"/>
                    <w:bottom w:w="0" w:type="dxa"/>
                    <w:right w:w="28" w:type="dxa"/>
                  </w:tcMar>
                  <w:vAlign w:val="center"/>
                </w:tcPr>
                <w:p w14:paraId="5DDE9E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eastAsia="宋体"/>
                      <w:color w:val="auto"/>
                      <w:szCs w:val="21"/>
                      <w:lang w:val="en-US" w:eastAsia="zh-CN"/>
                    </w:rPr>
                  </w:pPr>
                  <w:r>
                    <w:rPr>
                      <w:rFonts w:hint="default"/>
                      <w:color w:val="auto"/>
                      <w:kern w:val="0"/>
                      <w:sz w:val="21"/>
                      <w:szCs w:val="21"/>
                      <w:highlight w:val="none"/>
                      <w:lang w:bidi="ar"/>
                    </w:rPr>
                    <w:t>≤</w:t>
                  </w:r>
                  <w:r>
                    <w:rPr>
                      <w:rFonts w:hint="eastAsia"/>
                      <w:color w:val="auto"/>
                      <w:kern w:val="0"/>
                      <w:sz w:val="21"/>
                      <w:szCs w:val="21"/>
                      <w:highlight w:val="none"/>
                      <w:lang w:val="en-US" w:eastAsia="zh-CN" w:bidi="ar"/>
                    </w:rPr>
                    <w:t>3（5）</w:t>
                  </w:r>
                </w:p>
              </w:tc>
              <w:tc>
                <w:tcPr>
                  <w:tcW w:w="765" w:type="dxa"/>
                  <w:tcBorders>
                    <w:tl2br w:val="nil"/>
                    <w:tr2bl w:val="nil"/>
                  </w:tcBorders>
                  <w:noWrap w:val="0"/>
                  <w:tcMar>
                    <w:top w:w="0" w:type="dxa"/>
                    <w:left w:w="28" w:type="dxa"/>
                    <w:bottom w:w="0" w:type="dxa"/>
                    <w:right w:w="28" w:type="dxa"/>
                  </w:tcMar>
                  <w:vAlign w:val="center"/>
                </w:tcPr>
                <w:p w14:paraId="0F55EE82">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等线" w:cs="Times New Roman"/>
                      <w:i w:val="0"/>
                      <w:iCs w:val="0"/>
                      <w:color w:val="auto"/>
                      <w:kern w:val="0"/>
                      <w:sz w:val="21"/>
                      <w:szCs w:val="21"/>
                      <w:u w:val="none"/>
                      <w:lang w:val="en-US" w:eastAsia="zh-CN" w:bidi="ar"/>
                    </w:rPr>
                    <w:t xml:space="preserve">0.0010 </w:t>
                  </w:r>
                </w:p>
              </w:tc>
              <w:tc>
                <w:tcPr>
                  <w:tcW w:w="850" w:type="dxa"/>
                  <w:vMerge w:val="continue"/>
                  <w:tcBorders>
                    <w:tl2br w:val="nil"/>
                    <w:tr2bl w:val="nil"/>
                  </w:tcBorders>
                  <w:noWrap w:val="0"/>
                  <w:tcMar>
                    <w:top w:w="0" w:type="dxa"/>
                    <w:left w:w="28" w:type="dxa"/>
                    <w:bottom w:w="0" w:type="dxa"/>
                    <w:right w:w="28" w:type="dxa"/>
                  </w:tcMar>
                  <w:vAlign w:val="center"/>
                </w:tcPr>
                <w:p w14:paraId="0D978236">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r>
            <w:tr w14:paraId="19AC5F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23" w:type="dxa"/>
                  <w:gridSpan w:val="2"/>
                  <w:vMerge w:val="continue"/>
                  <w:tcBorders>
                    <w:tl2br w:val="nil"/>
                    <w:tr2bl w:val="nil"/>
                  </w:tcBorders>
                  <w:noWrap w:val="0"/>
                  <w:tcMar>
                    <w:top w:w="0" w:type="dxa"/>
                    <w:left w:w="28" w:type="dxa"/>
                    <w:bottom w:w="0" w:type="dxa"/>
                    <w:right w:w="28" w:type="dxa"/>
                  </w:tcMar>
                  <w:vAlign w:val="center"/>
                </w:tcPr>
                <w:p w14:paraId="3794B16C">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574" w:type="dxa"/>
                  <w:vMerge w:val="continue"/>
                  <w:tcBorders>
                    <w:tl2br w:val="nil"/>
                    <w:tr2bl w:val="nil"/>
                  </w:tcBorders>
                  <w:noWrap w:val="0"/>
                  <w:tcMar>
                    <w:top w:w="0" w:type="dxa"/>
                    <w:left w:w="28" w:type="dxa"/>
                    <w:bottom w:w="0" w:type="dxa"/>
                    <w:right w:w="28" w:type="dxa"/>
                  </w:tcMar>
                  <w:vAlign w:val="center"/>
                </w:tcPr>
                <w:p w14:paraId="66CC4450">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735" w:type="dxa"/>
                  <w:tcBorders>
                    <w:tl2br w:val="nil"/>
                    <w:tr2bl w:val="nil"/>
                  </w:tcBorders>
                  <w:noWrap w:val="0"/>
                  <w:tcMar>
                    <w:top w:w="0" w:type="dxa"/>
                    <w:left w:w="28" w:type="dxa"/>
                    <w:bottom w:w="0" w:type="dxa"/>
                    <w:right w:w="28" w:type="dxa"/>
                  </w:tcMar>
                  <w:vAlign w:val="center"/>
                </w:tcPr>
                <w:p w14:paraId="5295B7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rPr>
                  </w:pPr>
                  <w:r>
                    <w:rPr>
                      <w:rFonts w:hint="default"/>
                      <w:color w:val="auto"/>
                      <w:kern w:val="0"/>
                      <w:sz w:val="21"/>
                      <w:szCs w:val="21"/>
                      <w:highlight w:val="none"/>
                      <w:lang w:bidi="ar"/>
                    </w:rPr>
                    <w:t>总氮</w:t>
                  </w:r>
                </w:p>
              </w:tc>
              <w:tc>
                <w:tcPr>
                  <w:tcW w:w="682" w:type="dxa"/>
                  <w:tcBorders>
                    <w:tl2br w:val="nil"/>
                    <w:tr2bl w:val="nil"/>
                  </w:tcBorders>
                  <w:noWrap w:val="0"/>
                  <w:tcMar>
                    <w:top w:w="0" w:type="dxa"/>
                    <w:left w:w="28" w:type="dxa"/>
                    <w:bottom w:w="0" w:type="dxa"/>
                    <w:right w:w="28" w:type="dxa"/>
                  </w:tcMar>
                  <w:vAlign w:val="center"/>
                </w:tcPr>
                <w:p w14:paraId="6EB1F274">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42 </w:t>
                  </w:r>
                </w:p>
              </w:tc>
              <w:tc>
                <w:tcPr>
                  <w:tcW w:w="738" w:type="dxa"/>
                  <w:tcBorders>
                    <w:tl2br w:val="nil"/>
                    <w:tr2bl w:val="nil"/>
                  </w:tcBorders>
                  <w:noWrap w:val="0"/>
                  <w:tcMar>
                    <w:top w:w="0" w:type="dxa"/>
                    <w:left w:w="28" w:type="dxa"/>
                    <w:bottom w:w="0" w:type="dxa"/>
                    <w:right w:w="28" w:type="dxa"/>
                  </w:tcMar>
                  <w:vAlign w:val="center"/>
                </w:tcPr>
                <w:p w14:paraId="3ABC5C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 xml:space="preserve">0.0134 </w:t>
                  </w:r>
                </w:p>
              </w:tc>
              <w:tc>
                <w:tcPr>
                  <w:tcW w:w="546" w:type="dxa"/>
                  <w:vMerge w:val="continue"/>
                  <w:tcBorders>
                    <w:tl2br w:val="nil"/>
                    <w:tr2bl w:val="nil"/>
                  </w:tcBorders>
                  <w:noWrap w:val="0"/>
                  <w:tcMar>
                    <w:top w:w="0" w:type="dxa"/>
                    <w:left w:w="28" w:type="dxa"/>
                    <w:bottom w:w="0" w:type="dxa"/>
                    <w:right w:w="28" w:type="dxa"/>
                  </w:tcMar>
                  <w:vAlign w:val="center"/>
                </w:tcPr>
                <w:p w14:paraId="7125247C">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611" w:type="dxa"/>
                  <w:tcBorders>
                    <w:tl2br w:val="nil"/>
                    <w:tr2bl w:val="nil"/>
                  </w:tcBorders>
                  <w:noWrap w:val="0"/>
                  <w:tcMar>
                    <w:top w:w="0" w:type="dxa"/>
                    <w:left w:w="28" w:type="dxa"/>
                    <w:bottom w:w="0" w:type="dxa"/>
                    <w:right w:w="28" w:type="dxa"/>
                  </w:tcMar>
                  <w:vAlign w:val="center"/>
                </w:tcPr>
                <w:p w14:paraId="48F3CFC2">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42 </w:t>
                  </w:r>
                </w:p>
              </w:tc>
              <w:tc>
                <w:tcPr>
                  <w:tcW w:w="780" w:type="dxa"/>
                  <w:gridSpan w:val="2"/>
                  <w:tcBorders>
                    <w:tl2br w:val="nil"/>
                    <w:tr2bl w:val="nil"/>
                  </w:tcBorders>
                  <w:noWrap w:val="0"/>
                  <w:tcMar>
                    <w:top w:w="0" w:type="dxa"/>
                    <w:left w:w="28" w:type="dxa"/>
                    <w:bottom w:w="0" w:type="dxa"/>
                    <w:right w:w="28" w:type="dxa"/>
                  </w:tcMar>
                  <w:vAlign w:val="center"/>
                </w:tcPr>
                <w:p w14:paraId="69E77C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 xml:space="preserve">0.0134 </w:t>
                  </w:r>
                </w:p>
              </w:tc>
              <w:tc>
                <w:tcPr>
                  <w:tcW w:w="842" w:type="dxa"/>
                  <w:tcBorders>
                    <w:tl2br w:val="nil"/>
                    <w:tr2bl w:val="nil"/>
                  </w:tcBorders>
                  <w:noWrap w:val="0"/>
                  <w:tcMar>
                    <w:top w:w="0" w:type="dxa"/>
                    <w:left w:w="28" w:type="dxa"/>
                    <w:bottom w:w="0" w:type="dxa"/>
                    <w:right w:w="28" w:type="dxa"/>
                  </w:tcMar>
                  <w:vAlign w:val="center"/>
                </w:tcPr>
                <w:p w14:paraId="2807EA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color w:val="auto"/>
                      <w:kern w:val="0"/>
                      <w:szCs w:val="21"/>
                    </w:rPr>
                  </w:pPr>
                  <w:r>
                    <w:rPr>
                      <w:rFonts w:hint="default" w:ascii="Times New Roman" w:hAnsi="Times New Roman" w:cs="Times New Roman"/>
                      <w:color w:val="auto"/>
                      <w:sz w:val="21"/>
                      <w:szCs w:val="21"/>
                      <w:highlight w:val="none"/>
                    </w:rPr>
                    <w:t>≤70</w:t>
                  </w:r>
                </w:p>
              </w:tc>
              <w:tc>
                <w:tcPr>
                  <w:tcW w:w="1124" w:type="dxa"/>
                  <w:tcBorders>
                    <w:tl2br w:val="nil"/>
                    <w:tr2bl w:val="nil"/>
                  </w:tcBorders>
                  <w:noWrap w:val="0"/>
                  <w:tcMar>
                    <w:top w:w="0" w:type="dxa"/>
                    <w:left w:w="28" w:type="dxa"/>
                    <w:bottom w:w="0" w:type="dxa"/>
                    <w:right w:w="28" w:type="dxa"/>
                  </w:tcMar>
                  <w:vAlign w:val="center"/>
                </w:tcPr>
                <w:p w14:paraId="422598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eastAsia="宋体"/>
                      <w:color w:val="auto"/>
                      <w:szCs w:val="21"/>
                      <w:lang w:val="en-US" w:eastAsia="zh-CN"/>
                    </w:rPr>
                  </w:pPr>
                  <w:r>
                    <w:rPr>
                      <w:rFonts w:hint="default"/>
                      <w:color w:val="auto"/>
                      <w:kern w:val="0"/>
                      <w:sz w:val="21"/>
                      <w:szCs w:val="21"/>
                      <w:highlight w:val="none"/>
                      <w:lang w:bidi="ar"/>
                    </w:rPr>
                    <w:t>≤</w:t>
                  </w:r>
                  <w:r>
                    <w:rPr>
                      <w:rFonts w:hint="eastAsia"/>
                      <w:color w:val="auto"/>
                      <w:kern w:val="0"/>
                      <w:sz w:val="21"/>
                      <w:szCs w:val="21"/>
                      <w:highlight w:val="none"/>
                      <w:lang w:val="en-US" w:eastAsia="zh-CN" w:bidi="ar"/>
                    </w:rPr>
                    <w:t>10（12）</w:t>
                  </w:r>
                </w:p>
              </w:tc>
              <w:tc>
                <w:tcPr>
                  <w:tcW w:w="765" w:type="dxa"/>
                  <w:tcBorders>
                    <w:tl2br w:val="nil"/>
                    <w:tr2bl w:val="nil"/>
                  </w:tcBorders>
                  <w:noWrap w:val="0"/>
                  <w:tcMar>
                    <w:top w:w="0" w:type="dxa"/>
                    <w:left w:w="28" w:type="dxa"/>
                    <w:bottom w:w="0" w:type="dxa"/>
                    <w:right w:w="28" w:type="dxa"/>
                  </w:tcMar>
                  <w:vAlign w:val="center"/>
                </w:tcPr>
                <w:p w14:paraId="3A86534D">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等线" w:cs="Times New Roman"/>
                      <w:i w:val="0"/>
                      <w:iCs w:val="0"/>
                      <w:color w:val="auto"/>
                      <w:kern w:val="0"/>
                      <w:sz w:val="21"/>
                      <w:szCs w:val="21"/>
                      <w:u w:val="none"/>
                      <w:lang w:val="en-US" w:eastAsia="zh-CN" w:bidi="ar"/>
                    </w:rPr>
                    <w:t xml:space="preserve">0.0032 </w:t>
                  </w:r>
                </w:p>
              </w:tc>
              <w:tc>
                <w:tcPr>
                  <w:tcW w:w="850" w:type="dxa"/>
                  <w:vMerge w:val="continue"/>
                  <w:tcBorders>
                    <w:tl2br w:val="nil"/>
                    <w:tr2bl w:val="nil"/>
                  </w:tcBorders>
                  <w:noWrap w:val="0"/>
                  <w:tcMar>
                    <w:top w:w="0" w:type="dxa"/>
                    <w:left w:w="28" w:type="dxa"/>
                    <w:bottom w:w="0" w:type="dxa"/>
                    <w:right w:w="28" w:type="dxa"/>
                  </w:tcMar>
                  <w:vAlign w:val="center"/>
                </w:tcPr>
                <w:p w14:paraId="370BD412">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r>
            <w:tr w14:paraId="2210B4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23" w:type="dxa"/>
                  <w:gridSpan w:val="2"/>
                  <w:vMerge w:val="continue"/>
                  <w:tcBorders>
                    <w:tl2br w:val="nil"/>
                    <w:tr2bl w:val="nil"/>
                  </w:tcBorders>
                  <w:noWrap w:val="0"/>
                  <w:tcMar>
                    <w:top w:w="0" w:type="dxa"/>
                    <w:left w:w="28" w:type="dxa"/>
                    <w:bottom w:w="0" w:type="dxa"/>
                    <w:right w:w="28" w:type="dxa"/>
                  </w:tcMar>
                  <w:vAlign w:val="center"/>
                </w:tcPr>
                <w:p w14:paraId="4F1E9022">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574" w:type="dxa"/>
                  <w:vMerge w:val="continue"/>
                  <w:tcBorders>
                    <w:tl2br w:val="nil"/>
                    <w:tr2bl w:val="nil"/>
                  </w:tcBorders>
                  <w:noWrap w:val="0"/>
                  <w:tcMar>
                    <w:top w:w="0" w:type="dxa"/>
                    <w:left w:w="28" w:type="dxa"/>
                    <w:bottom w:w="0" w:type="dxa"/>
                    <w:right w:w="28" w:type="dxa"/>
                  </w:tcMar>
                  <w:vAlign w:val="center"/>
                </w:tcPr>
                <w:p w14:paraId="6FDBCA4D">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735" w:type="dxa"/>
                  <w:tcBorders>
                    <w:tl2br w:val="nil"/>
                    <w:tr2bl w:val="nil"/>
                  </w:tcBorders>
                  <w:noWrap w:val="0"/>
                  <w:tcMar>
                    <w:top w:w="0" w:type="dxa"/>
                    <w:left w:w="28" w:type="dxa"/>
                    <w:bottom w:w="0" w:type="dxa"/>
                    <w:right w:w="28" w:type="dxa"/>
                  </w:tcMar>
                  <w:vAlign w:val="center"/>
                </w:tcPr>
                <w:p w14:paraId="0FD48F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rPr>
                  </w:pPr>
                  <w:r>
                    <w:rPr>
                      <w:rFonts w:hint="default"/>
                      <w:color w:val="auto"/>
                      <w:kern w:val="0"/>
                      <w:sz w:val="21"/>
                      <w:szCs w:val="21"/>
                      <w:highlight w:val="none"/>
                      <w:lang w:bidi="ar"/>
                    </w:rPr>
                    <w:t>总磷</w:t>
                  </w:r>
                </w:p>
              </w:tc>
              <w:tc>
                <w:tcPr>
                  <w:tcW w:w="682" w:type="dxa"/>
                  <w:tcBorders>
                    <w:tl2br w:val="nil"/>
                    <w:tr2bl w:val="nil"/>
                  </w:tcBorders>
                  <w:noWrap w:val="0"/>
                  <w:tcMar>
                    <w:top w:w="0" w:type="dxa"/>
                    <w:left w:w="28" w:type="dxa"/>
                    <w:bottom w:w="0" w:type="dxa"/>
                    <w:right w:w="28" w:type="dxa"/>
                  </w:tcMar>
                  <w:vAlign w:val="center"/>
                </w:tcPr>
                <w:p w14:paraId="5E183B30">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5 </w:t>
                  </w:r>
                </w:p>
              </w:tc>
              <w:tc>
                <w:tcPr>
                  <w:tcW w:w="738" w:type="dxa"/>
                  <w:tcBorders>
                    <w:tl2br w:val="nil"/>
                    <w:tr2bl w:val="nil"/>
                  </w:tcBorders>
                  <w:noWrap w:val="0"/>
                  <w:tcMar>
                    <w:top w:w="0" w:type="dxa"/>
                    <w:left w:w="28" w:type="dxa"/>
                    <w:bottom w:w="0" w:type="dxa"/>
                    <w:right w:w="28" w:type="dxa"/>
                  </w:tcMar>
                  <w:vAlign w:val="center"/>
                </w:tcPr>
                <w:p w14:paraId="79ACF0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 xml:space="preserve">0.0016 </w:t>
                  </w:r>
                </w:p>
              </w:tc>
              <w:tc>
                <w:tcPr>
                  <w:tcW w:w="546" w:type="dxa"/>
                  <w:vMerge w:val="continue"/>
                  <w:tcBorders>
                    <w:tl2br w:val="nil"/>
                    <w:tr2bl w:val="nil"/>
                  </w:tcBorders>
                  <w:noWrap w:val="0"/>
                  <w:tcMar>
                    <w:top w:w="0" w:type="dxa"/>
                    <w:left w:w="28" w:type="dxa"/>
                    <w:bottom w:w="0" w:type="dxa"/>
                    <w:right w:w="28" w:type="dxa"/>
                  </w:tcMar>
                  <w:vAlign w:val="center"/>
                </w:tcPr>
                <w:p w14:paraId="1F21FC98">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611" w:type="dxa"/>
                  <w:tcBorders>
                    <w:tl2br w:val="nil"/>
                    <w:tr2bl w:val="nil"/>
                  </w:tcBorders>
                  <w:noWrap w:val="0"/>
                  <w:tcMar>
                    <w:top w:w="0" w:type="dxa"/>
                    <w:left w:w="28" w:type="dxa"/>
                    <w:bottom w:w="0" w:type="dxa"/>
                    <w:right w:w="28" w:type="dxa"/>
                  </w:tcMar>
                  <w:vAlign w:val="center"/>
                </w:tcPr>
                <w:p w14:paraId="5CDC32D6">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5 </w:t>
                  </w:r>
                </w:p>
              </w:tc>
              <w:tc>
                <w:tcPr>
                  <w:tcW w:w="780" w:type="dxa"/>
                  <w:gridSpan w:val="2"/>
                  <w:tcBorders>
                    <w:tl2br w:val="nil"/>
                    <w:tr2bl w:val="nil"/>
                  </w:tcBorders>
                  <w:noWrap w:val="0"/>
                  <w:tcMar>
                    <w:top w:w="0" w:type="dxa"/>
                    <w:left w:w="28" w:type="dxa"/>
                    <w:bottom w:w="0" w:type="dxa"/>
                    <w:right w:w="28" w:type="dxa"/>
                  </w:tcMar>
                  <w:vAlign w:val="center"/>
                </w:tcPr>
                <w:p w14:paraId="11F59D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 xml:space="preserve">0.0016 </w:t>
                  </w:r>
                </w:p>
              </w:tc>
              <w:tc>
                <w:tcPr>
                  <w:tcW w:w="842" w:type="dxa"/>
                  <w:tcBorders>
                    <w:tl2br w:val="nil"/>
                    <w:tr2bl w:val="nil"/>
                  </w:tcBorders>
                  <w:noWrap w:val="0"/>
                  <w:tcMar>
                    <w:top w:w="0" w:type="dxa"/>
                    <w:left w:w="28" w:type="dxa"/>
                    <w:bottom w:w="0" w:type="dxa"/>
                    <w:right w:w="28" w:type="dxa"/>
                  </w:tcMar>
                  <w:vAlign w:val="center"/>
                </w:tcPr>
                <w:p w14:paraId="392995C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color w:val="auto"/>
                      <w:kern w:val="0"/>
                      <w:szCs w:val="21"/>
                    </w:rPr>
                  </w:pPr>
                  <w:r>
                    <w:rPr>
                      <w:rFonts w:hint="default" w:ascii="Times New Roman" w:hAnsi="Times New Roman" w:cs="Times New Roman"/>
                      <w:color w:val="auto"/>
                      <w:sz w:val="21"/>
                      <w:szCs w:val="21"/>
                      <w:highlight w:val="none"/>
                    </w:rPr>
                    <w:t>≤8</w:t>
                  </w:r>
                </w:p>
              </w:tc>
              <w:tc>
                <w:tcPr>
                  <w:tcW w:w="1124" w:type="dxa"/>
                  <w:tcBorders>
                    <w:tl2br w:val="nil"/>
                    <w:tr2bl w:val="nil"/>
                  </w:tcBorders>
                  <w:noWrap w:val="0"/>
                  <w:tcMar>
                    <w:top w:w="0" w:type="dxa"/>
                    <w:left w:w="28" w:type="dxa"/>
                    <w:bottom w:w="0" w:type="dxa"/>
                    <w:right w:w="28" w:type="dxa"/>
                  </w:tcMar>
                  <w:vAlign w:val="center"/>
                </w:tcPr>
                <w:p w14:paraId="1ECC15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eastAsia="宋体"/>
                      <w:color w:val="auto"/>
                      <w:szCs w:val="21"/>
                      <w:lang w:val="en-US" w:eastAsia="zh-CN"/>
                    </w:rPr>
                  </w:pPr>
                  <w:r>
                    <w:rPr>
                      <w:rFonts w:hint="default"/>
                      <w:color w:val="auto"/>
                      <w:kern w:val="0"/>
                      <w:sz w:val="21"/>
                      <w:szCs w:val="21"/>
                      <w:highlight w:val="none"/>
                      <w:lang w:bidi="ar"/>
                    </w:rPr>
                    <w:t>≤</w:t>
                  </w:r>
                  <w:r>
                    <w:rPr>
                      <w:rFonts w:hint="eastAsia"/>
                      <w:color w:val="auto"/>
                      <w:kern w:val="0"/>
                      <w:sz w:val="21"/>
                      <w:szCs w:val="21"/>
                      <w:highlight w:val="none"/>
                      <w:lang w:val="en-US" w:eastAsia="zh-CN" w:bidi="ar"/>
                    </w:rPr>
                    <w:t>0.3</w:t>
                  </w:r>
                </w:p>
              </w:tc>
              <w:tc>
                <w:tcPr>
                  <w:tcW w:w="765" w:type="dxa"/>
                  <w:tcBorders>
                    <w:tl2br w:val="nil"/>
                    <w:tr2bl w:val="nil"/>
                  </w:tcBorders>
                  <w:noWrap w:val="0"/>
                  <w:tcMar>
                    <w:top w:w="0" w:type="dxa"/>
                    <w:left w:w="28" w:type="dxa"/>
                    <w:bottom w:w="0" w:type="dxa"/>
                    <w:right w:w="28" w:type="dxa"/>
                  </w:tcMar>
                  <w:vAlign w:val="center"/>
                </w:tcPr>
                <w:p w14:paraId="20A14CC3">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等线" w:cs="Times New Roman"/>
                      <w:i w:val="0"/>
                      <w:iCs w:val="0"/>
                      <w:color w:val="auto"/>
                      <w:kern w:val="0"/>
                      <w:sz w:val="21"/>
                      <w:szCs w:val="21"/>
                      <w:u w:val="none"/>
                      <w:lang w:val="en-US" w:eastAsia="zh-CN" w:bidi="ar"/>
                    </w:rPr>
                    <w:t xml:space="preserve">0.0001 </w:t>
                  </w:r>
                </w:p>
              </w:tc>
              <w:tc>
                <w:tcPr>
                  <w:tcW w:w="850" w:type="dxa"/>
                  <w:vMerge w:val="continue"/>
                  <w:tcBorders>
                    <w:tl2br w:val="nil"/>
                    <w:tr2bl w:val="nil"/>
                  </w:tcBorders>
                  <w:noWrap w:val="0"/>
                  <w:tcMar>
                    <w:top w:w="0" w:type="dxa"/>
                    <w:left w:w="28" w:type="dxa"/>
                    <w:bottom w:w="0" w:type="dxa"/>
                    <w:right w:w="28" w:type="dxa"/>
                  </w:tcMar>
                  <w:vAlign w:val="center"/>
                </w:tcPr>
                <w:p w14:paraId="0A57ADD4">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r>
            <w:tr w14:paraId="03FE1F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23" w:type="dxa"/>
                  <w:gridSpan w:val="2"/>
                  <w:vMerge w:val="continue"/>
                  <w:tcBorders>
                    <w:tl2br w:val="nil"/>
                    <w:tr2bl w:val="nil"/>
                  </w:tcBorders>
                  <w:noWrap w:val="0"/>
                  <w:tcMar>
                    <w:top w:w="0" w:type="dxa"/>
                    <w:left w:w="28" w:type="dxa"/>
                    <w:bottom w:w="0" w:type="dxa"/>
                    <w:right w:w="28" w:type="dxa"/>
                  </w:tcMar>
                  <w:vAlign w:val="center"/>
                </w:tcPr>
                <w:p w14:paraId="0614F05B">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574" w:type="dxa"/>
                  <w:vMerge w:val="continue"/>
                  <w:tcBorders>
                    <w:tl2br w:val="nil"/>
                    <w:tr2bl w:val="nil"/>
                  </w:tcBorders>
                  <w:noWrap w:val="0"/>
                  <w:tcMar>
                    <w:top w:w="0" w:type="dxa"/>
                    <w:left w:w="28" w:type="dxa"/>
                    <w:bottom w:w="0" w:type="dxa"/>
                    <w:right w:w="28" w:type="dxa"/>
                  </w:tcMar>
                  <w:vAlign w:val="center"/>
                </w:tcPr>
                <w:p w14:paraId="430002D0">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735" w:type="dxa"/>
                  <w:tcBorders>
                    <w:tl2br w:val="nil"/>
                    <w:tr2bl w:val="nil"/>
                  </w:tcBorders>
                  <w:noWrap w:val="0"/>
                  <w:tcMar>
                    <w:top w:w="0" w:type="dxa"/>
                    <w:left w:w="28" w:type="dxa"/>
                    <w:bottom w:w="0" w:type="dxa"/>
                    <w:right w:w="28" w:type="dxa"/>
                  </w:tcMar>
                  <w:vAlign w:val="center"/>
                </w:tcPr>
                <w:p w14:paraId="3360E1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rPr>
                  </w:pPr>
                  <w:r>
                    <w:rPr>
                      <w:rFonts w:hint="default"/>
                      <w:color w:val="auto"/>
                      <w:kern w:val="0"/>
                      <w:sz w:val="21"/>
                      <w:szCs w:val="21"/>
                      <w:highlight w:val="none"/>
                      <w:lang w:bidi="ar"/>
                    </w:rPr>
                    <w:t>LAS</w:t>
                  </w:r>
                </w:p>
              </w:tc>
              <w:tc>
                <w:tcPr>
                  <w:tcW w:w="682" w:type="dxa"/>
                  <w:tcBorders>
                    <w:tl2br w:val="nil"/>
                    <w:tr2bl w:val="nil"/>
                  </w:tcBorders>
                  <w:noWrap w:val="0"/>
                  <w:tcMar>
                    <w:top w:w="0" w:type="dxa"/>
                    <w:left w:w="28" w:type="dxa"/>
                    <w:bottom w:w="0" w:type="dxa"/>
                    <w:right w:w="28" w:type="dxa"/>
                  </w:tcMar>
                  <w:vAlign w:val="center"/>
                </w:tcPr>
                <w:p w14:paraId="65FDB87F">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6 </w:t>
                  </w:r>
                </w:p>
              </w:tc>
              <w:tc>
                <w:tcPr>
                  <w:tcW w:w="738" w:type="dxa"/>
                  <w:tcBorders>
                    <w:tl2br w:val="nil"/>
                    <w:tr2bl w:val="nil"/>
                  </w:tcBorders>
                  <w:noWrap w:val="0"/>
                  <w:tcMar>
                    <w:top w:w="0" w:type="dxa"/>
                    <w:left w:w="28" w:type="dxa"/>
                    <w:bottom w:w="0" w:type="dxa"/>
                    <w:right w:w="28" w:type="dxa"/>
                  </w:tcMar>
                  <w:vAlign w:val="center"/>
                </w:tcPr>
                <w:p w14:paraId="5D0909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 xml:space="preserve">0.0019 </w:t>
                  </w:r>
                </w:p>
              </w:tc>
              <w:tc>
                <w:tcPr>
                  <w:tcW w:w="546" w:type="dxa"/>
                  <w:vMerge w:val="continue"/>
                  <w:tcBorders>
                    <w:tl2br w:val="nil"/>
                    <w:tr2bl w:val="nil"/>
                  </w:tcBorders>
                  <w:noWrap w:val="0"/>
                  <w:tcMar>
                    <w:top w:w="0" w:type="dxa"/>
                    <w:left w:w="28" w:type="dxa"/>
                    <w:bottom w:w="0" w:type="dxa"/>
                    <w:right w:w="28" w:type="dxa"/>
                  </w:tcMar>
                  <w:vAlign w:val="center"/>
                </w:tcPr>
                <w:p w14:paraId="5435D704">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611" w:type="dxa"/>
                  <w:tcBorders>
                    <w:tl2br w:val="nil"/>
                    <w:tr2bl w:val="nil"/>
                  </w:tcBorders>
                  <w:noWrap w:val="0"/>
                  <w:tcMar>
                    <w:top w:w="0" w:type="dxa"/>
                    <w:left w:w="28" w:type="dxa"/>
                    <w:bottom w:w="0" w:type="dxa"/>
                    <w:right w:w="28" w:type="dxa"/>
                  </w:tcMar>
                  <w:vAlign w:val="center"/>
                </w:tcPr>
                <w:p w14:paraId="61D74EC8">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1 </w:t>
                  </w:r>
                </w:p>
              </w:tc>
              <w:tc>
                <w:tcPr>
                  <w:tcW w:w="780" w:type="dxa"/>
                  <w:gridSpan w:val="2"/>
                  <w:tcBorders>
                    <w:tl2br w:val="nil"/>
                    <w:tr2bl w:val="nil"/>
                  </w:tcBorders>
                  <w:noWrap w:val="0"/>
                  <w:tcMar>
                    <w:top w:w="0" w:type="dxa"/>
                    <w:left w:w="28" w:type="dxa"/>
                    <w:bottom w:w="0" w:type="dxa"/>
                    <w:right w:w="28" w:type="dxa"/>
                  </w:tcMar>
                  <w:vAlign w:val="center"/>
                </w:tcPr>
                <w:p w14:paraId="1B5257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 xml:space="preserve">0.0003 </w:t>
                  </w:r>
                </w:p>
              </w:tc>
              <w:tc>
                <w:tcPr>
                  <w:tcW w:w="842" w:type="dxa"/>
                  <w:tcBorders>
                    <w:tl2br w:val="nil"/>
                    <w:tr2bl w:val="nil"/>
                  </w:tcBorders>
                  <w:noWrap w:val="0"/>
                  <w:tcMar>
                    <w:top w:w="0" w:type="dxa"/>
                    <w:left w:w="28" w:type="dxa"/>
                    <w:bottom w:w="0" w:type="dxa"/>
                    <w:right w:w="28" w:type="dxa"/>
                  </w:tcMar>
                  <w:vAlign w:val="center"/>
                </w:tcPr>
                <w:p w14:paraId="25C6A40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color w:val="auto"/>
                      <w:kern w:val="0"/>
                      <w:szCs w:val="21"/>
                    </w:rPr>
                  </w:pPr>
                  <w:r>
                    <w:rPr>
                      <w:rFonts w:hint="default" w:ascii="Times New Roman" w:hAnsi="Times New Roman" w:cs="Times New Roman"/>
                      <w:color w:val="auto"/>
                      <w:kern w:val="0"/>
                      <w:sz w:val="21"/>
                      <w:szCs w:val="21"/>
                      <w:highlight w:val="none"/>
                      <w:lang w:bidi="ar"/>
                    </w:rPr>
                    <w:t>≤</w:t>
                  </w:r>
                  <w:r>
                    <w:rPr>
                      <w:rFonts w:hint="eastAsia" w:ascii="Times New Roman" w:hAnsi="Times New Roman" w:cs="Times New Roman"/>
                      <w:color w:val="auto"/>
                      <w:kern w:val="0"/>
                      <w:sz w:val="21"/>
                      <w:szCs w:val="21"/>
                      <w:highlight w:val="none"/>
                      <w:lang w:val="en-US" w:eastAsia="zh-CN" w:bidi="ar"/>
                    </w:rPr>
                    <w:t>20</w:t>
                  </w:r>
                </w:p>
              </w:tc>
              <w:tc>
                <w:tcPr>
                  <w:tcW w:w="1124" w:type="dxa"/>
                  <w:tcBorders>
                    <w:tl2br w:val="nil"/>
                    <w:tr2bl w:val="nil"/>
                  </w:tcBorders>
                  <w:noWrap w:val="0"/>
                  <w:tcMar>
                    <w:top w:w="0" w:type="dxa"/>
                    <w:left w:w="28" w:type="dxa"/>
                    <w:bottom w:w="0" w:type="dxa"/>
                    <w:right w:w="28" w:type="dxa"/>
                  </w:tcMar>
                  <w:vAlign w:val="center"/>
                </w:tcPr>
                <w:p w14:paraId="728404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color w:val="auto"/>
                      <w:szCs w:val="21"/>
                    </w:rPr>
                  </w:pPr>
                  <w:r>
                    <w:rPr>
                      <w:rFonts w:hint="default"/>
                      <w:color w:val="auto"/>
                      <w:kern w:val="0"/>
                      <w:sz w:val="21"/>
                      <w:szCs w:val="21"/>
                      <w:highlight w:val="none"/>
                      <w:lang w:bidi="ar"/>
                    </w:rPr>
                    <w:t>≤</w:t>
                  </w:r>
                  <w:r>
                    <w:rPr>
                      <w:rFonts w:hint="eastAsia"/>
                      <w:color w:val="auto"/>
                      <w:kern w:val="0"/>
                      <w:sz w:val="21"/>
                      <w:szCs w:val="21"/>
                      <w:highlight w:val="none"/>
                      <w:lang w:val="en-US" w:eastAsia="zh-CN" w:bidi="ar"/>
                    </w:rPr>
                    <w:t>0.5</w:t>
                  </w:r>
                </w:p>
              </w:tc>
              <w:tc>
                <w:tcPr>
                  <w:tcW w:w="765" w:type="dxa"/>
                  <w:tcBorders>
                    <w:tl2br w:val="nil"/>
                    <w:tr2bl w:val="nil"/>
                  </w:tcBorders>
                  <w:noWrap w:val="0"/>
                  <w:tcMar>
                    <w:top w:w="0" w:type="dxa"/>
                    <w:left w:w="28" w:type="dxa"/>
                    <w:bottom w:w="0" w:type="dxa"/>
                    <w:right w:w="28" w:type="dxa"/>
                  </w:tcMar>
                  <w:vAlign w:val="center"/>
                </w:tcPr>
                <w:p w14:paraId="438413AE">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等线" w:cs="Times New Roman"/>
                      <w:i w:val="0"/>
                      <w:iCs w:val="0"/>
                      <w:color w:val="auto"/>
                      <w:kern w:val="0"/>
                      <w:sz w:val="21"/>
                      <w:szCs w:val="21"/>
                      <w:u w:val="none"/>
                      <w:lang w:val="en-US" w:eastAsia="zh-CN" w:bidi="ar"/>
                    </w:rPr>
                    <w:t xml:space="preserve">0.0002 </w:t>
                  </w:r>
                </w:p>
              </w:tc>
              <w:tc>
                <w:tcPr>
                  <w:tcW w:w="850" w:type="dxa"/>
                  <w:vMerge w:val="continue"/>
                  <w:tcBorders>
                    <w:tl2br w:val="nil"/>
                    <w:tr2bl w:val="nil"/>
                  </w:tcBorders>
                  <w:noWrap w:val="0"/>
                  <w:tcMar>
                    <w:top w:w="0" w:type="dxa"/>
                    <w:left w:w="28" w:type="dxa"/>
                    <w:bottom w:w="0" w:type="dxa"/>
                    <w:right w:w="28" w:type="dxa"/>
                  </w:tcMar>
                  <w:vAlign w:val="center"/>
                </w:tcPr>
                <w:p w14:paraId="44685658">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r>
          </w:tbl>
          <w:p w14:paraId="15AF450A">
            <w:pPr>
              <w:keepNext w:val="0"/>
              <w:keepLines w:val="0"/>
              <w:suppressLineNumbers w:val="0"/>
              <w:adjustRightInd w:val="0"/>
              <w:snapToGrid w:val="0"/>
              <w:spacing w:before="120" w:beforeLines="50" w:beforeAutospacing="0" w:after="0" w:afterAutospacing="0" w:line="360" w:lineRule="auto"/>
              <w:ind w:left="0" w:right="0" w:firstLine="482" w:firstLineChars="200"/>
              <w:jc w:val="left"/>
              <w:rPr>
                <w:rFonts w:hint="default"/>
                <w:b/>
                <w:bCs/>
                <w:color w:val="auto"/>
                <w:kern w:val="0"/>
                <w:sz w:val="24"/>
              </w:rPr>
            </w:pPr>
            <w:r>
              <w:rPr>
                <w:rFonts w:hint="default"/>
                <w:b/>
                <w:bCs/>
                <w:color w:val="auto"/>
                <w:kern w:val="0"/>
                <w:sz w:val="24"/>
              </w:rPr>
              <w:t>（2）废水污染治理设施及排放口情况</w:t>
            </w:r>
          </w:p>
          <w:p w14:paraId="7356D4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b/>
                <w:bCs/>
                <w:color w:val="auto"/>
                <w:kern w:val="0"/>
                <w:sz w:val="24"/>
                <w:lang w:eastAsia="zh-CN"/>
              </w:rPr>
            </w:pPr>
            <w:r>
              <w:rPr>
                <w:rFonts w:hint="default"/>
                <w:color w:val="auto"/>
                <w:kern w:val="0"/>
                <w:sz w:val="24"/>
              </w:rPr>
              <w:t>废水污染治理设施信息表见</w:t>
            </w:r>
            <w:r>
              <w:rPr>
                <w:rFonts w:hint="eastAsia"/>
                <w:color w:val="auto"/>
                <w:kern w:val="0"/>
                <w:sz w:val="24"/>
                <w:lang w:eastAsia="zh-CN"/>
              </w:rPr>
              <w:t>下表</w:t>
            </w:r>
            <w:r>
              <w:rPr>
                <w:rFonts w:hint="default"/>
                <w:snapToGrid w:val="0"/>
                <w:color w:val="auto"/>
                <w:kern w:val="0"/>
                <w:sz w:val="24"/>
              </w:rPr>
              <w:t>。</w:t>
            </w:r>
          </w:p>
          <w:p w14:paraId="13AAC385">
            <w:pPr>
              <w:pStyle w:val="24"/>
              <w:keepNext w:val="0"/>
              <w:keepLines w:val="0"/>
              <w:numPr>
                <w:ilvl w:val="0"/>
                <w:numId w:val="0"/>
              </w:numPr>
              <w:suppressLineNumbers w:val="0"/>
              <w:snapToGrid w:val="0"/>
              <w:spacing w:before="0" w:beforeAutospacing="0" w:after="0" w:afterAutospacing="0"/>
              <w:ind w:left="425" w:leftChars="0" w:right="0" w:hanging="425" w:firstLineChars="0"/>
              <w:jc w:val="center"/>
              <w:rPr>
                <w:rFonts w:hint="eastAsia" w:ascii="Times New Roman" w:hAnsi="Times New Roman" w:eastAsia="宋体" w:cs="Times New Roman"/>
                <w:b/>
                <w:bCs/>
              </w:rPr>
            </w:pPr>
            <w:r>
              <w:rPr>
                <w:rFonts w:hint="default" w:ascii="Times New Roman" w:hAnsi="Times New Roman" w:eastAsia="宋体" w:cs="Times New Roman"/>
                <w:b/>
                <w:bCs/>
                <w:kern w:val="0"/>
                <w:sz w:val="24"/>
                <w:szCs w:val="24"/>
                <w:lang w:val="en-US" w:eastAsia="zh-CN" w:bidi="ar-SA"/>
              </w:rPr>
              <w:t>表4-</w:t>
            </w:r>
            <w:r>
              <w:rPr>
                <w:rFonts w:hint="eastAsia" w:ascii="Times New Roman" w:hAnsi="Times New Roman" w:cs="Times New Roman"/>
                <w:b/>
                <w:bCs/>
                <w:kern w:val="0"/>
                <w:sz w:val="24"/>
                <w:szCs w:val="24"/>
                <w:lang w:val="en-US" w:eastAsia="zh-CN" w:bidi="ar-SA"/>
              </w:rPr>
              <w:t xml:space="preserve">7  </w:t>
            </w:r>
            <w:r>
              <w:rPr>
                <w:rFonts w:hint="eastAsia" w:ascii="Times New Roman" w:hAnsi="Times New Roman" w:eastAsia="宋体" w:cs="Times New Roman"/>
                <w:b/>
                <w:bCs/>
              </w:rPr>
              <w:t>废水污染治理设施信息表</w:t>
            </w:r>
          </w:p>
          <w:tbl>
            <w:tblPr>
              <w:tblStyle w:val="25"/>
              <w:tblW w:w="83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39"/>
              <w:gridCol w:w="446"/>
              <w:gridCol w:w="777"/>
              <w:gridCol w:w="723"/>
              <w:gridCol w:w="723"/>
              <w:gridCol w:w="476"/>
              <w:gridCol w:w="682"/>
              <w:gridCol w:w="672"/>
              <w:gridCol w:w="528"/>
              <w:gridCol w:w="533"/>
              <w:gridCol w:w="491"/>
              <w:gridCol w:w="695"/>
              <w:gridCol w:w="1361"/>
            </w:tblGrid>
            <w:tr w14:paraId="48C07E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43" w:type="pct"/>
                  <w:vMerge w:val="restart"/>
                  <w:noWrap w:val="0"/>
                  <w:vAlign w:val="center"/>
                </w:tcPr>
                <w:p w14:paraId="77A279D3">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r>
                    <w:rPr>
                      <w:rFonts w:hint="default"/>
                      <w:b/>
                      <w:bCs/>
                      <w:color w:val="auto"/>
                      <w:szCs w:val="21"/>
                    </w:rPr>
                    <w:t>序号</w:t>
                  </w:r>
                </w:p>
              </w:tc>
              <w:tc>
                <w:tcPr>
                  <w:tcW w:w="267" w:type="pct"/>
                  <w:vMerge w:val="restart"/>
                  <w:noWrap w:val="0"/>
                  <w:vAlign w:val="center"/>
                </w:tcPr>
                <w:p w14:paraId="3DF58A40">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r>
                    <w:rPr>
                      <w:rFonts w:hint="default"/>
                      <w:b/>
                      <w:bCs/>
                      <w:color w:val="auto"/>
                      <w:szCs w:val="21"/>
                    </w:rPr>
                    <w:t>废水类别</w:t>
                  </w:r>
                </w:p>
              </w:tc>
              <w:tc>
                <w:tcPr>
                  <w:tcW w:w="465" w:type="pct"/>
                  <w:vMerge w:val="restart"/>
                  <w:noWrap w:val="0"/>
                  <w:vAlign w:val="center"/>
                </w:tcPr>
                <w:p w14:paraId="18005F51">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r>
                    <w:rPr>
                      <w:rFonts w:hint="default"/>
                      <w:b/>
                      <w:bCs/>
                      <w:color w:val="auto"/>
                      <w:szCs w:val="21"/>
                    </w:rPr>
                    <w:t>污染物种类</w:t>
                  </w:r>
                </w:p>
              </w:tc>
              <w:tc>
                <w:tcPr>
                  <w:tcW w:w="1962" w:type="pct"/>
                  <w:gridSpan w:val="5"/>
                  <w:noWrap w:val="0"/>
                  <w:vAlign w:val="center"/>
                </w:tcPr>
                <w:p w14:paraId="1BED9F5E">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r>
                    <w:rPr>
                      <w:rFonts w:hint="default"/>
                      <w:b/>
                      <w:bCs/>
                      <w:color w:val="auto"/>
                      <w:szCs w:val="21"/>
                    </w:rPr>
                    <w:t>污染治理设施</w:t>
                  </w:r>
                </w:p>
              </w:tc>
              <w:tc>
                <w:tcPr>
                  <w:tcW w:w="316" w:type="pct"/>
                  <w:vMerge w:val="restart"/>
                  <w:noWrap w:val="0"/>
                  <w:vAlign w:val="center"/>
                </w:tcPr>
                <w:p w14:paraId="5AB942A4">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r>
                    <w:rPr>
                      <w:rFonts w:hint="default"/>
                      <w:b/>
                      <w:bCs/>
                      <w:color w:val="auto"/>
                      <w:szCs w:val="21"/>
                    </w:rPr>
                    <w:t>排放</w:t>
                  </w:r>
                </w:p>
                <w:p w14:paraId="6AB45350">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r>
                    <w:rPr>
                      <w:rFonts w:hint="default"/>
                      <w:b/>
                      <w:bCs/>
                      <w:color w:val="auto"/>
                      <w:szCs w:val="21"/>
                    </w:rPr>
                    <w:t>去向</w:t>
                  </w:r>
                </w:p>
              </w:tc>
              <w:tc>
                <w:tcPr>
                  <w:tcW w:w="319" w:type="pct"/>
                  <w:vMerge w:val="restart"/>
                  <w:noWrap w:val="0"/>
                  <w:vAlign w:val="center"/>
                </w:tcPr>
                <w:p w14:paraId="4877F718">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b/>
                      <w:bCs/>
                      <w:color w:val="auto"/>
                      <w:szCs w:val="21"/>
                    </w:rPr>
                    <w:t>排放规律</w:t>
                  </w:r>
                </w:p>
              </w:tc>
              <w:tc>
                <w:tcPr>
                  <w:tcW w:w="294" w:type="pct"/>
                  <w:vMerge w:val="restart"/>
                  <w:noWrap w:val="0"/>
                  <w:vAlign w:val="center"/>
                </w:tcPr>
                <w:p w14:paraId="4094934F">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r>
                    <w:rPr>
                      <w:rFonts w:hint="default"/>
                      <w:b/>
                      <w:bCs/>
                      <w:color w:val="auto"/>
                      <w:szCs w:val="21"/>
                    </w:rPr>
                    <w:t>排放口编号</w:t>
                  </w:r>
                </w:p>
              </w:tc>
              <w:tc>
                <w:tcPr>
                  <w:tcW w:w="416" w:type="pct"/>
                  <w:vMerge w:val="restart"/>
                  <w:noWrap w:val="0"/>
                  <w:vAlign w:val="center"/>
                </w:tcPr>
                <w:p w14:paraId="501634C7">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r>
                    <w:rPr>
                      <w:rFonts w:hint="default"/>
                      <w:b/>
                      <w:bCs/>
                      <w:color w:val="auto"/>
                      <w:szCs w:val="21"/>
                    </w:rPr>
                    <w:t>排放口设置是否符合要求</w:t>
                  </w:r>
                </w:p>
              </w:tc>
              <w:tc>
                <w:tcPr>
                  <w:tcW w:w="815" w:type="pct"/>
                  <w:vMerge w:val="restart"/>
                  <w:noWrap w:val="0"/>
                  <w:vAlign w:val="center"/>
                </w:tcPr>
                <w:p w14:paraId="0A9DB513">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r>
                    <w:rPr>
                      <w:rFonts w:hint="default"/>
                      <w:b/>
                      <w:bCs/>
                      <w:color w:val="auto"/>
                      <w:szCs w:val="21"/>
                    </w:rPr>
                    <w:t>排放口类型</w:t>
                  </w:r>
                </w:p>
              </w:tc>
            </w:tr>
            <w:tr w14:paraId="5D9902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16" w:hRule="atLeast"/>
                <w:jc w:val="center"/>
              </w:trPr>
              <w:tc>
                <w:tcPr>
                  <w:tcW w:w="143" w:type="pct"/>
                  <w:vMerge w:val="continue"/>
                  <w:noWrap w:val="0"/>
                  <w:vAlign w:val="center"/>
                </w:tcPr>
                <w:p w14:paraId="4A5A72B6">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267" w:type="pct"/>
                  <w:vMerge w:val="continue"/>
                  <w:noWrap w:val="0"/>
                  <w:vAlign w:val="center"/>
                </w:tcPr>
                <w:p w14:paraId="665072BF">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465" w:type="pct"/>
                  <w:vMerge w:val="continue"/>
                  <w:noWrap w:val="0"/>
                  <w:vAlign w:val="center"/>
                </w:tcPr>
                <w:p w14:paraId="068A4A50">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433" w:type="pct"/>
                  <w:noWrap w:val="0"/>
                  <w:vAlign w:val="center"/>
                </w:tcPr>
                <w:p w14:paraId="101218DA">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r>
                    <w:rPr>
                      <w:rFonts w:hint="default"/>
                      <w:b/>
                      <w:bCs/>
                      <w:color w:val="auto"/>
                      <w:szCs w:val="21"/>
                    </w:rPr>
                    <w:t>污染治理设施编号</w:t>
                  </w:r>
                </w:p>
              </w:tc>
              <w:tc>
                <w:tcPr>
                  <w:tcW w:w="433" w:type="pct"/>
                  <w:noWrap w:val="0"/>
                  <w:vAlign w:val="center"/>
                </w:tcPr>
                <w:p w14:paraId="4D3675C0">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r>
                    <w:rPr>
                      <w:rFonts w:hint="default"/>
                      <w:b/>
                      <w:bCs/>
                      <w:color w:val="auto"/>
                      <w:szCs w:val="21"/>
                    </w:rPr>
                    <w:t>污染治理设施名称</w:t>
                  </w:r>
                </w:p>
              </w:tc>
              <w:tc>
                <w:tcPr>
                  <w:tcW w:w="285" w:type="pct"/>
                  <w:noWrap w:val="0"/>
                  <w:vAlign w:val="center"/>
                </w:tcPr>
                <w:p w14:paraId="7A656682">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r>
                    <w:rPr>
                      <w:rFonts w:hint="eastAsia"/>
                      <w:b/>
                      <w:bCs/>
                      <w:color w:val="auto"/>
                      <w:szCs w:val="21"/>
                    </w:rPr>
                    <w:t>处理能力</w:t>
                  </w:r>
                </w:p>
              </w:tc>
              <w:tc>
                <w:tcPr>
                  <w:tcW w:w="408" w:type="pct"/>
                  <w:noWrap w:val="0"/>
                  <w:vAlign w:val="center"/>
                </w:tcPr>
                <w:p w14:paraId="01433D4E">
                  <w:pPr>
                    <w:keepNext w:val="0"/>
                    <w:keepLines w:val="0"/>
                    <w:suppressLineNumbers w:val="0"/>
                    <w:adjustRightInd w:val="0"/>
                    <w:snapToGrid w:val="0"/>
                    <w:spacing w:before="0" w:beforeAutospacing="0" w:after="0" w:afterAutospacing="0"/>
                    <w:ind w:left="0" w:right="0"/>
                    <w:jc w:val="center"/>
                    <w:rPr>
                      <w:rFonts w:hint="eastAsia"/>
                      <w:b/>
                      <w:bCs/>
                      <w:color w:val="auto"/>
                      <w:szCs w:val="21"/>
                    </w:rPr>
                  </w:pPr>
                  <w:r>
                    <w:rPr>
                      <w:rFonts w:hint="default"/>
                      <w:b/>
                      <w:bCs/>
                      <w:color w:val="auto"/>
                      <w:szCs w:val="21"/>
                    </w:rPr>
                    <w:t>污染治理设施工艺</w:t>
                  </w:r>
                </w:p>
              </w:tc>
              <w:tc>
                <w:tcPr>
                  <w:tcW w:w="402" w:type="pct"/>
                  <w:noWrap w:val="0"/>
                  <w:vAlign w:val="center"/>
                </w:tcPr>
                <w:p w14:paraId="1600BF39">
                  <w:pPr>
                    <w:keepNext w:val="0"/>
                    <w:keepLines w:val="0"/>
                    <w:suppressLineNumbers w:val="0"/>
                    <w:adjustRightInd w:val="0"/>
                    <w:snapToGrid w:val="0"/>
                    <w:spacing w:before="0" w:beforeAutospacing="0" w:after="0" w:afterAutospacing="0"/>
                    <w:ind w:left="0" w:right="0"/>
                    <w:jc w:val="center"/>
                    <w:rPr>
                      <w:rFonts w:hint="eastAsia"/>
                      <w:b/>
                      <w:bCs/>
                      <w:color w:val="auto"/>
                      <w:szCs w:val="21"/>
                    </w:rPr>
                  </w:pPr>
                  <w:r>
                    <w:rPr>
                      <w:rFonts w:hint="eastAsia"/>
                      <w:b/>
                      <w:bCs/>
                      <w:color w:val="auto"/>
                      <w:szCs w:val="21"/>
                    </w:rPr>
                    <w:t>是否为可行性技术</w:t>
                  </w:r>
                </w:p>
              </w:tc>
              <w:tc>
                <w:tcPr>
                  <w:tcW w:w="316" w:type="pct"/>
                  <w:vMerge w:val="continue"/>
                  <w:noWrap w:val="0"/>
                  <w:vAlign w:val="center"/>
                </w:tcPr>
                <w:p w14:paraId="4F7B7BC3">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319" w:type="pct"/>
                  <w:vMerge w:val="continue"/>
                  <w:noWrap w:val="0"/>
                  <w:vAlign w:val="center"/>
                </w:tcPr>
                <w:p w14:paraId="7BED0295">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294" w:type="pct"/>
                  <w:vMerge w:val="continue"/>
                  <w:noWrap w:val="0"/>
                  <w:vAlign w:val="center"/>
                </w:tcPr>
                <w:p w14:paraId="24EA3153">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416" w:type="pct"/>
                  <w:vMerge w:val="continue"/>
                  <w:noWrap w:val="0"/>
                  <w:vAlign w:val="center"/>
                </w:tcPr>
                <w:p w14:paraId="11D0882E">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815" w:type="pct"/>
                  <w:vMerge w:val="continue"/>
                  <w:noWrap w:val="0"/>
                  <w:vAlign w:val="center"/>
                </w:tcPr>
                <w:p w14:paraId="553A588C">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r>
            <w:tr w14:paraId="4A6EF1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11" w:hRule="atLeast"/>
                <w:jc w:val="center"/>
              </w:trPr>
              <w:tc>
                <w:tcPr>
                  <w:tcW w:w="143" w:type="pct"/>
                  <w:noWrap w:val="0"/>
                  <w:vAlign w:val="center"/>
                </w:tcPr>
                <w:p w14:paraId="26E343E7">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1</w:t>
                  </w:r>
                </w:p>
              </w:tc>
              <w:tc>
                <w:tcPr>
                  <w:tcW w:w="267" w:type="pct"/>
                  <w:noWrap w:val="0"/>
                  <w:vAlign w:val="center"/>
                </w:tcPr>
                <w:p w14:paraId="2A1BFCFF">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生活污水</w:t>
                  </w:r>
                </w:p>
              </w:tc>
              <w:tc>
                <w:tcPr>
                  <w:tcW w:w="465" w:type="pct"/>
                  <w:noWrap w:val="0"/>
                  <w:vAlign w:val="center"/>
                </w:tcPr>
                <w:p w14:paraId="0DB4FB53">
                  <w:pPr>
                    <w:pStyle w:val="10"/>
                    <w:keepNext w:val="0"/>
                    <w:keepLines w:val="0"/>
                    <w:suppressLineNumbers w:val="0"/>
                    <w:spacing w:before="0" w:beforeAutospacing="0" w:after="0" w:afterAutospacing="0"/>
                    <w:ind w:left="0" w:right="0"/>
                    <w:rPr>
                      <w:rFonts w:hint="default"/>
                      <w:color w:val="auto"/>
                    </w:rPr>
                  </w:pPr>
                  <w:r>
                    <w:rPr>
                      <w:rFonts w:hint="eastAsia"/>
                      <w:color w:val="auto"/>
                      <w:sz w:val="21"/>
                      <w:szCs w:val="21"/>
                    </w:rPr>
                    <w:t>pH值</w:t>
                  </w:r>
                  <w:r>
                    <w:rPr>
                      <w:rFonts w:hint="eastAsia"/>
                      <w:color w:val="auto"/>
                    </w:rPr>
                    <w:t>、</w:t>
                  </w:r>
                </w:p>
                <w:p w14:paraId="630B30A7">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COD、SS、NH</w:t>
                  </w:r>
                  <w:r>
                    <w:rPr>
                      <w:rFonts w:hint="default"/>
                      <w:color w:val="auto"/>
                      <w:szCs w:val="21"/>
                      <w:vertAlign w:val="subscript"/>
                    </w:rPr>
                    <w:t>3</w:t>
                  </w:r>
                  <w:r>
                    <w:rPr>
                      <w:rFonts w:hint="default"/>
                      <w:color w:val="auto"/>
                      <w:szCs w:val="21"/>
                    </w:rPr>
                    <w:t>-N、TN、TP</w:t>
                  </w:r>
                </w:p>
              </w:tc>
              <w:tc>
                <w:tcPr>
                  <w:tcW w:w="433" w:type="pct"/>
                  <w:vMerge w:val="restart"/>
                  <w:noWrap w:val="0"/>
                  <w:vAlign w:val="center"/>
                </w:tcPr>
                <w:p w14:paraId="6995AD04">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TW001</w:t>
                  </w:r>
                </w:p>
              </w:tc>
              <w:tc>
                <w:tcPr>
                  <w:tcW w:w="433" w:type="pct"/>
                  <w:vMerge w:val="restart"/>
                  <w:noWrap w:val="0"/>
                  <w:vAlign w:val="center"/>
                </w:tcPr>
                <w:p w14:paraId="7363500E">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化粪池</w:t>
                  </w:r>
                </w:p>
              </w:tc>
              <w:tc>
                <w:tcPr>
                  <w:tcW w:w="285" w:type="pct"/>
                  <w:noWrap w:val="0"/>
                  <w:vAlign w:val="center"/>
                </w:tcPr>
                <w:p w14:paraId="7FD92B70">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w:t>
                  </w:r>
                </w:p>
              </w:tc>
              <w:tc>
                <w:tcPr>
                  <w:tcW w:w="408" w:type="pct"/>
                  <w:noWrap w:val="0"/>
                  <w:vAlign w:val="center"/>
                </w:tcPr>
                <w:p w14:paraId="1D32D543">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w:t>
                  </w:r>
                </w:p>
              </w:tc>
              <w:tc>
                <w:tcPr>
                  <w:tcW w:w="402" w:type="pct"/>
                  <w:vMerge w:val="restart"/>
                  <w:noWrap w:val="0"/>
                  <w:vAlign w:val="center"/>
                </w:tcPr>
                <w:p w14:paraId="015B0FCA">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szCs w:val="21"/>
                    </w:rPr>
                  </w:pPr>
                  <w:r>
                    <w:rPr>
                      <w:rFonts w:hint="eastAsia" w:ascii="宋体" w:hAnsi="宋体" w:cs="宋体"/>
                      <w:color w:val="auto"/>
                      <w:szCs w:val="21"/>
                    </w:rPr>
                    <w:t>☑是</w:t>
                  </w:r>
                </w:p>
                <w:p w14:paraId="0EB4C310">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ascii="宋体" w:hAnsi="宋体" w:cs="宋体"/>
                      <w:color w:val="auto"/>
                      <w:szCs w:val="21"/>
                    </w:rPr>
                    <w:t>□否</w:t>
                  </w:r>
                </w:p>
              </w:tc>
              <w:tc>
                <w:tcPr>
                  <w:tcW w:w="316" w:type="pct"/>
                  <w:vMerge w:val="restart"/>
                  <w:noWrap w:val="0"/>
                  <w:vAlign w:val="center"/>
                </w:tcPr>
                <w:p w14:paraId="653398B5">
                  <w:pPr>
                    <w:keepNext w:val="0"/>
                    <w:keepLines w:val="0"/>
                    <w:suppressLineNumbers w:val="0"/>
                    <w:adjustRightInd w:val="0"/>
                    <w:snapToGrid w:val="0"/>
                    <w:spacing w:before="0" w:beforeAutospacing="0" w:after="0" w:afterAutospacing="0"/>
                    <w:ind w:left="0" w:right="0"/>
                    <w:jc w:val="center"/>
                    <w:rPr>
                      <w:rFonts w:hint="eastAsia" w:cs="Times New Roman"/>
                      <w:color w:val="auto"/>
                      <w:sz w:val="21"/>
                      <w:szCs w:val="21"/>
                      <w:lang w:eastAsia="zh-CN"/>
                    </w:rPr>
                  </w:pPr>
                  <w:r>
                    <w:rPr>
                      <w:rFonts w:hint="eastAsia" w:cs="Times New Roman"/>
                      <w:color w:val="auto"/>
                      <w:sz w:val="21"/>
                      <w:szCs w:val="21"/>
                      <w:lang w:eastAsia="zh-CN"/>
                    </w:rPr>
                    <w:t>太湖新城污水处理厂</w:t>
                  </w:r>
                </w:p>
              </w:tc>
              <w:tc>
                <w:tcPr>
                  <w:tcW w:w="319" w:type="pct"/>
                  <w:vMerge w:val="restart"/>
                  <w:noWrap w:val="0"/>
                  <w:vAlign w:val="center"/>
                </w:tcPr>
                <w:p w14:paraId="33AABC20">
                  <w:pPr>
                    <w:keepNext w:val="0"/>
                    <w:keepLines w:val="0"/>
                    <w:suppressLineNumbers w:val="0"/>
                    <w:adjustRightInd w:val="0"/>
                    <w:snapToGrid w:val="0"/>
                    <w:spacing w:before="0" w:beforeAutospacing="0" w:after="0" w:afterAutospacing="0"/>
                    <w:ind w:left="0" w:right="0"/>
                    <w:jc w:val="center"/>
                    <w:rPr>
                      <w:rFonts w:hint="default" w:ascii="Times New Roman"/>
                      <w:color w:val="auto"/>
                      <w:sz w:val="21"/>
                      <w:szCs w:val="21"/>
                      <w:highlight w:val="none"/>
                    </w:rPr>
                  </w:pPr>
                  <w:r>
                    <w:rPr>
                      <w:rFonts w:hint="default" w:ascii="Times New Roman"/>
                      <w:color w:val="auto"/>
                      <w:sz w:val="21"/>
                      <w:szCs w:val="21"/>
                      <w:highlight w:val="none"/>
                    </w:rPr>
                    <w:t>间断</w:t>
                  </w:r>
                </w:p>
              </w:tc>
              <w:tc>
                <w:tcPr>
                  <w:tcW w:w="294" w:type="pct"/>
                  <w:vMerge w:val="restart"/>
                  <w:noWrap w:val="0"/>
                  <w:vAlign w:val="center"/>
                </w:tcPr>
                <w:p w14:paraId="222B12E7">
                  <w:pPr>
                    <w:keepNext w:val="0"/>
                    <w:keepLines w:val="0"/>
                    <w:suppressLineNumbers w:val="0"/>
                    <w:adjustRightInd w:val="0"/>
                    <w:snapToGrid w:val="0"/>
                    <w:spacing w:before="0" w:beforeAutospacing="0" w:after="0" w:afterAutospacing="0"/>
                    <w:ind w:left="0" w:right="0"/>
                    <w:jc w:val="center"/>
                    <w:rPr>
                      <w:rFonts w:hint="eastAsia"/>
                      <w:color w:val="auto"/>
                      <w:szCs w:val="21"/>
                    </w:rPr>
                  </w:pPr>
                  <w:r>
                    <w:rPr>
                      <w:rFonts w:hint="eastAsia"/>
                      <w:color w:val="auto"/>
                      <w:szCs w:val="21"/>
                    </w:rPr>
                    <w:t>DW001</w:t>
                  </w:r>
                </w:p>
              </w:tc>
              <w:tc>
                <w:tcPr>
                  <w:tcW w:w="416" w:type="pct"/>
                  <w:vMerge w:val="restart"/>
                  <w:noWrap w:val="0"/>
                  <w:vAlign w:val="center"/>
                </w:tcPr>
                <w:p w14:paraId="4F8FFC47">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szCs w:val="21"/>
                    </w:rPr>
                  </w:pPr>
                  <w:r>
                    <w:rPr>
                      <w:rFonts w:hint="eastAsia" w:ascii="宋体" w:hAnsi="宋体" w:cs="宋体"/>
                      <w:color w:val="auto"/>
                      <w:szCs w:val="21"/>
                    </w:rPr>
                    <w:t>☑是</w:t>
                  </w:r>
                </w:p>
                <w:p w14:paraId="1F874426">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szCs w:val="21"/>
                    </w:rPr>
                  </w:pPr>
                  <w:r>
                    <w:rPr>
                      <w:rFonts w:hint="eastAsia" w:ascii="宋体" w:hAnsi="宋体" w:cs="宋体"/>
                      <w:color w:val="auto"/>
                      <w:szCs w:val="21"/>
                    </w:rPr>
                    <w:t>□否</w:t>
                  </w:r>
                </w:p>
              </w:tc>
              <w:tc>
                <w:tcPr>
                  <w:tcW w:w="815" w:type="pct"/>
                  <w:vMerge w:val="restart"/>
                  <w:noWrap w:val="0"/>
                  <w:vAlign w:val="center"/>
                </w:tcPr>
                <w:p w14:paraId="211BB44F">
                  <w:pPr>
                    <w:keepNext w:val="0"/>
                    <w:keepLines w:val="0"/>
                    <w:suppressLineNumbers w:val="0"/>
                    <w:adjustRightInd w:val="0"/>
                    <w:snapToGrid w:val="0"/>
                    <w:spacing w:before="0" w:beforeAutospacing="0" w:after="0" w:afterAutospacing="0"/>
                    <w:ind w:left="0" w:right="0"/>
                    <w:jc w:val="left"/>
                    <w:rPr>
                      <w:rFonts w:hint="eastAsia" w:ascii="宋体" w:hAnsi="宋体" w:cs="宋体"/>
                      <w:color w:val="auto"/>
                      <w:szCs w:val="21"/>
                    </w:rPr>
                  </w:pPr>
                  <w:r>
                    <w:rPr>
                      <w:rFonts w:hint="eastAsia" w:ascii="宋体" w:hAnsi="宋体" w:cs="宋体"/>
                      <w:color w:val="auto"/>
                      <w:szCs w:val="21"/>
                      <w:lang w:eastAsia="zh-CN"/>
                    </w:rPr>
                    <w:t>☑</w:t>
                  </w:r>
                  <w:r>
                    <w:rPr>
                      <w:rFonts w:hint="eastAsia" w:ascii="宋体" w:hAnsi="宋体" w:cs="宋体"/>
                      <w:color w:val="auto"/>
                      <w:szCs w:val="21"/>
                    </w:rPr>
                    <w:t>企业总排</w:t>
                  </w:r>
                </w:p>
                <w:p w14:paraId="5D325937">
                  <w:pPr>
                    <w:keepNext w:val="0"/>
                    <w:keepLines w:val="0"/>
                    <w:suppressLineNumbers w:val="0"/>
                    <w:adjustRightInd w:val="0"/>
                    <w:snapToGrid w:val="0"/>
                    <w:spacing w:before="0" w:beforeAutospacing="0" w:after="0" w:afterAutospacing="0"/>
                    <w:ind w:left="0" w:right="0"/>
                    <w:jc w:val="left"/>
                    <w:rPr>
                      <w:rFonts w:hint="eastAsia" w:ascii="宋体" w:hAnsi="宋体" w:cs="宋体"/>
                      <w:color w:val="auto"/>
                      <w:szCs w:val="21"/>
                    </w:rPr>
                  </w:pPr>
                  <w:r>
                    <w:rPr>
                      <w:rFonts w:hint="eastAsia" w:ascii="宋体" w:hAnsi="宋体" w:cs="宋体"/>
                      <w:color w:val="auto"/>
                      <w:szCs w:val="21"/>
                    </w:rPr>
                    <w:t>□雨水排放</w:t>
                  </w:r>
                </w:p>
                <w:p w14:paraId="6A5A2844">
                  <w:pPr>
                    <w:keepNext w:val="0"/>
                    <w:keepLines w:val="0"/>
                    <w:suppressLineNumbers w:val="0"/>
                    <w:adjustRightInd w:val="0"/>
                    <w:snapToGrid w:val="0"/>
                    <w:spacing w:before="0" w:beforeAutospacing="0" w:after="0" w:afterAutospacing="0"/>
                    <w:ind w:left="0" w:right="0"/>
                    <w:jc w:val="left"/>
                    <w:rPr>
                      <w:rFonts w:hint="eastAsia" w:ascii="宋体" w:hAnsi="宋体" w:cs="宋体"/>
                      <w:color w:val="auto"/>
                      <w:szCs w:val="21"/>
                    </w:rPr>
                  </w:pPr>
                  <w:r>
                    <w:rPr>
                      <w:rFonts w:hint="eastAsia" w:ascii="宋体" w:hAnsi="宋体" w:cs="宋体"/>
                      <w:color w:val="auto"/>
                      <w:szCs w:val="21"/>
                    </w:rPr>
                    <w:t>□清下水排放</w:t>
                  </w:r>
                </w:p>
                <w:p w14:paraId="4FBF986F">
                  <w:pPr>
                    <w:keepNext w:val="0"/>
                    <w:keepLines w:val="0"/>
                    <w:suppressLineNumbers w:val="0"/>
                    <w:adjustRightInd w:val="0"/>
                    <w:snapToGrid w:val="0"/>
                    <w:spacing w:before="0" w:beforeAutospacing="0" w:after="0" w:afterAutospacing="0"/>
                    <w:ind w:left="0" w:right="0"/>
                    <w:jc w:val="left"/>
                    <w:rPr>
                      <w:rFonts w:hint="eastAsia" w:ascii="宋体" w:hAnsi="宋体" w:cs="宋体"/>
                      <w:color w:val="auto"/>
                      <w:szCs w:val="21"/>
                    </w:rPr>
                  </w:pPr>
                  <w:r>
                    <w:rPr>
                      <w:rFonts w:hint="eastAsia" w:ascii="宋体" w:hAnsi="宋体" w:cs="宋体"/>
                      <w:color w:val="auto"/>
                      <w:szCs w:val="21"/>
                    </w:rPr>
                    <w:t>□温排水排放</w:t>
                  </w:r>
                </w:p>
                <w:p w14:paraId="6AEA7ED2">
                  <w:pPr>
                    <w:keepNext w:val="0"/>
                    <w:keepLines w:val="0"/>
                    <w:suppressLineNumbers w:val="0"/>
                    <w:adjustRightInd w:val="0"/>
                    <w:snapToGrid w:val="0"/>
                    <w:spacing w:before="0" w:beforeAutospacing="0" w:after="0" w:afterAutospacing="0"/>
                    <w:ind w:left="0" w:right="0"/>
                    <w:jc w:val="left"/>
                    <w:rPr>
                      <w:rFonts w:hint="eastAsia" w:ascii="宋体" w:hAnsi="宋体" w:cs="宋体"/>
                      <w:color w:val="auto"/>
                      <w:szCs w:val="21"/>
                    </w:rPr>
                  </w:pPr>
                  <w:r>
                    <w:rPr>
                      <w:rFonts w:hint="eastAsia" w:ascii="宋体" w:hAnsi="宋体" w:cs="宋体"/>
                      <w:color w:val="auto"/>
                      <w:szCs w:val="21"/>
                      <w:lang w:eastAsia="zh-CN"/>
                    </w:rPr>
                    <w:t>□</w:t>
                  </w:r>
                  <w:r>
                    <w:rPr>
                      <w:rFonts w:hint="eastAsia" w:ascii="宋体" w:hAnsi="宋体" w:cs="宋体"/>
                      <w:color w:val="auto"/>
                      <w:szCs w:val="21"/>
                    </w:rPr>
                    <w:t>车间或车间处理设施排放口</w:t>
                  </w:r>
                </w:p>
              </w:tc>
            </w:tr>
            <w:tr w14:paraId="3D76A3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11" w:hRule="atLeast"/>
                <w:jc w:val="center"/>
              </w:trPr>
              <w:tc>
                <w:tcPr>
                  <w:tcW w:w="143" w:type="pct"/>
                  <w:noWrap w:val="0"/>
                  <w:vAlign w:val="center"/>
                </w:tcPr>
                <w:p w14:paraId="4BC57B37">
                  <w:pPr>
                    <w:keepNext w:val="0"/>
                    <w:keepLines w:val="0"/>
                    <w:suppressLineNumbers w:val="0"/>
                    <w:adjustRightInd w:val="0"/>
                    <w:snapToGrid w:val="0"/>
                    <w:spacing w:before="0" w:beforeAutospacing="0" w:after="0" w:afterAutospacing="0"/>
                    <w:ind w:left="0" w:right="0"/>
                    <w:jc w:val="center"/>
                    <w:rPr>
                      <w:rFonts w:hint="eastAsia" w:eastAsia="宋体"/>
                      <w:color w:val="auto"/>
                      <w:szCs w:val="21"/>
                      <w:lang w:val="en-US" w:eastAsia="zh-CN"/>
                    </w:rPr>
                  </w:pPr>
                  <w:r>
                    <w:rPr>
                      <w:rFonts w:hint="eastAsia"/>
                      <w:color w:val="auto"/>
                      <w:szCs w:val="21"/>
                      <w:lang w:val="en-US" w:eastAsia="zh-CN"/>
                    </w:rPr>
                    <w:t>2</w:t>
                  </w:r>
                </w:p>
              </w:tc>
              <w:tc>
                <w:tcPr>
                  <w:tcW w:w="267" w:type="pct"/>
                  <w:noWrap w:val="0"/>
                  <w:vAlign w:val="center"/>
                </w:tcPr>
                <w:p w14:paraId="6AC86B76">
                  <w:pPr>
                    <w:keepNext w:val="0"/>
                    <w:keepLines w:val="0"/>
                    <w:suppressLineNumbers w:val="0"/>
                    <w:adjustRightInd w:val="0"/>
                    <w:snapToGrid w:val="0"/>
                    <w:spacing w:before="0" w:beforeAutospacing="0" w:after="0" w:afterAutospacing="0"/>
                    <w:ind w:left="0" w:right="0"/>
                    <w:jc w:val="center"/>
                    <w:rPr>
                      <w:rFonts w:hint="eastAsia" w:eastAsia="宋体"/>
                      <w:color w:val="auto"/>
                      <w:szCs w:val="21"/>
                      <w:lang w:val="en-US" w:eastAsia="zh-CN"/>
                    </w:rPr>
                  </w:pPr>
                  <w:r>
                    <w:rPr>
                      <w:rFonts w:hint="eastAsia"/>
                      <w:color w:val="auto"/>
                      <w:szCs w:val="21"/>
                      <w:lang w:val="en-US" w:eastAsia="zh-CN"/>
                    </w:rPr>
                    <w:t>淋浴废水</w:t>
                  </w:r>
                </w:p>
              </w:tc>
              <w:tc>
                <w:tcPr>
                  <w:tcW w:w="465" w:type="pct"/>
                  <w:noWrap w:val="0"/>
                  <w:vAlign w:val="center"/>
                </w:tcPr>
                <w:p w14:paraId="35437A9F">
                  <w:pPr>
                    <w:pStyle w:val="10"/>
                    <w:keepNext w:val="0"/>
                    <w:keepLines w:val="0"/>
                    <w:suppressLineNumbers w:val="0"/>
                    <w:spacing w:before="0" w:beforeAutospacing="0" w:after="0" w:afterAutospacing="0"/>
                    <w:ind w:left="0" w:right="0"/>
                    <w:rPr>
                      <w:rFonts w:hint="default"/>
                      <w:color w:val="auto"/>
                    </w:rPr>
                  </w:pPr>
                  <w:r>
                    <w:rPr>
                      <w:rFonts w:hint="eastAsia"/>
                      <w:color w:val="auto"/>
                      <w:sz w:val="21"/>
                      <w:szCs w:val="21"/>
                    </w:rPr>
                    <w:t>pH值</w:t>
                  </w:r>
                  <w:r>
                    <w:rPr>
                      <w:rFonts w:hint="eastAsia"/>
                      <w:color w:val="auto"/>
                    </w:rPr>
                    <w:t>、</w:t>
                  </w:r>
                </w:p>
                <w:p w14:paraId="76DF75A9">
                  <w:pPr>
                    <w:keepNext w:val="0"/>
                    <w:keepLines w:val="0"/>
                    <w:suppressLineNumbers w:val="0"/>
                    <w:adjustRightInd w:val="0"/>
                    <w:snapToGrid w:val="0"/>
                    <w:spacing w:before="0" w:beforeAutospacing="0" w:after="0" w:afterAutospacing="0"/>
                    <w:ind w:left="0" w:right="0"/>
                    <w:jc w:val="center"/>
                    <w:rPr>
                      <w:rFonts w:hint="default" w:eastAsia="宋体"/>
                      <w:color w:val="auto"/>
                      <w:szCs w:val="21"/>
                      <w:lang w:val="en-US" w:eastAsia="zh-CN"/>
                    </w:rPr>
                  </w:pPr>
                  <w:r>
                    <w:rPr>
                      <w:rFonts w:hint="default"/>
                      <w:color w:val="auto"/>
                      <w:szCs w:val="21"/>
                    </w:rPr>
                    <w:t>COD、SS、NH</w:t>
                  </w:r>
                  <w:r>
                    <w:rPr>
                      <w:rFonts w:hint="default"/>
                      <w:color w:val="auto"/>
                      <w:szCs w:val="21"/>
                      <w:vertAlign w:val="subscript"/>
                    </w:rPr>
                    <w:t>3</w:t>
                  </w:r>
                  <w:r>
                    <w:rPr>
                      <w:rFonts w:hint="default"/>
                      <w:color w:val="auto"/>
                      <w:szCs w:val="21"/>
                    </w:rPr>
                    <w:t>-N、TN、TP</w:t>
                  </w:r>
                  <w:r>
                    <w:rPr>
                      <w:rFonts w:hint="eastAsia"/>
                      <w:color w:val="auto"/>
                      <w:szCs w:val="21"/>
                      <w:lang w:eastAsia="zh-CN"/>
                    </w:rPr>
                    <w:t>、</w:t>
                  </w:r>
                  <w:r>
                    <w:rPr>
                      <w:rFonts w:hint="eastAsia"/>
                      <w:color w:val="auto"/>
                      <w:szCs w:val="21"/>
                      <w:lang w:val="en-US" w:eastAsia="zh-CN"/>
                    </w:rPr>
                    <w:t>LAS</w:t>
                  </w:r>
                </w:p>
              </w:tc>
              <w:tc>
                <w:tcPr>
                  <w:tcW w:w="433" w:type="pct"/>
                  <w:vMerge w:val="continue"/>
                  <w:noWrap w:val="0"/>
                  <w:vAlign w:val="center"/>
                </w:tcPr>
                <w:p w14:paraId="0629578B">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433" w:type="pct"/>
                  <w:vMerge w:val="continue"/>
                  <w:noWrap w:val="0"/>
                  <w:vAlign w:val="center"/>
                </w:tcPr>
                <w:p w14:paraId="5ECF4EEA">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285" w:type="pct"/>
                  <w:noWrap w:val="0"/>
                  <w:vAlign w:val="center"/>
                </w:tcPr>
                <w:p w14:paraId="7542CB77">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w:t>
                  </w:r>
                </w:p>
              </w:tc>
              <w:tc>
                <w:tcPr>
                  <w:tcW w:w="408" w:type="pct"/>
                  <w:noWrap w:val="0"/>
                  <w:vAlign w:val="center"/>
                </w:tcPr>
                <w:p w14:paraId="41AD5D4D">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w:t>
                  </w:r>
                </w:p>
              </w:tc>
              <w:tc>
                <w:tcPr>
                  <w:tcW w:w="402" w:type="pct"/>
                  <w:vMerge w:val="continue"/>
                  <w:noWrap w:val="0"/>
                  <w:vAlign w:val="center"/>
                </w:tcPr>
                <w:p w14:paraId="6E044B24">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szCs w:val="21"/>
                    </w:rPr>
                  </w:pPr>
                </w:p>
              </w:tc>
              <w:tc>
                <w:tcPr>
                  <w:tcW w:w="316" w:type="pct"/>
                  <w:vMerge w:val="continue"/>
                  <w:noWrap w:val="0"/>
                  <w:vAlign w:val="center"/>
                </w:tcPr>
                <w:p w14:paraId="11F8D9CD">
                  <w:pPr>
                    <w:keepNext w:val="0"/>
                    <w:keepLines w:val="0"/>
                    <w:suppressLineNumbers w:val="0"/>
                    <w:adjustRightInd w:val="0"/>
                    <w:snapToGrid w:val="0"/>
                    <w:spacing w:before="0" w:beforeAutospacing="0" w:after="0" w:afterAutospacing="0"/>
                    <w:ind w:left="0" w:right="0"/>
                    <w:jc w:val="center"/>
                    <w:rPr>
                      <w:rFonts w:hint="eastAsia" w:cs="Times New Roman"/>
                      <w:color w:val="auto"/>
                      <w:sz w:val="21"/>
                      <w:szCs w:val="21"/>
                      <w:lang w:eastAsia="zh-CN"/>
                    </w:rPr>
                  </w:pPr>
                </w:p>
              </w:tc>
              <w:tc>
                <w:tcPr>
                  <w:tcW w:w="319" w:type="pct"/>
                  <w:vMerge w:val="continue"/>
                  <w:noWrap w:val="0"/>
                  <w:vAlign w:val="center"/>
                </w:tcPr>
                <w:p w14:paraId="24F2103E">
                  <w:pPr>
                    <w:keepNext w:val="0"/>
                    <w:keepLines w:val="0"/>
                    <w:suppressLineNumbers w:val="0"/>
                    <w:adjustRightInd w:val="0"/>
                    <w:snapToGrid w:val="0"/>
                    <w:spacing w:before="0" w:beforeAutospacing="0" w:after="0" w:afterAutospacing="0"/>
                    <w:ind w:left="0" w:right="0"/>
                    <w:jc w:val="center"/>
                    <w:rPr>
                      <w:rFonts w:hint="default" w:ascii="Times New Roman"/>
                      <w:color w:val="auto"/>
                      <w:sz w:val="21"/>
                      <w:szCs w:val="21"/>
                      <w:highlight w:val="none"/>
                    </w:rPr>
                  </w:pPr>
                </w:p>
              </w:tc>
              <w:tc>
                <w:tcPr>
                  <w:tcW w:w="294" w:type="pct"/>
                  <w:vMerge w:val="continue"/>
                  <w:noWrap w:val="0"/>
                  <w:vAlign w:val="center"/>
                </w:tcPr>
                <w:p w14:paraId="098238AF">
                  <w:pPr>
                    <w:keepNext w:val="0"/>
                    <w:keepLines w:val="0"/>
                    <w:suppressLineNumbers w:val="0"/>
                    <w:adjustRightInd w:val="0"/>
                    <w:snapToGrid w:val="0"/>
                    <w:spacing w:before="0" w:beforeAutospacing="0" w:after="0" w:afterAutospacing="0"/>
                    <w:ind w:left="0" w:right="0"/>
                    <w:jc w:val="center"/>
                    <w:rPr>
                      <w:rFonts w:hint="eastAsia"/>
                      <w:color w:val="auto"/>
                      <w:szCs w:val="21"/>
                    </w:rPr>
                  </w:pPr>
                </w:p>
              </w:tc>
              <w:tc>
                <w:tcPr>
                  <w:tcW w:w="416" w:type="pct"/>
                  <w:vMerge w:val="continue"/>
                  <w:noWrap w:val="0"/>
                  <w:vAlign w:val="center"/>
                </w:tcPr>
                <w:p w14:paraId="6A329703">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szCs w:val="21"/>
                    </w:rPr>
                  </w:pPr>
                </w:p>
              </w:tc>
              <w:tc>
                <w:tcPr>
                  <w:tcW w:w="815" w:type="pct"/>
                  <w:vMerge w:val="continue"/>
                  <w:noWrap w:val="0"/>
                  <w:vAlign w:val="center"/>
                </w:tcPr>
                <w:p w14:paraId="6283F712">
                  <w:pPr>
                    <w:keepNext w:val="0"/>
                    <w:keepLines w:val="0"/>
                    <w:suppressLineNumbers w:val="0"/>
                    <w:adjustRightInd w:val="0"/>
                    <w:snapToGrid w:val="0"/>
                    <w:spacing w:before="0" w:beforeAutospacing="0" w:after="0" w:afterAutospacing="0"/>
                    <w:ind w:left="0" w:right="0"/>
                    <w:jc w:val="left"/>
                    <w:rPr>
                      <w:rFonts w:hint="eastAsia" w:ascii="宋体" w:hAnsi="宋体" w:cs="宋体"/>
                      <w:color w:val="auto"/>
                      <w:szCs w:val="21"/>
                    </w:rPr>
                  </w:pPr>
                </w:p>
              </w:tc>
            </w:tr>
            <w:tr w14:paraId="56DF8B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11" w:hRule="atLeast"/>
                <w:jc w:val="center"/>
              </w:trPr>
              <w:tc>
                <w:tcPr>
                  <w:tcW w:w="143" w:type="pct"/>
                  <w:noWrap w:val="0"/>
                  <w:vAlign w:val="center"/>
                </w:tcPr>
                <w:p w14:paraId="16DA05C0">
                  <w:pPr>
                    <w:keepNext w:val="0"/>
                    <w:keepLines w:val="0"/>
                    <w:suppressLineNumbers w:val="0"/>
                    <w:adjustRightInd w:val="0"/>
                    <w:snapToGrid w:val="0"/>
                    <w:spacing w:before="0" w:beforeAutospacing="0" w:after="0" w:afterAutospacing="0"/>
                    <w:ind w:left="0" w:right="0"/>
                    <w:jc w:val="center"/>
                    <w:rPr>
                      <w:rFonts w:hint="eastAsia" w:eastAsia="宋体"/>
                      <w:color w:val="auto"/>
                      <w:szCs w:val="21"/>
                      <w:lang w:val="en-US" w:eastAsia="zh-CN"/>
                    </w:rPr>
                  </w:pPr>
                  <w:r>
                    <w:rPr>
                      <w:rFonts w:hint="eastAsia"/>
                      <w:color w:val="auto"/>
                      <w:szCs w:val="21"/>
                      <w:lang w:val="en-US" w:eastAsia="zh-CN"/>
                    </w:rPr>
                    <w:t>3</w:t>
                  </w:r>
                </w:p>
              </w:tc>
              <w:tc>
                <w:tcPr>
                  <w:tcW w:w="267" w:type="pct"/>
                  <w:noWrap w:val="0"/>
                  <w:vAlign w:val="center"/>
                </w:tcPr>
                <w:p w14:paraId="4272789C">
                  <w:pPr>
                    <w:keepNext w:val="0"/>
                    <w:keepLines w:val="0"/>
                    <w:suppressLineNumbers w:val="0"/>
                    <w:adjustRightInd w:val="0"/>
                    <w:snapToGrid w:val="0"/>
                    <w:spacing w:before="0" w:beforeAutospacing="0" w:after="0" w:afterAutospacing="0"/>
                    <w:ind w:left="0" w:right="0"/>
                    <w:jc w:val="center"/>
                    <w:rPr>
                      <w:rFonts w:hint="eastAsia" w:eastAsia="宋体"/>
                      <w:color w:val="auto"/>
                      <w:szCs w:val="21"/>
                      <w:lang w:val="en-US" w:eastAsia="zh-CN"/>
                    </w:rPr>
                  </w:pPr>
                  <w:r>
                    <w:rPr>
                      <w:rFonts w:hint="eastAsia"/>
                      <w:color w:val="auto"/>
                      <w:szCs w:val="21"/>
                      <w:lang w:val="en-US" w:eastAsia="zh-CN"/>
                    </w:rPr>
                    <w:t>纯水制备浓水</w:t>
                  </w:r>
                </w:p>
              </w:tc>
              <w:tc>
                <w:tcPr>
                  <w:tcW w:w="465" w:type="pct"/>
                  <w:noWrap w:val="0"/>
                  <w:vAlign w:val="center"/>
                </w:tcPr>
                <w:p w14:paraId="059C8046">
                  <w:pPr>
                    <w:keepNext w:val="0"/>
                    <w:keepLines w:val="0"/>
                    <w:suppressLineNumbers w:val="0"/>
                    <w:adjustRightInd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COD、SS</w:t>
                  </w:r>
                </w:p>
              </w:tc>
              <w:tc>
                <w:tcPr>
                  <w:tcW w:w="433" w:type="pct"/>
                  <w:noWrap w:val="0"/>
                  <w:vAlign w:val="center"/>
                </w:tcPr>
                <w:p w14:paraId="5E072D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olor w:val="auto"/>
                      <w:szCs w:val="21"/>
                    </w:rPr>
                  </w:pPr>
                  <w:r>
                    <w:rPr>
                      <w:rFonts w:hint="default"/>
                      <w:color w:val="auto"/>
                      <w:szCs w:val="21"/>
                      <w:highlight w:val="none"/>
                    </w:rPr>
                    <w:t>/</w:t>
                  </w:r>
                </w:p>
              </w:tc>
              <w:tc>
                <w:tcPr>
                  <w:tcW w:w="433" w:type="pct"/>
                  <w:noWrap w:val="0"/>
                  <w:vAlign w:val="center"/>
                </w:tcPr>
                <w:p w14:paraId="449735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olor w:val="auto"/>
                      <w:szCs w:val="21"/>
                    </w:rPr>
                  </w:pPr>
                  <w:r>
                    <w:rPr>
                      <w:rFonts w:hint="default"/>
                      <w:color w:val="auto"/>
                      <w:szCs w:val="21"/>
                      <w:highlight w:val="none"/>
                    </w:rPr>
                    <w:t>/</w:t>
                  </w:r>
                </w:p>
              </w:tc>
              <w:tc>
                <w:tcPr>
                  <w:tcW w:w="285" w:type="pct"/>
                  <w:noWrap w:val="0"/>
                  <w:vAlign w:val="center"/>
                </w:tcPr>
                <w:p w14:paraId="5FAEAD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olor w:val="auto"/>
                      <w:szCs w:val="21"/>
                    </w:rPr>
                  </w:pPr>
                  <w:r>
                    <w:rPr>
                      <w:rFonts w:hint="default"/>
                      <w:color w:val="auto"/>
                      <w:szCs w:val="21"/>
                      <w:highlight w:val="none"/>
                    </w:rPr>
                    <w:t>/</w:t>
                  </w:r>
                </w:p>
              </w:tc>
              <w:tc>
                <w:tcPr>
                  <w:tcW w:w="408" w:type="pct"/>
                  <w:noWrap w:val="0"/>
                  <w:vAlign w:val="center"/>
                </w:tcPr>
                <w:p w14:paraId="763A6C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olor w:val="auto"/>
                      <w:szCs w:val="21"/>
                    </w:rPr>
                  </w:pPr>
                  <w:r>
                    <w:rPr>
                      <w:rFonts w:hint="default"/>
                      <w:color w:val="auto"/>
                      <w:szCs w:val="21"/>
                      <w:highlight w:val="none"/>
                    </w:rPr>
                    <w:t>/</w:t>
                  </w:r>
                </w:p>
              </w:tc>
              <w:tc>
                <w:tcPr>
                  <w:tcW w:w="402" w:type="pct"/>
                  <w:vMerge w:val="continue"/>
                  <w:noWrap w:val="0"/>
                  <w:vAlign w:val="center"/>
                </w:tcPr>
                <w:p w14:paraId="4D4E8465">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szCs w:val="21"/>
                    </w:rPr>
                  </w:pPr>
                </w:p>
              </w:tc>
              <w:tc>
                <w:tcPr>
                  <w:tcW w:w="316" w:type="pct"/>
                  <w:vMerge w:val="continue"/>
                  <w:noWrap w:val="0"/>
                  <w:vAlign w:val="center"/>
                </w:tcPr>
                <w:p w14:paraId="1966D6A8">
                  <w:pPr>
                    <w:keepNext w:val="0"/>
                    <w:keepLines w:val="0"/>
                    <w:suppressLineNumbers w:val="0"/>
                    <w:adjustRightInd w:val="0"/>
                    <w:snapToGrid w:val="0"/>
                    <w:spacing w:before="0" w:beforeAutospacing="0" w:after="0" w:afterAutospacing="0"/>
                    <w:ind w:left="0" w:right="0"/>
                    <w:jc w:val="center"/>
                    <w:rPr>
                      <w:rFonts w:hint="eastAsia" w:cs="Times New Roman"/>
                      <w:color w:val="auto"/>
                      <w:sz w:val="21"/>
                      <w:szCs w:val="21"/>
                      <w:lang w:eastAsia="zh-CN"/>
                    </w:rPr>
                  </w:pPr>
                </w:p>
              </w:tc>
              <w:tc>
                <w:tcPr>
                  <w:tcW w:w="319" w:type="pct"/>
                  <w:vMerge w:val="continue"/>
                  <w:noWrap w:val="0"/>
                  <w:vAlign w:val="center"/>
                </w:tcPr>
                <w:p w14:paraId="1ECB89A7">
                  <w:pPr>
                    <w:keepNext w:val="0"/>
                    <w:keepLines w:val="0"/>
                    <w:suppressLineNumbers w:val="0"/>
                    <w:adjustRightInd w:val="0"/>
                    <w:snapToGrid w:val="0"/>
                    <w:spacing w:before="0" w:beforeAutospacing="0" w:after="0" w:afterAutospacing="0"/>
                    <w:ind w:left="0" w:right="0"/>
                    <w:jc w:val="center"/>
                    <w:rPr>
                      <w:rFonts w:hint="default" w:ascii="Times New Roman"/>
                      <w:color w:val="auto"/>
                      <w:sz w:val="21"/>
                      <w:szCs w:val="21"/>
                      <w:highlight w:val="none"/>
                    </w:rPr>
                  </w:pPr>
                </w:p>
              </w:tc>
              <w:tc>
                <w:tcPr>
                  <w:tcW w:w="294" w:type="pct"/>
                  <w:vMerge w:val="continue"/>
                  <w:noWrap w:val="0"/>
                  <w:vAlign w:val="center"/>
                </w:tcPr>
                <w:p w14:paraId="2C24C924">
                  <w:pPr>
                    <w:keepNext w:val="0"/>
                    <w:keepLines w:val="0"/>
                    <w:suppressLineNumbers w:val="0"/>
                    <w:adjustRightInd w:val="0"/>
                    <w:snapToGrid w:val="0"/>
                    <w:spacing w:before="0" w:beforeAutospacing="0" w:after="0" w:afterAutospacing="0"/>
                    <w:ind w:left="0" w:right="0"/>
                    <w:jc w:val="center"/>
                    <w:rPr>
                      <w:rFonts w:hint="eastAsia"/>
                      <w:color w:val="auto"/>
                      <w:szCs w:val="21"/>
                    </w:rPr>
                  </w:pPr>
                </w:p>
              </w:tc>
              <w:tc>
                <w:tcPr>
                  <w:tcW w:w="416" w:type="pct"/>
                  <w:vMerge w:val="continue"/>
                  <w:noWrap w:val="0"/>
                  <w:vAlign w:val="center"/>
                </w:tcPr>
                <w:p w14:paraId="6800FE58">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szCs w:val="21"/>
                    </w:rPr>
                  </w:pPr>
                </w:p>
              </w:tc>
              <w:tc>
                <w:tcPr>
                  <w:tcW w:w="815" w:type="pct"/>
                  <w:vMerge w:val="continue"/>
                  <w:noWrap w:val="0"/>
                  <w:vAlign w:val="center"/>
                </w:tcPr>
                <w:p w14:paraId="1984EAE6">
                  <w:pPr>
                    <w:keepNext w:val="0"/>
                    <w:keepLines w:val="0"/>
                    <w:suppressLineNumbers w:val="0"/>
                    <w:adjustRightInd w:val="0"/>
                    <w:snapToGrid w:val="0"/>
                    <w:spacing w:before="0" w:beforeAutospacing="0" w:after="0" w:afterAutospacing="0"/>
                    <w:ind w:left="0" w:right="0"/>
                    <w:jc w:val="left"/>
                    <w:rPr>
                      <w:rFonts w:hint="eastAsia" w:ascii="宋体" w:hAnsi="宋体" w:cs="宋体"/>
                      <w:color w:val="auto"/>
                      <w:szCs w:val="21"/>
                    </w:rPr>
                  </w:pPr>
                </w:p>
              </w:tc>
            </w:tr>
            <w:tr w14:paraId="00DAD1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11" w:hRule="atLeast"/>
                <w:jc w:val="center"/>
              </w:trPr>
              <w:tc>
                <w:tcPr>
                  <w:tcW w:w="143" w:type="pct"/>
                  <w:noWrap w:val="0"/>
                  <w:vAlign w:val="center"/>
                </w:tcPr>
                <w:p w14:paraId="0BC0FED6">
                  <w:pPr>
                    <w:keepNext w:val="0"/>
                    <w:keepLines w:val="0"/>
                    <w:suppressLineNumbers w:val="0"/>
                    <w:adjustRightInd w:val="0"/>
                    <w:snapToGrid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4</w:t>
                  </w:r>
                </w:p>
              </w:tc>
              <w:tc>
                <w:tcPr>
                  <w:tcW w:w="267" w:type="pct"/>
                  <w:noWrap w:val="0"/>
                  <w:vAlign w:val="center"/>
                </w:tcPr>
                <w:p w14:paraId="0CF8ADB3">
                  <w:pPr>
                    <w:keepNext w:val="0"/>
                    <w:keepLines w:val="0"/>
                    <w:suppressLineNumbers w:val="0"/>
                    <w:adjustRightInd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水浴锅排水</w:t>
                  </w:r>
                </w:p>
              </w:tc>
              <w:tc>
                <w:tcPr>
                  <w:tcW w:w="465" w:type="pct"/>
                  <w:noWrap w:val="0"/>
                  <w:vAlign w:val="center"/>
                </w:tcPr>
                <w:p w14:paraId="5128399C">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lang w:val="en-US" w:eastAsia="zh-CN"/>
                    </w:rPr>
                    <w:t>COD、SS</w:t>
                  </w:r>
                </w:p>
              </w:tc>
              <w:tc>
                <w:tcPr>
                  <w:tcW w:w="433" w:type="pct"/>
                  <w:noWrap w:val="0"/>
                  <w:vAlign w:val="center"/>
                </w:tcPr>
                <w:p w14:paraId="6BD4D6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olor w:val="auto"/>
                      <w:szCs w:val="21"/>
                    </w:rPr>
                  </w:pPr>
                  <w:r>
                    <w:rPr>
                      <w:rFonts w:hint="default"/>
                      <w:color w:val="auto"/>
                      <w:szCs w:val="21"/>
                      <w:highlight w:val="none"/>
                    </w:rPr>
                    <w:t>/</w:t>
                  </w:r>
                </w:p>
              </w:tc>
              <w:tc>
                <w:tcPr>
                  <w:tcW w:w="433" w:type="pct"/>
                  <w:noWrap w:val="0"/>
                  <w:vAlign w:val="center"/>
                </w:tcPr>
                <w:p w14:paraId="75451C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olor w:val="auto"/>
                      <w:szCs w:val="21"/>
                    </w:rPr>
                  </w:pPr>
                  <w:r>
                    <w:rPr>
                      <w:rFonts w:hint="default"/>
                      <w:color w:val="auto"/>
                      <w:szCs w:val="21"/>
                      <w:highlight w:val="none"/>
                    </w:rPr>
                    <w:t>/</w:t>
                  </w:r>
                </w:p>
              </w:tc>
              <w:tc>
                <w:tcPr>
                  <w:tcW w:w="285" w:type="pct"/>
                  <w:noWrap w:val="0"/>
                  <w:vAlign w:val="center"/>
                </w:tcPr>
                <w:p w14:paraId="5D833C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olor w:val="auto"/>
                      <w:szCs w:val="21"/>
                    </w:rPr>
                  </w:pPr>
                  <w:r>
                    <w:rPr>
                      <w:rFonts w:hint="default"/>
                      <w:color w:val="auto"/>
                      <w:szCs w:val="21"/>
                      <w:highlight w:val="none"/>
                    </w:rPr>
                    <w:t>/</w:t>
                  </w:r>
                </w:p>
              </w:tc>
              <w:tc>
                <w:tcPr>
                  <w:tcW w:w="408" w:type="pct"/>
                  <w:noWrap w:val="0"/>
                  <w:vAlign w:val="center"/>
                </w:tcPr>
                <w:p w14:paraId="025BEF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olor w:val="auto"/>
                      <w:szCs w:val="21"/>
                    </w:rPr>
                  </w:pPr>
                  <w:r>
                    <w:rPr>
                      <w:rFonts w:hint="default"/>
                      <w:color w:val="auto"/>
                      <w:szCs w:val="21"/>
                      <w:highlight w:val="none"/>
                    </w:rPr>
                    <w:t>/</w:t>
                  </w:r>
                </w:p>
              </w:tc>
              <w:tc>
                <w:tcPr>
                  <w:tcW w:w="402" w:type="pct"/>
                  <w:vMerge w:val="continue"/>
                  <w:noWrap w:val="0"/>
                  <w:vAlign w:val="center"/>
                </w:tcPr>
                <w:p w14:paraId="29FA9C42">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szCs w:val="21"/>
                    </w:rPr>
                  </w:pPr>
                </w:p>
              </w:tc>
              <w:tc>
                <w:tcPr>
                  <w:tcW w:w="316" w:type="pct"/>
                  <w:vMerge w:val="continue"/>
                  <w:noWrap w:val="0"/>
                  <w:vAlign w:val="center"/>
                </w:tcPr>
                <w:p w14:paraId="33EA1952">
                  <w:pPr>
                    <w:keepNext w:val="0"/>
                    <w:keepLines w:val="0"/>
                    <w:suppressLineNumbers w:val="0"/>
                    <w:adjustRightInd w:val="0"/>
                    <w:snapToGrid w:val="0"/>
                    <w:spacing w:before="0" w:beforeAutospacing="0" w:after="0" w:afterAutospacing="0"/>
                    <w:ind w:left="0" w:right="0"/>
                    <w:jc w:val="center"/>
                    <w:rPr>
                      <w:rFonts w:hint="eastAsia" w:cs="Times New Roman"/>
                      <w:color w:val="auto"/>
                      <w:sz w:val="21"/>
                      <w:szCs w:val="21"/>
                      <w:lang w:eastAsia="zh-CN"/>
                    </w:rPr>
                  </w:pPr>
                </w:p>
              </w:tc>
              <w:tc>
                <w:tcPr>
                  <w:tcW w:w="319" w:type="pct"/>
                  <w:vMerge w:val="continue"/>
                  <w:noWrap w:val="0"/>
                  <w:vAlign w:val="center"/>
                </w:tcPr>
                <w:p w14:paraId="1527AB55">
                  <w:pPr>
                    <w:keepNext w:val="0"/>
                    <w:keepLines w:val="0"/>
                    <w:suppressLineNumbers w:val="0"/>
                    <w:adjustRightInd w:val="0"/>
                    <w:snapToGrid w:val="0"/>
                    <w:spacing w:before="0" w:beforeAutospacing="0" w:after="0" w:afterAutospacing="0"/>
                    <w:ind w:left="0" w:right="0"/>
                    <w:jc w:val="center"/>
                    <w:rPr>
                      <w:rFonts w:hint="default" w:ascii="Times New Roman"/>
                      <w:color w:val="auto"/>
                      <w:sz w:val="21"/>
                      <w:szCs w:val="21"/>
                      <w:highlight w:val="none"/>
                    </w:rPr>
                  </w:pPr>
                </w:p>
              </w:tc>
              <w:tc>
                <w:tcPr>
                  <w:tcW w:w="294" w:type="pct"/>
                  <w:vMerge w:val="continue"/>
                  <w:noWrap w:val="0"/>
                  <w:vAlign w:val="center"/>
                </w:tcPr>
                <w:p w14:paraId="04FDDE4F">
                  <w:pPr>
                    <w:keepNext w:val="0"/>
                    <w:keepLines w:val="0"/>
                    <w:suppressLineNumbers w:val="0"/>
                    <w:adjustRightInd w:val="0"/>
                    <w:snapToGrid w:val="0"/>
                    <w:spacing w:before="0" w:beforeAutospacing="0" w:after="0" w:afterAutospacing="0"/>
                    <w:ind w:left="0" w:right="0"/>
                    <w:jc w:val="center"/>
                    <w:rPr>
                      <w:rFonts w:hint="eastAsia"/>
                      <w:color w:val="auto"/>
                      <w:szCs w:val="21"/>
                    </w:rPr>
                  </w:pPr>
                </w:p>
              </w:tc>
              <w:tc>
                <w:tcPr>
                  <w:tcW w:w="416" w:type="pct"/>
                  <w:vMerge w:val="continue"/>
                  <w:noWrap w:val="0"/>
                  <w:vAlign w:val="center"/>
                </w:tcPr>
                <w:p w14:paraId="06D5C3C7">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szCs w:val="21"/>
                    </w:rPr>
                  </w:pPr>
                </w:p>
              </w:tc>
              <w:tc>
                <w:tcPr>
                  <w:tcW w:w="815" w:type="pct"/>
                  <w:vMerge w:val="continue"/>
                  <w:noWrap w:val="0"/>
                  <w:vAlign w:val="center"/>
                </w:tcPr>
                <w:p w14:paraId="642A59D5">
                  <w:pPr>
                    <w:keepNext w:val="0"/>
                    <w:keepLines w:val="0"/>
                    <w:suppressLineNumbers w:val="0"/>
                    <w:adjustRightInd w:val="0"/>
                    <w:snapToGrid w:val="0"/>
                    <w:spacing w:before="0" w:beforeAutospacing="0" w:after="0" w:afterAutospacing="0"/>
                    <w:ind w:left="0" w:right="0"/>
                    <w:jc w:val="left"/>
                    <w:rPr>
                      <w:rFonts w:hint="eastAsia" w:ascii="宋体" w:hAnsi="宋体" w:cs="宋体"/>
                      <w:color w:val="auto"/>
                      <w:szCs w:val="21"/>
                    </w:rPr>
                  </w:pPr>
                </w:p>
              </w:tc>
            </w:tr>
          </w:tbl>
          <w:p w14:paraId="16AE21D1">
            <w:pPr>
              <w:keepNext w:val="0"/>
              <w:keepLines w:val="0"/>
              <w:suppressLineNumbers w:val="0"/>
              <w:adjustRightInd w:val="0"/>
              <w:snapToGrid w:val="0"/>
              <w:spacing w:before="120" w:beforeLines="50" w:beforeAutospacing="0" w:after="0" w:afterAutospacing="0" w:line="360" w:lineRule="auto"/>
              <w:ind w:left="0" w:right="0" w:firstLine="480" w:firstLineChars="200"/>
              <w:jc w:val="left"/>
              <w:rPr>
                <w:rFonts w:hint="default"/>
                <w:b/>
                <w:bCs/>
                <w:color w:val="auto"/>
                <w:kern w:val="0"/>
                <w:sz w:val="24"/>
              </w:rPr>
            </w:pPr>
            <w:r>
              <w:rPr>
                <w:rFonts w:hint="default"/>
                <w:color w:val="auto"/>
                <w:kern w:val="0"/>
                <w:sz w:val="24"/>
              </w:rPr>
              <w:t>废水间接排放口基本情况见</w:t>
            </w:r>
            <w:r>
              <w:rPr>
                <w:rFonts w:hint="eastAsia"/>
                <w:color w:val="auto"/>
                <w:kern w:val="0"/>
                <w:sz w:val="24"/>
                <w:lang w:eastAsia="zh-CN"/>
              </w:rPr>
              <w:t>下表</w:t>
            </w:r>
            <w:r>
              <w:rPr>
                <w:rFonts w:hint="default"/>
                <w:snapToGrid w:val="0"/>
                <w:color w:val="auto"/>
                <w:kern w:val="0"/>
                <w:sz w:val="24"/>
              </w:rPr>
              <w:t>。</w:t>
            </w:r>
          </w:p>
          <w:p w14:paraId="6013A4F7">
            <w:pPr>
              <w:pStyle w:val="24"/>
              <w:keepNext w:val="0"/>
              <w:keepLines w:val="0"/>
              <w:numPr>
                <w:ilvl w:val="0"/>
                <w:numId w:val="0"/>
              </w:numPr>
              <w:suppressLineNumbers w:val="0"/>
              <w:snapToGrid w:val="0"/>
              <w:spacing w:before="0" w:beforeAutospacing="0" w:after="0" w:afterAutospacing="0"/>
              <w:ind w:left="425" w:leftChars="0" w:right="0" w:hanging="425" w:firstLineChars="0"/>
              <w:jc w:val="center"/>
              <w:rPr>
                <w:rFonts w:hint="eastAsia" w:ascii="Times New Roman" w:hAnsi="Times New Roman" w:eastAsia="宋体" w:cs="Times New Roman"/>
                <w:b/>
                <w:bCs/>
              </w:rPr>
            </w:pPr>
            <w:r>
              <w:rPr>
                <w:rFonts w:hint="default" w:ascii="Times New Roman" w:hAnsi="Times New Roman" w:eastAsia="宋体" w:cs="Times New Roman"/>
                <w:b/>
                <w:bCs/>
                <w:kern w:val="0"/>
                <w:sz w:val="24"/>
                <w:szCs w:val="24"/>
                <w:lang w:val="en-US" w:eastAsia="zh-CN" w:bidi="ar-SA"/>
              </w:rPr>
              <w:t>表4-</w:t>
            </w:r>
            <w:r>
              <w:rPr>
                <w:rFonts w:hint="eastAsia" w:ascii="Times New Roman" w:hAnsi="Times New Roman" w:cs="Times New Roman"/>
                <w:b/>
                <w:bCs/>
                <w:kern w:val="0"/>
                <w:sz w:val="24"/>
                <w:szCs w:val="24"/>
                <w:lang w:val="en-US" w:eastAsia="zh-CN" w:bidi="ar-SA"/>
              </w:rPr>
              <w:t xml:space="preserve">8  </w:t>
            </w:r>
            <w:r>
              <w:rPr>
                <w:rFonts w:hint="eastAsia" w:ascii="Times New Roman" w:hAnsi="Times New Roman" w:eastAsia="宋体" w:cs="Times New Roman"/>
                <w:b/>
                <w:bCs/>
              </w:rPr>
              <w:t>废水间接排放口基本情况表</w:t>
            </w:r>
          </w:p>
          <w:tbl>
            <w:tblPr>
              <w:tblStyle w:val="25"/>
              <w:tblW w:w="876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7"/>
              <w:gridCol w:w="649"/>
              <w:gridCol w:w="621"/>
              <w:gridCol w:w="599"/>
              <w:gridCol w:w="840"/>
              <w:gridCol w:w="871"/>
              <w:gridCol w:w="900"/>
              <w:gridCol w:w="689"/>
              <w:gridCol w:w="404"/>
              <w:gridCol w:w="900"/>
              <w:gridCol w:w="675"/>
              <w:gridCol w:w="1233"/>
            </w:tblGrid>
            <w:tr w14:paraId="713144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 w:type="pct"/>
                  <w:vMerge w:val="restart"/>
                  <w:noWrap w:val="0"/>
                  <w:vAlign w:val="center"/>
                </w:tcPr>
                <w:p w14:paraId="60A46F00">
                  <w:pPr>
                    <w:keepNext w:val="0"/>
                    <w:keepLines w:val="0"/>
                    <w:suppressLineNumbers w:val="0"/>
                    <w:snapToGrid w:val="0"/>
                    <w:spacing w:before="0" w:beforeAutospacing="0" w:after="0" w:afterAutospacing="0"/>
                    <w:ind w:left="0" w:right="0"/>
                    <w:jc w:val="center"/>
                    <w:rPr>
                      <w:rFonts w:hint="default"/>
                      <w:b/>
                      <w:color w:val="auto"/>
                      <w:szCs w:val="21"/>
                    </w:rPr>
                  </w:pPr>
                  <w:r>
                    <w:rPr>
                      <w:rFonts w:hint="default"/>
                      <w:b/>
                      <w:color w:val="auto"/>
                      <w:szCs w:val="21"/>
                    </w:rPr>
                    <w:t>序号</w:t>
                  </w:r>
                </w:p>
              </w:tc>
              <w:tc>
                <w:tcPr>
                  <w:tcW w:w="370" w:type="pct"/>
                  <w:vMerge w:val="restart"/>
                  <w:noWrap w:val="0"/>
                  <w:vAlign w:val="center"/>
                </w:tcPr>
                <w:p w14:paraId="65138D23">
                  <w:pPr>
                    <w:keepNext w:val="0"/>
                    <w:keepLines w:val="0"/>
                    <w:suppressLineNumbers w:val="0"/>
                    <w:snapToGrid w:val="0"/>
                    <w:spacing w:before="0" w:beforeAutospacing="0" w:after="0" w:afterAutospacing="0"/>
                    <w:ind w:left="0" w:right="0"/>
                    <w:jc w:val="center"/>
                    <w:rPr>
                      <w:rFonts w:hint="default"/>
                      <w:b/>
                      <w:color w:val="auto"/>
                      <w:szCs w:val="21"/>
                    </w:rPr>
                  </w:pPr>
                  <w:r>
                    <w:rPr>
                      <w:rFonts w:hint="default"/>
                      <w:b/>
                      <w:color w:val="auto"/>
                      <w:szCs w:val="21"/>
                    </w:rPr>
                    <w:t>排放口编号</w:t>
                  </w:r>
                </w:p>
              </w:tc>
              <w:tc>
                <w:tcPr>
                  <w:tcW w:w="354" w:type="pct"/>
                  <w:vMerge w:val="restart"/>
                  <w:noWrap w:val="0"/>
                  <w:vAlign w:val="center"/>
                </w:tcPr>
                <w:p w14:paraId="073D9CD3">
                  <w:pPr>
                    <w:keepNext w:val="0"/>
                    <w:keepLines w:val="0"/>
                    <w:suppressLineNumbers w:val="0"/>
                    <w:snapToGrid w:val="0"/>
                    <w:spacing w:before="0" w:beforeAutospacing="0" w:after="0" w:afterAutospacing="0"/>
                    <w:ind w:left="0" w:right="0"/>
                    <w:jc w:val="center"/>
                    <w:rPr>
                      <w:rFonts w:hint="default"/>
                      <w:b/>
                      <w:color w:val="auto"/>
                      <w:szCs w:val="21"/>
                    </w:rPr>
                  </w:pPr>
                  <w:r>
                    <w:rPr>
                      <w:rFonts w:hint="default"/>
                      <w:b/>
                      <w:color w:val="auto"/>
                      <w:szCs w:val="21"/>
                    </w:rPr>
                    <w:t>排放口名称</w:t>
                  </w:r>
                </w:p>
              </w:tc>
              <w:tc>
                <w:tcPr>
                  <w:tcW w:w="341" w:type="pct"/>
                  <w:vMerge w:val="restart"/>
                  <w:noWrap w:val="0"/>
                  <w:vAlign w:val="center"/>
                </w:tcPr>
                <w:p w14:paraId="71AE41A5">
                  <w:pPr>
                    <w:keepNext w:val="0"/>
                    <w:keepLines w:val="0"/>
                    <w:suppressLineNumbers w:val="0"/>
                    <w:snapToGrid w:val="0"/>
                    <w:spacing w:before="0" w:beforeAutospacing="0" w:after="0" w:afterAutospacing="0"/>
                    <w:ind w:left="0" w:right="0"/>
                    <w:jc w:val="center"/>
                    <w:rPr>
                      <w:rFonts w:hint="default"/>
                      <w:b/>
                      <w:color w:val="auto"/>
                      <w:szCs w:val="21"/>
                    </w:rPr>
                  </w:pPr>
                  <w:r>
                    <w:rPr>
                      <w:rFonts w:hint="default"/>
                      <w:b/>
                      <w:bCs/>
                      <w:color w:val="auto"/>
                      <w:szCs w:val="21"/>
                    </w:rPr>
                    <w:t>排放口类型</w:t>
                  </w:r>
                </w:p>
              </w:tc>
              <w:tc>
                <w:tcPr>
                  <w:tcW w:w="975" w:type="pct"/>
                  <w:gridSpan w:val="2"/>
                  <w:noWrap w:val="0"/>
                  <w:vAlign w:val="center"/>
                </w:tcPr>
                <w:p w14:paraId="3D3A7B62">
                  <w:pPr>
                    <w:keepNext w:val="0"/>
                    <w:keepLines w:val="0"/>
                    <w:suppressLineNumbers w:val="0"/>
                    <w:snapToGrid w:val="0"/>
                    <w:spacing w:before="0" w:beforeAutospacing="0" w:after="0" w:afterAutospacing="0"/>
                    <w:ind w:left="0" w:right="0"/>
                    <w:jc w:val="center"/>
                    <w:rPr>
                      <w:rFonts w:hint="default"/>
                      <w:b/>
                      <w:color w:val="auto"/>
                      <w:szCs w:val="21"/>
                      <w:highlight w:val="yellow"/>
                    </w:rPr>
                  </w:pPr>
                  <w:r>
                    <w:rPr>
                      <w:rFonts w:hint="default"/>
                      <w:b/>
                      <w:color w:val="auto"/>
                      <w:szCs w:val="21"/>
                      <w:highlight w:val="yellow"/>
                    </w:rPr>
                    <w:t>排放口地理位置</w:t>
                  </w:r>
                </w:p>
              </w:tc>
              <w:tc>
                <w:tcPr>
                  <w:tcW w:w="513" w:type="pct"/>
                  <w:vMerge w:val="restart"/>
                  <w:noWrap w:val="0"/>
                  <w:vAlign w:val="center"/>
                </w:tcPr>
                <w:p w14:paraId="6D6FCC58">
                  <w:pPr>
                    <w:keepNext w:val="0"/>
                    <w:keepLines w:val="0"/>
                    <w:suppressLineNumbers w:val="0"/>
                    <w:snapToGrid w:val="0"/>
                    <w:spacing w:before="0" w:beforeAutospacing="0" w:after="0" w:afterAutospacing="0"/>
                    <w:ind w:left="0" w:right="0"/>
                    <w:jc w:val="center"/>
                    <w:rPr>
                      <w:rFonts w:hint="eastAsia" w:eastAsia="宋体"/>
                      <w:b/>
                      <w:color w:val="auto"/>
                      <w:szCs w:val="21"/>
                      <w:lang w:eastAsia="zh-CN"/>
                    </w:rPr>
                  </w:pPr>
                  <w:r>
                    <w:rPr>
                      <w:rFonts w:hint="default"/>
                      <w:b/>
                      <w:color w:val="auto"/>
                      <w:szCs w:val="21"/>
                    </w:rPr>
                    <w:t>废水排放量</w:t>
                  </w:r>
                  <w:r>
                    <w:rPr>
                      <w:rFonts w:hint="eastAsia"/>
                      <w:b/>
                      <w:color w:val="auto"/>
                      <w:szCs w:val="21"/>
                      <w:lang w:val="en-US" w:eastAsia="zh-CN"/>
                    </w:rPr>
                    <w:t>(</w:t>
                  </w:r>
                  <w:r>
                    <w:rPr>
                      <w:rFonts w:hint="default"/>
                      <w:b/>
                      <w:color w:val="auto"/>
                      <w:szCs w:val="21"/>
                    </w:rPr>
                    <w:t>万t/a</w:t>
                  </w:r>
                  <w:r>
                    <w:rPr>
                      <w:rFonts w:hint="eastAsia"/>
                      <w:b/>
                      <w:color w:val="auto"/>
                      <w:szCs w:val="21"/>
                      <w:lang w:val="en-US" w:eastAsia="zh-CN"/>
                    </w:rPr>
                    <w:t>)</w:t>
                  </w:r>
                </w:p>
              </w:tc>
              <w:tc>
                <w:tcPr>
                  <w:tcW w:w="392" w:type="pct"/>
                  <w:vMerge w:val="restart"/>
                  <w:noWrap w:val="0"/>
                  <w:vAlign w:val="center"/>
                </w:tcPr>
                <w:p w14:paraId="496C27E2">
                  <w:pPr>
                    <w:keepNext w:val="0"/>
                    <w:keepLines w:val="0"/>
                    <w:suppressLineNumbers w:val="0"/>
                    <w:snapToGrid w:val="0"/>
                    <w:spacing w:before="0" w:beforeAutospacing="0" w:after="0" w:afterAutospacing="0"/>
                    <w:ind w:left="0" w:right="0"/>
                    <w:jc w:val="center"/>
                    <w:rPr>
                      <w:rFonts w:hint="default"/>
                      <w:b/>
                      <w:color w:val="auto"/>
                      <w:szCs w:val="21"/>
                    </w:rPr>
                  </w:pPr>
                  <w:r>
                    <w:rPr>
                      <w:rFonts w:hint="default"/>
                      <w:b/>
                      <w:color w:val="auto"/>
                      <w:szCs w:val="21"/>
                    </w:rPr>
                    <w:t>排放去向</w:t>
                  </w:r>
                </w:p>
              </w:tc>
              <w:tc>
                <w:tcPr>
                  <w:tcW w:w="230" w:type="pct"/>
                  <w:vMerge w:val="restart"/>
                  <w:noWrap w:val="0"/>
                  <w:vAlign w:val="center"/>
                </w:tcPr>
                <w:p w14:paraId="29B64BE2">
                  <w:pPr>
                    <w:keepNext w:val="0"/>
                    <w:keepLines w:val="0"/>
                    <w:suppressLineNumbers w:val="0"/>
                    <w:snapToGrid w:val="0"/>
                    <w:spacing w:before="0" w:beforeAutospacing="0" w:after="0" w:afterAutospacing="0"/>
                    <w:ind w:left="0" w:right="0"/>
                    <w:jc w:val="center"/>
                    <w:rPr>
                      <w:rFonts w:hint="default"/>
                      <w:b/>
                      <w:color w:val="auto"/>
                      <w:szCs w:val="21"/>
                    </w:rPr>
                  </w:pPr>
                  <w:r>
                    <w:rPr>
                      <w:rFonts w:hint="default"/>
                      <w:b/>
                      <w:color w:val="auto"/>
                      <w:szCs w:val="21"/>
                    </w:rPr>
                    <w:t>排放规律</w:t>
                  </w:r>
                </w:p>
              </w:tc>
              <w:tc>
                <w:tcPr>
                  <w:tcW w:w="1601" w:type="pct"/>
                  <w:gridSpan w:val="3"/>
                  <w:noWrap w:val="0"/>
                  <w:vAlign w:val="center"/>
                </w:tcPr>
                <w:p w14:paraId="41C48500">
                  <w:pPr>
                    <w:keepNext w:val="0"/>
                    <w:keepLines w:val="0"/>
                    <w:suppressLineNumbers w:val="0"/>
                    <w:snapToGrid w:val="0"/>
                    <w:spacing w:before="0" w:beforeAutospacing="0" w:after="0" w:afterAutospacing="0"/>
                    <w:ind w:left="0" w:right="0"/>
                    <w:jc w:val="center"/>
                    <w:rPr>
                      <w:rFonts w:hint="default"/>
                      <w:b/>
                      <w:color w:val="auto"/>
                      <w:szCs w:val="21"/>
                    </w:rPr>
                  </w:pPr>
                  <w:r>
                    <w:rPr>
                      <w:rFonts w:hint="default"/>
                      <w:b/>
                      <w:color w:val="auto"/>
                      <w:szCs w:val="21"/>
                    </w:rPr>
                    <w:t>排放标准（mg/L）</w:t>
                  </w:r>
                </w:p>
              </w:tc>
            </w:tr>
            <w:tr w14:paraId="6B5F84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220" w:type="pct"/>
                  <w:vMerge w:val="continue"/>
                  <w:noWrap w:val="0"/>
                  <w:vAlign w:val="center"/>
                </w:tcPr>
                <w:p w14:paraId="1C916787">
                  <w:pPr>
                    <w:keepNext w:val="0"/>
                    <w:keepLines w:val="0"/>
                    <w:suppressLineNumbers w:val="0"/>
                    <w:snapToGrid w:val="0"/>
                    <w:spacing w:before="0" w:beforeAutospacing="0" w:after="0" w:afterAutospacing="0"/>
                    <w:ind w:left="0" w:right="0"/>
                    <w:jc w:val="center"/>
                    <w:rPr>
                      <w:rFonts w:hint="default"/>
                      <w:b/>
                      <w:color w:val="auto"/>
                      <w:szCs w:val="21"/>
                    </w:rPr>
                  </w:pPr>
                </w:p>
              </w:tc>
              <w:tc>
                <w:tcPr>
                  <w:tcW w:w="370" w:type="pct"/>
                  <w:vMerge w:val="continue"/>
                  <w:noWrap w:val="0"/>
                  <w:vAlign w:val="center"/>
                </w:tcPr>
                <w:p w14:paraId="20575B7A">
                  <w:pPr>
                    <w:keepNext w:val="0"/>
                    <w:keepLines w:val="0"/>
                    <w:suppressLineNumbers w:val="0"/>
                    <w:snapToGrid w:val="0"/>
                    <w:spacing w:before="0" w:beforeAutospacing="0" w:after="0" w:afterAutospacing="0"/>
                    <w:ind w:left="0" w:right="0"/>
                    <w:jc w:val="center"/>
                    <w:rPr>
                      <w:rFonts w:hint="default"/>
                      <w:b/>
                      <w:color w:val="auto"/>
                      <w:szCs w:val="21"/>
                    </w:rPr>
                  </w:pPr>
                </w:p>
              </w:tc>
              <w:tc>
                <w:tcPr>
                  <w:tcW w:w="354" w:type="pct"/>
                  <w:vMerge w:val="continue"/>
                  <w:noWrap w:val="0"/>
                  <w:vAlign w:val="center"/>
                </w:tcPr>
                <w:p w14:paraId="1CE0FE16">
                  <w:pPr>
                    <w:keepNext w:val="0"/>
                    <w:keepLines w:val="0"/>
                    <w:suppressLineNumbers w:val="0"/>
                    <w:snapToGrid w:val="0"/>
                    <w:spacing w:before="0" w:beforeAutospacing="0" w:after="0" w:afterAutospacing="0"/>
                    <w:ind w:left="0" w:right="0"/>
                    <w:jc w:val="center"/>
                    <w:rPr>
                      <w:rFonts w:hint="default"/>
                      <w:b/>
                      <w:color w:val="auto"/>
                      <w:szCs w:val="21"/>
                    </w:rPr>
                  </w:pPr>
                </w:p>
              </w:tc>
              <w:tc>
                <w:tcPr>
                  <w:tcW w:w="341" w:type="pct"/>
                  <w:vMerge w:val="continue"/>
                  <w:noWrap w:val="0"/>
                  <w:vAlign w:val="center"/>
                </w:tcPr>
                <w:p w14:paraId="40C79757">
                  <w:pPr>
                    <w:keepNext w:val="0"/>
                    <w:keepLines w:val="0"/>
                    <w:suppressLineNumbers w:val="0"/>
                    <w:snapToGrid w:val="0"/>
                    <w:spacing w:before="0" w:beforeAutospacing="0" w:after="0" w:afterAutospacing="0"/>
                    <w:ind w:left="0" w:right="0"/>
                    <w:jc w:val="center"/>
                    <w:rPr>
                      <w:rFonts w:hint="default"/>
                      <w:b/>
                      <w:color w:val="auto"/>
                      <w:szCs w:val="21"/>
                    </w:rPr>
                  </w:pPr>
                </w:p>
              </w:tc>
              <w:tc>
                <w:tcPr>
                  <w:tcW w:w="479" w:type="pct"/>
                  <w:noWrap w:val="0"/>
                  <w:vAlign w:val="center"/>
                </w:tcPr>
                <w:p w14:paraId="35A92428">
                  <w:pPr>
                    <w:keepNext w:val="0"/>
                    <w:keepLines w:val="0"/>
                    <w:suppressLineNumbers w:val="0"/>
                    <w:snapToGrid w:val="0"/>
                    <w:spacing w:before="0" w:beforeAutospacing="0" w:after="0" w:afterAutospacing="0"/>
                    <w:ind w:left="0" w:right="0"/>
                    <w:jc w:val="center"/>
                    <w:rPr>
                      <w:rFonts w:hint="default"/>
                      <w:b/>
                      <w:color w:val="auto"/>
                      <w:szCs w:val="21"/>
                      <w:highlight w:val="yellow"/>
                    </w:rPr>
                  </w:pPr>
                  <w:r>
                    <w:rPr>
                      <w:rFonts w:hint="default"/>
                      <w:b/>
                      <w:color w:val="auto"/>
                      <w:szCs w:val="21"/>
                      <w:highlight w:val="yellow"/>
                    </w:rPr>
                    <w:t>经度</w:t>
                  </w:r>
                </w:p>
              </w:tc>
              <w:tc>
                <w:tcPr>
                  <w:tcW w:w="496" w:type="pct"/>
                  <w:noWrap w:val="0"/>
                  <w:vAlign w:val="center"/>
                </w:tcPr>
                <w:p w14:paraId="6BA7E509">
                  <w:pPr>
                    <w:keepNext w:val="0"/>
                    <w:keepLines w:val="0"/>
                    <w:suppressLineNumbers w:val="0"/>
                    <w:snapToGrid w:val="0"/>
                    <w:spacing w:before="0" w:beforeAutospacing="0" w:after="0" w:afterAutospacing="0"/>
                    <w:ind w:left="0" w:right="0"/>
                    <w:jc w:val="center"/>
                    <w:rPr>
                      <w:rFonts w:hint="default"/>
                      <w:b/>
                      <w:color w:val="auto"/>
                      <w:szCs w:val="21"/>
                      <w:highlight w:val="yellow"/>
                    </w:rPr>
                  </w:pPr>
                  <w:r>
                    <w:rPr>
                      <w:rFonts w:hint="default"/>
                      <w:b/>
                      <w:color w:val="auto"/>
                      <w:szCs w:val="21"/>
                      <w:highlight w:val="yellow"/>
                    </w:rPr>
                    <w:t>纬度</w:t>
                  </w:r>
                </w:p>
              </w:tc>
              <w:tc>
                <w:tcPr>
                  <w:tcW w:w="513" w:type="pct"/>
                  <w:vMerge w:val="continue"/>
                  <w:noWrap w:val="0"/>
                  <w:vAlign w:val="center"/>
                </w:tcPr>
                <w:p w14:paraId="1D3E1AD7">
                  <w:pPr>
                    <w:keepNext w:val="0"/>
                    <w:keepLines w:val="0"/>
                    <w:suppressLineNumbers w:val="0"/>
                    <w:snapToGrid w:val="0"/>
                    <w:spacing w:before="0" w:beforeAutospacing="0" w:after="0" w:afterAutospacing="0"/>
                    <w:ind w:left="0" w:right="0"/>
                    <w:jc w:val="center"/>
                    <w:rPr>
                      <w:rFonts w:hint="default"/>
                      <w:b/>
                      <w:color w:val="auto"/>
                      <w:szCs w:val="21"/>
                    </w:rPr>
                  </w:pPr>
                </w:p>
              </w:tc>
              <w:tc>
                <w:tcPr>
                  <w:tcW w:w="392" w:type="pct"/>
                  <w:vMerge w:val="continue"/>
                  <w:noWrap w:val="0"/>
                  <w:vAlign w:val="center"/>
                </w:tcPr>
                <w:p w14:paraId="1D18C42E">
                  <w:pPr>
                    <w:keepNext w:val="0"/>
                    <w:keepLines w:val="0"/>
                    <w:suppressLineNumbers w:val="0"/>
                    <w:snapToGrid w:val="0"/>
                    <w:spacing w:before="0" w:beforeAutospacing="0" w:after="0" w:afterAutospacing="0"/>
                    <w:ind w:left="0" w:right="0"/>
                    <w:jc w:val="center"/>
                    <w:rPr>
                      <w:rFonts w:hint="default"/>
                      <w:b/>
                      <w:color w:val="auto"/>
                      <w:szCs w:val="21"/>
                    </w:rPr>
                  </w:pPr>
                </w:p>
              </w:tc>
              <w:tc>
                <w:tcPr>
                  <w:tcW w:w="230" w:type="pct"/>
                  <w:vMerge w:val="continue"/>
                  <w:noWrap w:val="0"/>
                  <w:vAlign w:val="center"/>
                </w:tcPr>
                <w:p w14:paraId="59C759C7">
                  <w:pPr>
                    <w:keepNext w:val="0"/>
                    <w:keepLines w:val="0"/>
                    <w:suppressLineNumbers w:val="0"/>
                    <w:snapToGrid w:val="0"/>
                    <w:spacing w:before="0" w:beforeAutospacing="0" w:after="0" w:afterAutospacing="0"/>
                    <w:ind w:left="0" w:right="0"/>
                    <w:jc w:val="center"/>
                    <w:rPr>
                      <w:rFonts w:hint="default"/>
                      <w:b/>
                      <w:color w:val="auto"/>
                      <w:szCs w:val="21"/>
                    </w:rPr>
                  </w:pPr>
                </w:p>
              </w:tc>
              <w:tc>
                <w:tcPr>
                  <w:tcW w:w="513" w:type="pct"/>
                  <w:noWrap w:val="0"/>
                  <w:vAlign w:val="center"/>
                </w:tcPr>
                <w:p w14:paraId="4F5FD460">
                  <w:pPr>
                    <w:keepNext w:val="0"/>
                    <w:keepLines w:val="0"/>
                    <w:suppressLineNumbers w:val="0"/>
                    <w:snapToGrid w:val="0"/>
                    <w:spacing w:before="0" w:beforeAutospacing="0" w:after="0" w:afterAutospacing="0"/>
                    <w:ind w:left="0" w:right="0"/>
                    <w:jc w:val="center"/>
                    <w:rPr>
                      <w:rFonts w:hint="default"/>
                      <w:b/>
                      <w:color w:val="auto"/>
                      <w:szCs w:val="21"/>
                    </w:rPr>
                  </w:pPr>
                  <w:r>
                    <w:rPr>
                      <w:rFonts w:hint="default"/>
                      <w:b/>
                      <w:color w:val="auto"/>
                      <w:szCs w:val="21"/>
                    </w:rPr>
                    <w:t>污染物种类</w:t>
                  </w:r>
                </w:p>
              </w:tc>
              <w:tc>
                <w:tcPr>
                  <w:tcW w:w="384" w:type="pct"/>
                  <w:noWrap w:val="0"/>
                  <w:vAlign w:val="center"/>
                </w:tcPr>
                <w:p w14:paraId="2608723B">
                  <w:pPr>
                    <w:keepNext w:val="0"/>
                    <w:keepLines w:val="0"/>
                    <w:suppressLineNumbers w:val="0"/>
                    <w:snapToGrid w:val="0"/>
                    <w:spacing w:before="0" w:beforeAutospacing="0" w:after="0" w:afterAutospacing="0"/>
                    <w:ind w:left="0" w:right="0"/>
                    <w:jc w:val="center"/>
                    <w:rPr>
                      <w:rFonts w:hint="default"/>
                      <w:b/>
                      <w:color w:val="auto"/>
                      <w:szCs w:val="21"/>
                    </w:rPr>
                  </w:pPr>
                  <w:r>
                    <w:rPr>
                      <w:rFonts w:hint="default"/>
                      <w:b/>
                      <w:color w:val="auto"/>
                      <w:szCs w:val="21"/>
                    </w:rPr>
                    <w:t>接管标准</w:t>
                  </w:r>
                </w:p>
              </w:tc>
              <w:tc>
                <w:tcPr>
                  <w:tcW w:w="703" w:type="pct"/>
                  <w:noWrap w:val="0"/>
                  <w:vAlign w:val="center"/>
                </w:tcPr>
                <w:p w14:paraId="642F0B7B">
                  <w:pPr>
                    <w:keepNext w:val="0"/>
                    <w:keepLines w:val="0"/>
                    <w:suppressLineNumbers w:val="0"/>
                    <w:snapToGrid w:val="0"/>
                    <w:spacing w:before="0" w:beforeAutospacing="0" w:after="0" w:afterAutospacing="0"/>
                    <w:ind w:left="0" w:right="0"/>
                    <w:jc w:val="center"/>
                    <w:rPr>
                      <w:rFonts w:hint="default"/>
                      <w:b/>
                      <w:color w:val="auto"/>
                      <w:szCs w:val="21"/>
                    </w:rPr>
                  </w:pPr>
                  <w:r>
                    <w:rPr>
                      <w:rFonts w:hint="default"/>
                      <w:b/>
                      <w:color w:val="auto"/>
                      <w:szCs w:val="21"/>
                    </w:rPr>
                    <w:t>最终排放标准</w:t>
                  </w:r>
                </w:p>
              </w:tc>
            </w:tr>
            <w:tr w14:paraId="48EC48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20" w:type="pct"/>
                  <w:vMerge w:val="restart"/>
                  <w:noWrap w:val="0"/>
                  <w:vAlign w:val="center"/>
                </w:tcPr>
                <w:p w14:paraId="4C16E2C1">
                  <w:pPr>
                    <w:keepNext w:val="0"/>
                    <w:keepLines w:val="0"/>
                    <w:suppressLineNumbers w:val="0"/>
                    <w:snapToGrid w:val="0"/>
                    <w:spacing w:before="0" w:beforeAutospacing="0" w:after="0" w:afterAutospacing="0" w:line="240" w:lineRule="atLeast"/>
                    <w:ind w:left="0" w:right="0"/>
                    <w:jc w:val="center"/>
                    <w:rPr>
                      <w:rFonts w:hint="default"/>
                      <w:color w:val="auto"/>
                      <w:szCs w:val="21"/>
                    </w:rPr>
                  </w:pPr>
                  <w:r>
                    <w:rPr>
                      <w:rFonts w:hint="default"/>
                      <w:color w:val="auto"/>
                      <w:szCs w:val="21"/>
                    </w:rPr>
                    <w:t>1</w:t>
                  </w:r>
                </w:p>
              </w:tc>
              <w:tc>
                <w:tcPr>
                  <w:tcW w:w="370" w:type="pct"/>
                  <w:vMerge w:val="restart"/>
                  <w:noWrap w:val="0"/>
                  <w:vAlign w:val="center"/>
                </w:tcPr>
                <w:p w14:paraId="07B2E71F">
                  <w:pPr>
                    <w:keepNext w:val="0"/>
                    <w:keepLines w:val="0"/>
                    <w:suppressLineNumbers w:val="0"/>
                    <w:snapToGrid w:val="0"/>
                    <w:spacing w:before="0" w:beforeAutospacing="0" w:after="0" w:afterAutospacing="0" w:line="240" w:lineRule="atLeast"/>
                    <w:ind w:left="0" w:right="0"/>
                    <w:jc w:val="center"/>
                    <w:rPr>
                      <w:rFonts w:hint="default"/>
                      <w:color w:val="auto"/>
                      <w:szCs w:val="21"/>
                    </w:rPr>
                  </w:pPr>
                  <w:r>
                    <w:rPr>
                      <w:rFonts w:hint="default"/>
                      <w:color w:val="auto"/>
                      <w:szCs w:val="21"/>
                    </w:rPr>
                    <w:t>DW001</w:t>
                  </w:r>
                </w:p>
              </w:tc>
              <w:tc>
                <w:tcPr>
                  <w:tcW w:w="354" w:type="pct"/>
                  <w:vMerge w:val="restart"/>
                  <w:noWrap w:val="0"/>
                  <w:vAlign w:val="center"/>
                </w:tcPr>
                <w:p w14:paraId="3C336574">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污水排放口</w:t>
                  </w:r>
                </w:p>
              </w:tc>
              <w:tc>
                <w:tcPr>
                  <w:tcW w:w="341" w:type="pct"/>
                  <w:vMerge w:val="restart"/>
                  <w:noWrap w:val="0"/>
                  <w:vAlign w:val="center"/>
                </w:tcPr>
                <w:p w14:paraId="6C32F26C">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企业总排</w:t>
                  </w:r>
                </w:p>
              </w:tc>
              <w:tc>
                <w:tcPr>
                  <w:tcW w:w="479" w:type="pct"/>
                  <w:vMerge w:val="restart"/>
                  <w:noWrap w:val="0"/>
                  <w:vAlign w:val="center"/>
                </w:tcPr>
                <w:p w14:paraId="537C5EE5">
                  <w:pPr>
                    <w:keepNext w:val="0"/>
                    <w:keepLines w:val="0"/>
                    <w:widowControl/>
                    <w:suppressLineNumbers w:val="0"/>
                    <w:adjustRightInd w:val="0"/>
                    <w:snapToGrid w:val="0"/>
                    <w:spacing w:before="0" w:beforeAutospacing="0" w:after="0" w:afterAutospacing="0"/>
                    <w:ind w:left="0" w:right="0"/>
                    <w:jc w:val="center"/>
                    <w:rPr>
                      <w:rFonts w:hint="default" w:eastAsia="宋体"/>
                      <w:color w:val="auto"/>
                      <w:szCs w:val="21"/>
                      <w:lang w:val="en-US" w:eastAsia="zh-CN"/>
                    </w:rPr>
                  </w:pPr>
                </w:p>
              </w:tc>
              <w:tc>
                <w:tcPr>
                  <w:tcW w:w="496" w:type="pct"/>
                  <w:vMerge w:val="restart"/>
                  <w:noWrap w:val="0"/>
                  <w:vAlign w:val="center"/>
                </w:tcPr>
                <w:p w14:paraId="71BC920E">
                  <w:pPr>
                    <w:keepNext w:val="0"/>
                    <w:keepLines w:val="0"/>
                    <w:widowControl/>
                    <w:suppressLineNumbers w:val="0"/>
                    <w:adjustRightInd w:val="0"/>
                    <w:snapToGrid w:val="0"/>
                    <w:spacing w:before="0" w:beforeAutospacing="0" w:after="0" w:afterAutospacing="0"/>
                    <w:ind w:left="0" w:right="0"/>
                    <w:jc w:val="center"/>
                    <w:rPr>
                      <w:rFonts w:hint="default" w:eastAsia="宋体"/>
                      <w:color w:val="auto"/>
                      <w:szCs w:val="21"/>
                      <w:lang w:val="en-US" w:eastAsia="zh-CN"/>
                    </w:rPr>
                  </w:pPr>
                </w:p>
              </w:tc>
              <w:tc>
                <w:tcPr>
                  <w:tcW w:w="513" w:type="pct"/>
                  <w:vMerge w:val="restart"/>
                  <w:noWrap w:val="0"/>
                  <w:vAlign w:val="center"/>
                </w:tcPr>
                <w:p w14:paraId="1E45D733">
                  <w:pPr>
                    <w:keepNext w:val="0"/>
                    <w:keepLines w:val="0"/>
                    <w:suppressLineNumbers w:val="0"/>
                    <w:snapToGrid w:val="0"/>
                    <w:spacing w:before="0" w:beforeAutospacing="0" w:after="0" w:afterAutospacing="0" w:line="240" w:lineRule="atLeast"/>
                    <w:ind w:left="0" w:right="0"/>
                    <w:jc w:val="center"/>
                    <w:rPr>
                      <w:rFonts w:hint="default" w:eastAsia="宋体"/>
                      <w:color w:val="auto"/>
                      <w:szCs w:val="21"/>
                      <w:lang w:val="en-US" w:eastAsia="zh-CN"/>
                    </w:rPr>
                  </w:pPr>
                  <w:r>
                    <w:rPr>
                      <w:rFonts w:hint="eastAsia"/>
                      <w:color w:val="auto"/>
                      <w:szCs w:val="21"/>
                      <w:lang w:val="en-US" w:eastAsia="zh-CN"/>
                    </w:rPr>
                    <w:t>0.031889</w:t>
                  </w:r>
                </w:p>
              </w:tc>
              <w:tc>
                <w:tcPr>
                  <w:tcW w:w="392" w:type="pct"/>
                  <w:vMerge w:val="restart"/>
                  <w:noWrap w:val="0"/>
                  <w:vAlign w:val="center"/>
                </w:tcPr>
                <w:p w14:paraId="79A8902B">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Fonts w:hint="eastAsia" w:cs="Times New Roman"/>
                      <w:color w:val="auto"/>
                      <w:sz w:val="21"/>
                      <w:szCs w:val="21"/>
                      <w:lang w:eastAsia="zh-CN"/>
                    </w:rPr>
                    <w:t>太湖新城</w:t>
                  </w:r>
                  <w:r>
                    <w:rPr>
                      <w:rFonts w:hint="default"/>
                      <w:color w:val="auto"/>
                      <w:sz w:val="21"/>
                      <w:szCs w:val="21"/>
                    </w:rPr>
                    <w:t>污水处理厂</w:t>
                  </w:r>
                </w:p>
              </w:tc>
              <w:tc>
                <w:tcPr>
                  <w:tcW w:w="230" w:type="pct"/>
                  <w:vMerge w:val="restart"/>
                  <w:noWrap w:val="0"/>
                  <w:vAlign w:val="center"/>
                </w:tcPr>
                <w:p w14:paraId="7D68FCEE">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Fonts w:hint="default"/>
                      <w:color w:val="auto"/>
                      <w:sz w:val="21"/>
                      <w:szCs w:val="21"/>
                    </w:rPr>
                    <w:t>连续</w:t>
                  </w:r>
                </w:p>
              </w:tc>
              <w:tc>
                <w:tcPr>
                  <w:tcW w:w="513" w:type="pct"/>
                  <w:noWrap w:val="0"/>
                  <w:vAlign w:val="center"/>
                </w:tcPr>
                <w:p w14:paraId="3CE6A971">
                  <w:pPr>
                    <w:pStyle w:val="42"/>
                    <w:keepNext w:val="0"/>
                    <w:keepLines w:val="0"/>
                    <w:suppressLineNumbers w:val="0"/>
                    <w:spacing w:before="24" w:beforeAutospacing="0" w:after="24" w:afterAutospacing="0"/>
                    <w:ind w:left="0" w:right="0"/>
                    <w:rPr>
                      <w:rFonts w:hint="default" w:ascii="Times New Roman"/>
                      <w:color w:val="auto"/>
                      <w:sz w:val="21"/>
                      <w:szCs w:val="21"/>
                    </w:rPr>
                  </w:pPr>
                  <w:r>
                    <w:rPr>
                      <w:rFonts w:hint="default" w:ascii="Times New Roman"/>
                      <w:color w:val="auto"/>
                      <w:sz w:val="21"/>
                      <w:szCs w:val="21"/>
                    </w:rPr>
                    <w:t>pH值</w:t>
                  </w:r>
                </w:p>
              </w:tc>
              <w:tc>
                <w:tcPr>
                  <w:tcW w:w="384" w:type="pct"/>
                  <w:noWrap w:val="0"/>
                  <w:vAlign w:val="center"/>
                </w:tcPr>
                <w:p w14:paraId="76E08676">
                  <w:pPr>
                    <w:pStyle w:val="42"/>
                    <w:keepNext w:val="0"/>
                    <w:keepLines w:val="0"/>
                    <w:suppressLineNumbers w:val="0"/>
                    <w:spacing w:before="24" w:beforeAutospacing="0" w:after="24" w:afterAutospacing="0" w:line="240" w:lineRule="auto"/>
                    <w:ind w:left="0" w:right="0"/>
                    <w:rPr>
                      <w:rFonts w:hint="default" w:ascii="Times New Roman"/>
                      <w:color w:val="auto"/>
                      <w:sz w:val="21"/>
                      <w:szCs w:val="21"/>
                    </w:rPr>
                  </w:pPr>
                  <w:r>
                    <w:rPr>
                      <w:rFonts w:hint="default" w:ascii="Times New Roman"/>
                      <w:color w:val="auto"/>
                      <w:sz w:val="21"/>
                      <w:szCs w:val="21"/>
                    </w:rPr>
                    <w:t>6-9</w:t>
                  </w:r>
                </w:p>
              </w:tc>
              <w:tc>
                <w:tcPr>
                  <w:tcW w:w="703" w:type="pct"/>
                  <w:noWrap w:val="0"/>
                  <w:vAlign w:val="center"/>
                </w:tcPr>
                <w:p w14:paraId="6B3434B1">
                  <w:pPr>
                    <w:pStyle w:val="42"/>
                    <w:keepNext w:val="0"/>
                    <w:keepLines w:val="0"/>
                    <w:suppressLineNumbers w:val="0"/>
                    <w:spacing w:before="24" w:beforeAutospacing="0" w:after="24" w:afterAutospacing="0" w:line="240" w:lineRule="auto"/>
                    <w:ind w:left="0" w:right="0"/>
                    <w:rPr>
                      <w:rFonts w:hint="default" w:ascii="Times New Roman"/>
                      <w:color w:val="auto"/>
                      <w:sz w:val="21"/>
                      <w:szCs w:val="21"/>
                    </w:rPr>
                  </w:pPr>
                  <w:r>
                    <w:rPr>
                      <w:rFonts w:hint="default" w:ascii="Times New Roman"/>
                      <w:color w:val="auto"/>
                      <w:sz w:val="21"/>
                      <w:szCs w:val="21"/>
                    </w:rPr>
                    <w:t>6-9</w:t>
                  </w:r>
                </w:p>
              </w:tc>
            </w:tr>
            <w:tr w14:paraId="7AEC84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 w:type="pct"/>
                  <w:vMerge w:val="continue"/>
                  <w:noWrap w:val="0"/>
                  <w:vAlign w:val="center"/>
                </w:tcPr>
                <w:p w14:paraId="037EC61C">
                  <w:pPr>
                    <w:keepNext w:val="0"/>
                    <w:keepLines w:val="0"/>
                    <w:suppressLineNumbers w:val="0"/>
                    <w:snapToGrid w:val="0"/>
                    <w:spacing w:before="0" w:beforeAutospacing="0" w:after="0" w:afterAutospacing="0" w:line="240" w:lineRule="atLeast"/>
                    <w:ind w:left="0" w:right="0"/>
                    <w:jc w:val="center"/>
                    <w:rPr>
                      <w:rFonts w:hint="default"/>
                      <w:color w:val="auto"/>
                      <w:szCs w:val="21"/>
                    </w:rPr>
                  </w:pPr>
                </w:p>
              </w:tc>
              <w:tc>
                <w:tcPr>
                  <w:tcW w:w="370" w:type="pct"/>
                  <w:vMerge w:val="continue"/>
                  <w:noWrap w:val="0"/>
                  <w:vAlign w:val="center"/>
                </w:tcPr>
                <w:p w14:paraId="5E13108A">
                  <w:pPr>
                    <w:keepNext w:val="0"/>
                    <w:keepLines w:val="0"/>
                    <w:suppressLineNumbers w:val="0"/>
                    <w:snapToGrid w:val="0"/>
                    <w:spacing w:before="0" w:beforeAutospacing="0" w:after="0" w:afterAutospacing="0" w:line="240" w:lineRule="atLeast"/>
                    <w:ind w:left="0" w:right="0"/>
                    <w:jc w:val="center"/>
                    <w:rPr>
                      <w:rFonts w:hint="default"/>
                      <w:color w:val="auto"/>
                      <w:szCs w:val="21"/>
                    </w:rPr>
                  </w:pPr>
                </w:p>
              </w:tc>
              <w:tc>
                <w:tcPr>
                  <w:tcW w:w="354" w:type="pct"/>
                  <w:vMerge w:val="continue"/>
                  <w:noWrap w:val="0"/>
                  <w:vAlign w:val="center"/>
                </w:tcPr>
                <w:p w14:paraId="55AD54B2">
                  <w:pPr>
                    <w:keepNext w:val="0"/>
                    <w:keepLines w:val="0"/>
                    <w:suppressLineNumbers w:val="0"/>
                    <w:snapToGrid w:val="0"/>
                    <w:spacing w:before="0" w:beforeAutospacing="0" w:after="0" w:afterAutospacing="0" w:line="240" w:lineRule="atLeast"/>
                    <w:ind w:left="0" w:right="0"/>
                    <w:jc w:val="center"/>
                    <w:rPr>
                      <w:rFonts w:hint="default"/>
                      <w:color w:val="auto"/>
                      <w:szCs w:val="21"/>
                    </w:rPr>
                  </w:pPr>
                </w:p>
              </w:tc>
              <w:tc>
                <w:tcPr>
                  <w:tcW w:w="341" w:type="pct"/>
                  <w:vMerge w:val="continue"/>
                  <w:noWrap w:val="0"/>
                  <w:vAlign w:val="center"/>
                </w:tcPr>
                <w:p w14:paraId="71542B6F">
                  <w:pPr>
                    <w:keepNext w:val="0"/>
                    <w:keepLines w:val="0"/>
                    <w:suppressLineNumbers w:val="0"/>
                    <w:snapToGrid w:val="0"/>
                    <w:spacing w:before="0" w:beforeAutospacing="0" w:after="0" w:afterAutospacing="0" w:line="240" w:lineRule="atLeast"/>
                    <w:ind w:left="0" w:right="0"/>
                    <w:jc w:val="center"/>
                    <w:rPr>
                      <w:rFonts w:hint="default"/>
                      <w:color w:val="auto"/>
                      <w:szCs w:val="21"/>
                    </w:rPr>
                  </w:pPr>
                </w:p>
              </w:tc>
              <w:tc>
                <w:tcPr>
                  <w:tcW w:w="479" w:type="pct"/>
                  <w:vMerge w:val="continue"/>
                  <w:noWrap w:val="0"/>
                  <w:vAlign w:val="center"/>
                </w:tcPr>
                <w:p w14:paraId="741C47A8">
                  <w:pPr>
                    <w:keepNext w:val="0"/>
                    <w:keepLines w:val="0"/>
                    <w:widowControl/>
                    <w:suppressLineNumbers w:val="0"/>
                    <w:adjustRightInd w:val="0"/>
                    <w:snapToGrid w:val="0"/>
                    <w:spacing w:before="0" w:beforeAutospacing="0" w:after="0" w:afterAutospacing="0"/>
                    <w:ind w:left="0" w:right="0"/>
                    <w:jc w:val="center"/>
                    <w:rPr>
                      <w:rFonts w:hint="default"/>
                      <w:color w:val="auto"/>
                      <w:szCs w:val="21"/>
                    </w:rPr>
                  </w:pPr>
                </w:p>
              </w:tc>
              <w:tc>
                <w:tcPr>
                  <w:tcW w:w="496" w:type="pct"/>
                  <w:vMerge w:val="continue"/>
                  <w:noWrap w:val="0"/>
                  <w:vAlign w:val="center"/>
                </w:tcPr>
                <w:p w14:paraId="22FEF8A2">
                  <w:pPr>
                    <w:keepNext w:val="0"/>
                    <w:keepLines w:val="0"/>
                    <w:widowControl/>
                    <w:suppressLineNumbers w:val="0"/>
                    <w:adjustRightInd w:val="0"/>
                    <w:snapToGrid w:val="0"/>
                    <w:spacing w:before="0" w:beforeAutospacing="0" w:after="0" w:afterAutospacing="0"/>
                    <w:ind w:left="0" w:right="0"/>
                    <w:jc w:val="center"/>
                    <w:rPr>
                      <w:rFonts w:hint="default"/>
                      <w:color w:val="auto"/>
                      <w:szCs w:val="21"/>
                    </w:rPr>
                  </w:pPr>
                </w:p>
              </w:tc>
              <w:tc>
                <w:tcPr>
                  <w:tcW w:w="513" w:type="pct"/>
                  <w:vMerge w:val="continue"/>
                  <w:noWrap w:val="0"/>
                  <w:vAlign w:val="center"/>
                </w:tcPr>
                <w:p w14:paraId="431FDAB1">
                  <w:pPr>
                    <w:keepNext w:val="0"/>
                    <w:keepLines w:val="0"/>
                    <w:suppressLineNumbers w:val="0"/>
                    <w:snapToGrid w:val="0"/>
                    <w:spacing w:before="0" w:beforeAutospacing="0" w:after="0" w:afterAutospacing="0" w:line="240" w:lineRule="atLeast"/>
                    <w:ind w:left="0" w:right="0"/>
                    <w:jc w:val="center"/>
                    <w:rPr>
                      <w:rFonts w:hint="default"/>
                      <w:color w:val="auto"/>
                      <w:szCs w:val="21"/>
                    </w:rPr>
                  </w:pPr>
                </w:p>
              </w:tc>
              <w:tc>
                <w:tcPr>
                  <w:tcW w:w="392" w:type="pct"/>
                  <w:vMerge w:val="continue"/>
                  <w:noWrap w:val="0"/>
                  <w:vAlign w:val="center"/>
                </w:tcPr>
                <w:p w14:paraId="18A14F74">
                  <w:pPr>
                    <w:keepNext w:val="0"/>
                    <w:keepLines w:val="0"/>
                    <w:suppressLineNumbers w:val="0"/>
                    <w:snapToGrid w:val="0"/>
                    <w:spacing w:before="0" w:beforeAutospacing="0" w:after="0" w:afterAutospacing="0" w:line="240" w:lineRule="atLeast"/>
                    <w:ind w:left="0" w:right="0"/>
                    <w:jc w:val="center"/>
                    <w:rPr>
                      <w:rFonts w:hint="default"/>
                      <w:color w:val="auto"/>
                      <w:sz w:val="21"/>
                      <w:szCs w:val="21"/>
                    </w:rPr>
                  </w:pPr>
                </w:p>
              </w:tc>
              <w:tc>
                <w:tcPr>
                  <w:tcW w:w="230" w:type="pct"/>
                  <w:vMerge w:val="continue"/>
                  <w:noWrap w:val="0"/>
                  <w:vAlign w:val="center"/>
                </w:tcPr>
                <w:p w14:paraId="15A0FFFC">
                  <w:pPr>
                    <w:keepNext w:val="0"/>
                    <w:keepLines w:val="0"/>
                    <w:suppressLineNumbers w:val="0"/>
                    <w:snapToGrid w:val="0"/>
                    <w:spacing w:before="0" w:beforeAutospacing="0" w:after="0" w:afterAutospacing="0" w:line="240" w:lineRule="atLeast"/>
                    <w:ind w:left="0" w:right="0"/>
                    <w:jc w:val="center"/>
                    <w:rPr>
                      <w:rFonts w:hint="default"/>
                      <w:color w:val="auto"/>
                      <w:sz w:val="21"/>
                      <w:szCs w:val="21"/>
                    </w:rPr>
                  </w:pPr>
                </w:p>
              </w:tc>
              <w:tc>
                <w:tcPr>
                  <w:tcW w:w="513" w:type="pct"/>
                  <w:noWrap w:val="0"/>
                  <w:vAlign w:val="center"/>
                </w:tcPr>
                <w:p w14:paraId="591ABF97">
                  <w:pPr>
                    <w:pStyle w:val="42"/>
                    <w:keepNext w:val="0"/>
                    <w:keepLines w:val="0"/>
                    <w:suppressLineNumbers w:val="0"/>
                    <w:spacing w:before="24" w:beforeAutospacing="0" w:after="24" w:afterAutospacing="0"/>
                    <w:ind w:left="0" w:right="0"/>
                    <w:rPr>
                      <w:rFonts w:hint="default" w:ascii="Times New Roman"/>
                      <w:color w:val="auto"/>
                      <w:sz w:val="21"/>
                      <w:szCs w:val="21"/>
                    </w:rPr>
                  </w:pPr>
                  <w:r>
                    <w:rPr>
                      <w:rFonts w:hint="default" w:ascii="Times New Roman"/>
                      <w:color w:val="auto"/>
                      <w:sz w:val="21"/>
                      <w:szCs w:val="21"/>
                    </w:rPr>
                    <w:t>COD</w:t>
                  </w:r>
                </w:p>
              </w:tc>
              <w:tc>
                <w:tcPr>
                  <w:tcW w:w="384" w:type="pct"/>
                  <w:noWrap w:val="0"/>
                  <w:vAlign w:val="center"/>
                </w:tcPr>
                <w:p w14:paraId="17427AFF">
                  <w:pPr>
                    <w:pStyle w:val="42"/>
                    <w:keepNext w:val="0"/>
                    <w:keepLines w:val="0"/>
                    <w:suppressLineNumbers w:val="0"/>
                    <w:spacing w:before="24" w:beforeAutospacing="0" w:after="24" w:afterAutospacing="0" w:line="240" w:lineRule="auto"/>
                    <w:ind w:left="0" w:right="0"/>
                    <w:rPr>
                      <w:rFonts w:hint="default" w:ascii="Times New Roman"/>
                      <w:color w:val="auto"/>
                      <w:sz w:val="21"/>
                      <w:szCs w:val="21"/>
                    </w:rPr>
                  </w:pPr>
                  <w:r>
                    <w:rPr>
                      <w:rFonts w:hint="default" w:ascii="Times New Roman"/>
                      <w:color w:val="auto"/>
                      <w:sz w:val="21"/>
                      <w:szCs w:val="21"/>
                    </w:rPr>
                    <w:t>500</w:t>
                  </w:r>
                </w:p>
              </w:tc>
              <w:tc>
                <w:tcPr>
                  <w:tcW w:w="703" w:type="pct"/>
                  <w:noWrap w:val="0"/>
                  <w:vAlign w:val="center"/>
                </w:tcPr>
                <w:p w14:paraId="5F8BE037">
                  <w:pPr>
                    <w:pStyle w:val="42"/>
                    <w:keepNext w:val="0"/>
                    <w:keepLines w:val="0"/>
                    <w:suppressLineNumbers w:val="0"/>
                    <w:spacing w:before="24" w:beforeAutospacing="0" w:after="24" w:afterAutospacing="0" w:line="240" w:lineRule="auto"/>
                    <w:ind w:left="0" w:right="0"/>
                    <w:rPr>
                      <w:rFonts w:hint="default" w:ascii="Times New Roman"/>
                      <w:color w:val="auto"/>
                      <w:sz w:val="21"/>
                      <w:szCs w:val="21"/>
                    </w:rPr>
                  </w:pPr>
                  <w:r>
                    <w:rPr>
                      <w:rFonts w:hint="eastAsia" w:ascii="Times New Roman"/>
                      <w:color w:val="auto"/>
                      <w:sz w:val="21"/>
                      <w:szCs w:val="21"/>
                      <w:lang w:val="en-US" w:eastAsia="zh-CN"/>
                    </w:rPr>
                    <w:t>4</w:t>
                  </w:r>
                  <w:r>
                    <w:rPr>
                      <w:rFonts w:hint="default" w:ascii="Times New Roman"/>
                      <w:color w:val="auto"/>
                      <w:sz w:val="21"/>
                      <w:szCs w:val="21"/>
                    </w:rPr>
                    <w:t>0</w:t>
                  </w:r>
                </w:p>
              </w:tc>
            </w:tr>
            <w:tr w14:paraId="7A4544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 w:type="pct"/>
                  <w:vMerge w:val="continue"/>
                  <w:noWrap w:val="0"/>
                  <w:vAlign w:val="center"/>
                </w:tcPr>
                <w:p w14:paraId="57BCFB91">
                  <w:pPr>
                    <w:keepNext w:val="0"/>
                    <w:keepLines w:val="0"/>
                    <w:suppressLineNumbers w:val="0"/>
                    <w:snapToGrid w:val="0"/>
                    <w:spacing w:before="0" w:beforeAutospacing="0" w:after="0" w:afterAutospacing="0" w:line="240" w:lineRule="atLeast"/>
                    <w:ind w:left="0" w:right="0"/>
                    <w:jc w:val="center"/>
                    <w:rPr>
                      <w:rFonts w:hint="default"/>
                      <w:color w:val="auto"/>
                      <w:szCs w:val="21"/>
                    </w:rPr>
                  </w:pPr>
                </w:p>
              </w:tc>
              <w:tc>
                <w:tcPr>
                  <w:tcW w:w="370" w:type="pct"/>
                  <w:vMerge w:val="continue"/>
                  <w:noWrap w:val="0"/>
                  <w:vAlign w:val="center"/>
                </w:tcPr>
                <w:p w14:paraId="1A3673A4">
                  <w:pPr>
                    <w:keepNext w:val="0"/>
                    <w:keepLines w:val="0"/>
                    <w:suppressLineNumbers w:val="0"/>
                    <w:snapToGrid w:val="0"/>
                    <w:spacing w:before="0" w:beforeAutospacing="0" w:after="0" w:afterAutospacing="0" w:line="240" w:lineRule="atLeast"/>
                    <w:ind w:left="0" w:right="0"/>
                    <w:jc w:val="center"/>
                    <w:rPr>
                      <w:rFonts w:hint="default"/>
                      <w:color w:val="auto"/>
                      <w:szCs w:val="21"/>
                    </w:rPr>
                  </w:pPr>
                </w:p>
              </w:tc>
              <w:tc>
                <w:tcPr>
                  <w:tcW w:w="354" w:type="pct"/>
                  <w:vMerge w:val="continue"/>
                  <w:noWrap w:val="0"/>
                  <w:vAlign w:val="center"/>
                </w:tcPr>
                <w:p w14:paraId="28EC26E2">
                  <w:pPr>
                    <w:keepNext w:val="0"/>
                    <w:keepLines w:val="0"/>
                    <w:suppressLineNumbers w:val="0"/>
                    <w:snapToGrid w:val="0"/>
                    <w:spacing w:before="0" w:beforeAutospacing="0" w:after="0" w:afterAutospacing="0" w:line="240" w:lineRule="atLeast"/>
                    <w:ind w:left="0" w:right="0"/>
                    <w:jc w:val="center"/>
                    <w:rPr>
                      <w:rFonts w:hint="default"/>
                      <w:color w:val="auto"/>
                      <w:szCs w:val="21"/>
                    </w:rPr>
                  </w:pPr>
                </w:p>
              </w:tc>
              <w:tc>
                <w:tcPr>
                  <w:tcW w:w="341" w:type="pct"/>
                  <w:vMerge w:val="continue"/>
                  <w:noWrap w:val="0"/>
                  <w:vAlign w:val="center"/>
                </w:tcPr>
                <w:p w14:paraId="3A7899DB">
                  <w:pPr>
                    <w:keepNext w:val="0"/>
                    <w:keepLines w:val="0"/>
                    <w:suppressLineNumbers w:val="0"/>
                    <w:snapToGrid w:val="0"/>
                    <w:spacing w:before="0" w:beforeAutospacing="0" w:after="0" w:afterAutospacing="0" w:line="240" w:lineRule="atLeast"/>
                    <w:ind w:left="0" w:right="0"/>
                    <w:jc w:val="center"/>
                    <w:rPr>
                      <w:rFonts w:hint="default"/>
                      <w:color w:val="auto"/>
                      <w:szCs w:val="21"/>
                    </w:rPr>
                  </w:pPr>
                </w:p>
              </w:tc>
              <w:tc>
                <w:tcPr>
                  <w:tcW w:w="479" w:type="pct"/>
                  <w:vMerge w:val="continue"/>
                  <w:noWrap w:val="0"/>
                  <w:vAlign w:val="center"/>
                </w:tcPr>
                <w:p w14:paraId="694F87E9">
                  <w:pPr>
                    <w:keepNext w:val="0"/>
                    <w:keepLines w:val="0"/>
                    <w:widowControl/>
                    <w:suppressLineNumbers w:val="0"/>
                    <w:adjustRightInd w:val="0"/>
                    <w:snapToGrid w:val="0"/>
                    <w:spacing w:before="0" w:beforeAutospacing="0" w:after="0" w:afterAutospacing="0"/>
                    <w:ind w:left="0" w:right="0"/>
                    <w:jc w:val="center"/>
                    <w:rPr>
                      <w:rFonts w:hint="default"/>
                      <w:color w:val="auto"/>
                      <w:szCs w:val="21"/>
                    </w:rPr>
                  </w:pPr>
                </w:p>
              </w:tc>
              <w:tc>
                <w:tcPr>
                  <w:tcW w:w="496" w:type="pct"/>
                  <w:vMerge w:val="continue"/>
                  <w:noWrap w:val="0"/>
                  <w:vAlign w:val="center"/>
                </w:tcPr>
                <w:p w14:paraId="6CCB4FCA">
                  <w:pPr>
                    <w:keepNext w:val="0"/>
                    <w:keepLines w:val="0"/>
                    <w:widowControl/>
                    <w:suppressLineNumbers w:val="0"/>
                    <w:adjustRightInd w:val="0"/>
                    <w:snapToGrid w:val="0"/>
                    <w:spacing w:before="0" w:beforeAutospacing="0" w:after="0" w:afterAutospacing="0"/>
                    <w:ind w:left="0" w:right="0"/>
                    <w:jc w:val="center"/>
                    <w:rPr>
                      <w:rFonts w:hint="default"/>
                      <w:color w:val="auto"/>
                      <w:szCs w:val="21"/>
                    </w:rPr>
                  </w:pPr>
                </w:p>
              </w:tc>
              <w:tc>
                <w:tcPr>
                  <w:tcW w:w="513" w:type="pct"/>
                  <w:vMerge w:val="continue"/>
                  <w:noWrap w:val="0"/>
                  <w:vAlign w:val="center"/>
                </w:tcPr>
                <w:p w14:paraId="5048C1CE">
                  <w:pPr>
                    <w:keepNext w:val="0"/>
                    <w:keepLines w:val="0"/>
                    <w:suppressLineNumbers w:val="0"/>
                    <w:snapToGrid w:val="0"/>
                    <w:spacing w:before="0" w:beforeAutospacing="0" w:after="0" w:afterAutospacing="0" w:line="240" w:lineRule="atLeast"/>
                    <w:ind w:left="0" w:right="0"/>
                    <w:jc w:val="center"/>
                    <w:rPr>
                      <w:rFonts w:hint="default"/>
                      <w:color w:val="auto"/>
                      <w:szCs w:val="21"/>
                    </w:rPr>
                  </w:pPr>
                </w:p>
              </w:tc>
              <w:tc>
                <w:tcPr>
                  <w:tcW w:w="392" w:type="pct"/>
                  <w:vMerge w:val="continue"/>
                  <w:noWrap w:val="0"/>
                  <w:vAlign w:val="center"/>
                </w:tcPr>
                <w:p w14:paraId="0AFD6743">
                  <w:pPr>
                    <w:keepNext w:val="0"/>
                    <w:keepLines w:val="0"/>
                    <w:suppressLineNumbers w:val="0"/>
                    <w:snapToGrid w:val="0"/>
                    <w:spacing w:before="0" w:beforeAutospacing="0" w:after="0" w:afterAutospacing="0" w:line="240" w:lineRule="atLeast"/>
                    <w:ind w:left="0" w:right="0"/>
                    <w:jc w:val="center"/>
                    <w:rPr>
                      <w:rFonts w:hint="default"/>
                      <w:color w:val="auto"/>
                      <w:sz w:val="21"/>
                      <w:szCs w:val="21"/>
                    </w:rPr>
                  </w:pPr>
                </w:p>
              </w:tc>
              <w:tc>
                <w:tcPr>
                  <w:tcW w:w="230" w:type="pct"/>
                  <w:vMerge w:val="continue"/>
                  <w:noWrap w:val="0"/>
                  <w:vAlign w:val="center"/>
                </w:tcPr>
                <w:p w14:paraId="00688807">
                  <w:pPr>
                    <w:keepNext w:val="0"/>
                    <w:keepLines w:val="0"/>
                    <w:suppressLineNumbers w:val="0"/>
                    <w:snapToGrid w:val="0"/>
                    <w:spacing w:before="0" w:beforeAutospacing="0" w:after="0" w:afterAutospacing="0" w:line="240" w:lineRule="atLeast"/>
                    <w:ind w:left="0" w:right="0"/>
                    <w:jc w:val="center"/>
                    <w:rPr>
                      <w:rFonts w:hint="default"/>
                      <w:color w:val="auto"/>
                      <w:sz w:val="21"/>
                      <w:szCs w:val="21"/>
                    </w:rPr>
                  </w:pPr>
                </w:p>
              </w:tc>
              <w:tc>
                <w:tcPr>
                  <w:tcW w:w="513" w:type="pct"/>
                  <w:noWrap w:val="0"/>
                  <w:vAlign w:val="center"/>
                </w:tcPr>
                <w:p w14:paraId="7EDCB410">
                  <w:pPr>
                    <w:pStyle w:val="42"/>
                    <w:keepNext w:val="0"/>
                    <w:keepLines w:val="0"/>
                    <w:suppressLineNumbers w:val="0"/>
                    <w:spacing w:before="24" w:beforeAutospacing="0" w:after="24" w:afterAutospacing="0"/>
                    <w:ind w:left="0" w:right="0"/>
                    <w:rPr>
                      <w:rFonts w:hint="default" w:ascii="Times New Roman"/>
                      <w:color w:val="auto"/>
                      <w:sz w:val="21"/>
                      <w:szCs w:val="21"/>
                    </w:rPr>
                  </w:pPr>
                  <w:r>
                    <w:rPr>
                      <w:rFonts w:hint="default" w:ascii="Times New Roman"/>
                      <w:color w:val="auto"/>
                      <w:sz w:val="21"/>
                      <w:szCs w:val="21"/>
                    </w:rPr>
                    <w:t>SS</w:t>
                  </w:r>
                </w:p>
              </w:tc>
              <w:tc>
                <w:tcPr>
                  <w:tcW w:w="384" w:type="pct"/>
                  <w:noWrap w:val="0"/>
                  <w:vAlign w:val="center"/>
                </w:tcPr>
                <w:p w14:paraId="268B9E62">
                  <w:pPr>
                    <w:pStyle w:val="42"/>
                    <w:keepNext w:val="0"/>
                    <w:keepLines w:val="0"/>
                    <w:suppressLineNumbers w:val="0"/>
                    <w:spacing w:before="24" w:beforeAutospacing="0" w:after="24" w:afterAutospacing="0" w:line="240" w:lineRule="auto"/>
                    <w:ind w:left="0" w:right="0"/>
                    <w:rPr>
                      <w:rFonts w:hint="default" w:ascii="Times New Roman"/>
                      <w:color w:val="auto"/>
                      <w:sz w:val="21"/>
                      <w:szCs w:val="21"/>
                    </w:rPr>
                  </w:pPr>
                  <w:r>
                    <w:rPr>
                      <w:rFonts w:hint="default" w:ascii="Times New Roman"/>
                      <w:color w:val="auto"/>
                      <w:sz w:val="21"/>
                      <w:szCs w:val="21"/>
                    </w:rPr>
                    <w:t>400</w:t>
                  </w:r>
                </w:p>
              </w:tc>
              <w:tc>
                <w:tcPr>
                  <w:tcW w:w="703" w:type="pct"/>
                  <w:noWrap w:val="0"/>
                  <w:vAlign w:val="center"/>
                </w:tcPr>
                <w:p w14:paraId="11E76C5C">
                  <w:pPr>
                    <w:pStyle w:val="42"/>
                    <w:keepNext w:val="0"/>
                    <w:keepLines w:val="0"/>
                    <w:suppressLineNumbers w:val="0"/>
                    <w:spacing w:before="24" w:beforeAutospacing="0" w:after="24" w:afterAutospacing="0" w:line="240" w:lineRule="auto"/>
                    <w:ind w:left="0" w:right="0"/>
                    <w:rPr>
                      <w:rFonts w:hint="default" w:ascii="Times New Roman"/>
                      <w:color w:val="000000" w:themeColor="text1"/>
                      <w:sz w:val="21"/>
                      <w:szCs w:val="21"/>
                      <w14:textFill>
                        <w14:solidFill>
                          <w14:schemeClr w14:val="tx1"/>
                        </w14:solidFill>
                      </w14:textFill>
                    </w:rPr>
                  </w:pPr>
                  <w:r>
                    <w:rPr>
                      <w:rFonts w:hint="default" w:ascii="Times New Roman"/>
                      <w:color w:val="000000" w:themeColor="text1"/>
                      <w:sz w:val="21"/>
                      <w:szCs w:val="21"/>
                      <w14:textFill>
                        <w14:solidFill>
                          <w14:schemeClr w14:val="tx1"/>
                        </w14:solidFill>
                      </w14:textFill>
                    </w:rPr>
                    <w:t>10</w:t>
                  </w:r>
                </w:p>
              </w:tc>
            </w:tr>
            <w:tr w14:paraId="0D055D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20" w:type="pct"/>
                  <w:vMerge w:val="continue"/>
                  <w:noWrap w:val="0"/>
                  <w:vAlign w:val="center"/>
                </w:tcPr>
                <w:p w14:paraId="455D2E3E">
                  <w:pPr>
                    <w:keepNext w:val="0"/>
                    <w:keepLines w:val="0"/>
                    <w:suppressLineNumbers w:val="0"/>
                    <w:snapToGrid w:val="0"/>
                    <w:spacing w:before="0" w:beforeAutospacing="0" w:after="0" w:afterAutospacing="0" w:line="240" w:lineRule="atLeast"/>
                    <w:ind w:left="0" w:right="0"/>
                    <w:jc w:val="center"/>
                    <w:rPr>
                      <w:rFonts w:hint="default"/>
                      <w:color w:val="auto"/>
                      <w:szCs w:val="21"/>
                    </w:rPr>
                  </w:pPr>
                </w:p>
              </w:tc>
              <w:tc>
                <w:tcPr>
                  <w:tcW w:w="370" w:type="pct"/>
                  <w:vMerge w:val="continue"/>
                  <w:noWrap w:val="0"/>
                  <w:vAlign w:val="center"/>
                </w:tcPr>
                <w:p w14:paraId="1FD08AEE">
                  <w:pPr>
                    <w:keepNext w:val="0"/>
                    <w:keepLines w:val="0"/>
                    <w:suppressLineNumbers w:val="0"/>
                    <w:snapToGrid w:val="0"/>
                    <w:spacing w:before="0" w:beforeAutospacing="0" w:after="0" w:afterAutospacing="0" w:line="240" w:lineRule="atLeast"/>
                    <w:ind w:left="0" w:right="0"/>
                    <w:jc w:val="center"/>
                    <w:rPr>
                      <w:rFonts w:hint="default"/>
                      <w:color w:val="auto"/>
                      <w:szCs w:val="21"/>
                    </w:rPr>
                  </w:pPr>
                </w:p>
              </w:tc>
              <w:tc>
                <w:tcPr>
                  <w:tcW w:w="354" w:type="pct"/>
                  <w:vMerge w:val="continue"/>
                  <w:noWrap w:val="0"/>
                  <w:vAlign w:val="center"/>
                </w:tcPr>
                <w:p w14:paraId="3185150C">
                  <w:pPr>
                    <w:keepNext w:val="0"/>
                    <w:keepLines w:val="0"/>
                    <w:suppressLineNumbers w:val="0"/>
                    <w:snapToGrid w:val="0"/>
                    <w:spacing w:before="0" w:beforeAutospacing="0" w:after="0" w:afterAutospacing="0" w:line="240" w:lineRule="atLeast"/>
                    <w:ind w:left="0" w:right="0"/>
                    <w:jc w:val="center"/>
                    <w:rPr>
                      <w:rFonts w:hint="default"/>
                      <w:color w:val="auto"/>
                      <w:szCs w:val="21"/>
                    </w:rPr>
                  </w:pPr>
                </w:p>
              </w:tc>
              <w:tc>
                <w:tcPr>
                  <w:tcW w:w="341" w:type="pct"/>
                  <w:vMerge w:val="continue"/>
                  <w:noWrap w:val="0"/>
                  <w:vAlign w:val="center"/>
                </w:tcPr>
                <w:p w14:paraId="370126F3">
                  <w:pPr>
                    <w:keepNext w:val="0"/>
                    <w:keepLines w:val="0"/>
                    <w:suppressLineNumbers w:val="0"/>
                    <w:snapToGrid w:val="0"/>
                    <w:spacing w:before="0" w:beforeAutospacing="0" w:after="0" w:afterAutospacing="0" w:line="240" w:lineRule="atLeast"/>
                    <w:ind w:left="0" w:right="0"/>
                    <w:jc w:val="center"/>
                    <w:rPr>
                      <w:rFonts w:hint="default"/>
                      <w:color w:val="auto"/>
                      <w:szCs w:val="21"/>
                    </w:rPr>
                  </w:pPr>
                </w:p>
              </w:tc>
              <w:tc>
                <w:tcPr>
                  <w:tcW w:w="479" w:type="pct"/>
                  <w:vMerge w:val="continue"/>
                  <w:noWrap w:val="0"/>
                  <w:vAlign w:val="center"/>
                </w:tcPr>
                <w:p w14:paraId="77880849">
                  <w:pPr>
                    <w:keepNext w:val="0"/>
                    <w:keepLines w:val="0"/>
                    <w:widowControl/>
                    <w:suppressLineNumbers w:val="0"/>
                    <w:adjustRightInd w:val="0"/>
                    <w:snapToGrid w:val="0"/>
                    <w:spacing w:before="0" w:beforeAutospacing="0" w:after="0" w:afterAutospacing="0"/>
                    <w:ind w:left="0" w:right="0"/>
                    <w:jc w:val="center"/>
                    <w:rPr>
                      <w:rFonts w:hint="default"/>
                      <w:color w:val="auto"/>
                      <w:szCs w:val="21"/>
                    </w:rPr>
                  </w:pPr>
                </w:p>
              </w:tc>
              <w:tc>
                <w:tcPr>
                  <w:tcW w:w="496" w:type="pct"/>
                  <w:vMerge w:val="continue"/>
                  <w:noWrap w:val="0"/>
                  <w:vAlign w:val="center"/>
                </w:tcPr>
                <w:p w14:paraId="4E7FB4B0">
                  <w:pPr>
                    <w:keepNext w:val="0"/>
                    <w:keepLines w:val="0"/>
                    <w:widowControl/>
                    <w:suppressLineNumbers w:val="0"/>
                    <w:adjustRightInd w:val="0"/>
                    <w:snapToGrid w:val="0"/>
                    <w:spacing w:before="0" w:beforeAutospacing="0" w:after="0" w:afterAutospacing="0"/>
                    <w:ind w:left="0" w:right="0"/>
                    <w:jc w:val="center"/>
                    <w:rPr>
                      <w:rFonts w:hint="default"/>
                      <w:color w:val="auto"/>
                      <w:szCs w:val="21"/>
                    </w:rPr>
                  </w:pPr>
                </w:p>
              </w:tc>
              <w:tc>
                <w:tcPr>
                  <w:tcW w:w="513" w:type="pct"/>
                  <w:vMerge w:val="continue"/>
                  <w:noWrap w:val="0"/>
                  <w:vAlign w:val="center"/>
                </w:tcPr>
                <w:p w14:paraId="20D6650C">
                  <w:pPr>
                    <w:keepNext w:val="0"/>
                    <w:keepLines w:val="0"/>
                    <w:suppressLineNumbers w:val="0"/>
                    <w:snapToGrid w:val="0"/>
                    <w:spacing w:before="0" w:beforeAutospacing="0" w:after="0" w:afterAutospacing="0" w:line="240" w:lineRule="atLeast"/>
                    <w:ind w:left="0" w:right="0"/>
                    <w:jc w:val="center"/>
                    <w:rPr>
                      <w:rFonts w:hint="default"/>
                      <w:color w:val="auto"/>
                      <w:szCs w:val="21"/>
                    </w:rPr>
                  </w:pPr>
                </w:p>
              </w:tc>
              <w:tc>
                <w:tcPr>
                  <w:tcW w:w="392" w:type="pct"/>
                  <w:vMerge w:val="continue"/>
                  <w:noWrap w:val="0"/>
                  <w:vAlign w:val="center"/>
                </w:tcPr>
                <w:p w14:paraId="3BB0419F">
                  <w:pPr>
                    <w:keepNext w:val="0"/>
                    <w:keepLines w:val="0"/>
                    <w:suppressLineNumbers w:val="0"/>
                    <w:snapToGrid w:val="0"/>
                    <w:spacing w:before="0" w:beforeAutospacing="0" w:after="0" w:afterAutospacing="0" w:line="240" w:lineRule="atLeast"/>
                    <w:ind w:left="0" w:right="0"/>
                    <w:jc w:val="center"/>
                    <w:rPr>
                      <w:rFonts w:hint="default"/>
                      <w:color w:val="auto"/>
                      <w:sz w:val="21"/>
                      <w:szCs w:val="21"/>
                    </w:rPr>
                  </w:pPr>
                </w:p>
              </w:tc>
              <w:tc>
                <w:tcPr>
                  <w:tcW w:w="230" w:type="pct"/>
                  <w:vMerge w:val="continue"/>
                  <w:noWrap w:val="0"/>
                  <w:vAlign w:val="center"/>
                </w:tcPr>
                <w:p w14:paraId="18B598BD">
                  <w:pPr>
                    <w:keepNext w:val="0"/>
                    <w:keepLines w:val="0"/>
                    <w:suppressLineNumbers w:val="0"/>
                    <w:snapToGrid w:val="0"/>
                    <w:spacing w:before="0" w:beforeAutospacing="0" w:after="0" w:afterAutospacing="0" w:line="240" w:lineRule="atLeast"/>
                    <w:ind w:left="0" w:right="0"/>
                    <w:jc w:val="center"/>
                    <w:rPr>
                      <w:rFonts w:hint="default"/>
                      <w:color w:val="auto"/>
                      <w:sz w:val="21"/>
                      <w:szCs w:val="21"/>
                    </w:rPr>
                  </w:pPr>
                </w:p>
              </w:tc>
              <w:tc>
                <w:tcPr>
                  <w:tcW w:w="513" w:type="pct"/>
                  <w:noWrap w:val="0"/>
                  <w:vAlign w:val="center"/>
                </w:tcPr>
                <w:p w14:paraId="7B01CEB3">
                  <w:pPr>
                    <w:pStyle w:val="42"/>
                    <w:keepNext w:val="0"/>
                    <w:keepLines w:val="0"/>
                    <w:suppressLineNumbers w:val="0"/>
                    <w:spacing w:before="24" w:beforeAutospacing="0" w:after="24" w:afterAutospacing="0"/>
                    <w:ind w:left="0" w:right="0"/>
                    <w:rPr>
                      <w:rFonts w:hint="default" w:ascii="Times New Roman"/>
                      <w:color w:val="auto"/>
                      <w:sz w:val="21"/>
                      <w:szCs w:val="21"/>
                    </w:rPr>
                  </w:pPr>
                  <w:r>
                    <w:rPr>
                      <w:rFonts w:hint="default" w:ascii="Times New Roman"/>
                      <w:color w:val="auto"/>
                      <w:sz w:val="21"/>
                      <w:szCs w:val="21"/>
                    </w:rPr>
                    <w:t>NH</w:t>
                  </w:r>
                  <w:r>
                    <w:rPr>
                      <w:rFonts w:hint="default" w:ascii="Times New Roman"/>
                      <w:color w:val="auto"/>
                      <w:sz w:val="21"/>
                      <w:szCs w:val="21"/>
                      <w:vertAlign w:val="subscript"/>
                    </w:rPr>
                    <w:t>3</w:t>
                  </w:r>
                  <w:r>
                    <w:rPr>
                      <w:rFonts w:hint="default" w:ascii="Times New Roman"/>
                      <w:color w:val="auto"/>
                      <w:sz w:val="21"/>
                      <w:szCs w:val="21"/>
                    </w:rPr>
                    <w:t>-N</w:t>
                  </w:r>
                </w:p>
              </w:tc>
              <w:tc>
                <w:tcPr>
                  <w:tcW w:w="384" w:type="pct"/>
                  <w:noWrap w:val="0"/>
                  <w:vAlign w:val="center"/>
                </w:tcPr>
                <w:p w14:paraId="6675F8D3">
                  <w:pPr>
                    <w:pStyle w:val="42"/>
                    <w:keepNext w:val="0"/>
                    <w:keepLines w:val="0"/>
                    <w:suppressLineNumbers w:val="0"/>
                    <w:spacing w:before="24" w:beforeAutospacing="0" w:after="24" w:afterAutospacing="0" w:line="240" w:lineRule="auto"/>
                    <w:ind w:left="0" w:right="0"/>
                    <w:rPr>
                      <w:rFonts w:hint="default" w:ascii="Times New Roman"/>
                      <w:color w:val="auto"/>
                      <w:sz w:val="21"/>
                      <w:szCs w:val="21"/>
                    </w:rPr>
                  </w:pPr>
                  <w:r>
                    <w:rPr>
                      <w:rFonts w:hint="default" w:ascii="Times New Roman"/>
                      <w:color w:val="auto"/>
                      <w:sz w:val="21"/>
                      <w:szCs w:val="21"/>
                    </w:rPr>
                    <w:t>45</w:t>
                  </w:r>
                </w:p>
              </w:tc>
              <w:tc>
                <w:tcPr>
                  <w:tcW w:w="703" w:type="pct"/>
                  <w:noWrap w:val="0"/>
                  <w:vAlign w:val="center"/>
                </w:tcPr>
                <w:p w14:paraId="4488C5F9">
                  <w:pPr>
                    <w:pStyle w:val="42"/>
                    <w:keepNext w:val="0"/>
                    <w:keepLines w:val="0"/>
                    <w:suppressLineNumbers w:val="0"/>
                    <w:spacing w:before="24" w:beforeAutospacing="0" w:after="24" w:afterAutospacing="0" w:line="240" w:lineRule="auto"/>
                    <w:ind w:left="0" w:right="0"/>
                    <w:rPr>
                      <w:rFonts w:hint="default" w:ascii="Times New Roman" w:eastAsia="宋体"/>
                      <w:color w:val="000000" w:themeColor="text1"/>
                      <w:sz w:val="21"/>
                      <w:szCs w:val="21"/>
                      <w:lang w:val="en-US" w:eastAsia="zh-CN"/>
                      <w14:textFill>
                        <w14:solidFill>
                          <w14:schemeClr w14:val="tx1"/>
                        </w14:solidFill>
                      </w14:textFill>
                    </w:rPr>
                  </w:pPr>
                  <w:r>
                    <w:rPr>
                      <w:rFonts w:hint="eastAsia" w:ascii="Times New Roman"/>
                      <w:color w:val="000000" w:themeColor="text1"/>
                      <w:sz w:val="21"/>
                      <w:szCs w:val="21"/>
                      <w:lang w:val="en-US" w:eastAsia="zh-CN"/>
                      <w14:textFill>
                        <w14:solidFill>
                          <w14:schemeClr w14:val="tx1"/>
                        </w14:solidFill>
                      </w14:textFill>
                    </w:rPr>
                    <w:t>3（5）</w:t>
                  </w:r>
                </w:p>
              </w:tc>
            </w:tr>
            <w:tr w14:paraId="33251B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 w:type="pct"/>
                  <w:vMerge w:val="continue"/>
                  <w:noWrap w:val="0"/>
                  <w:vAlign w:val="center"/>
                </w:tcPr>
                <w:p w14:paraId="64C806B3">
                  <w:pPr>
                    <w:keepNext w:val="0"/>
                    <w:keepLines w:val="0"/>
                    <w:suppressLineNumbers w:val="0"/>
                    <w:snapToGrid w:val="0"/>
                    <w:spacing w:before="0" w:beforeAutospacing="0" w:after="0" w:afterAutospacing="0" w:line="240" w:lineRule="atLeast"/>
                    <w:ind w:left="0" w:right="0"/>
                    <w:jc w:val="center"/>
                    <w:rPr>
                      <w:rFonts w:hint="default"/>
                      <w:color w:val="auto"/>
                      <w:szCs w:val="21"/>
                    </w:rPr>
                  </w:pPr>
                </w:p>
              </w:tc>
              <w:tc>
                <w:tcPr>
                  <w:tcW w:w="370" w:type="pct"/>
                  <w:vMerge w:val="continue"/>
                  <w:noWrap w:val="0"/>
                  <w:vAlign w:val="center"/>
                </w:tcPr>
                <w:p w14:paraId="1F8BC326">
                  <w:pPr>
                    <w:keepNext w:val="0"/>
                    <w:keepLines w:val="0"/>
                    <w:suppressLineNumbers w:val="0"/>
                    <w:snapToGrid w:val="0"/>
                    <w:spacing w:before="0" w:beforeAutospacing="0" w:after="0" w:afterAutospacing="0" w:line="240" w:lineRule="atLeast"/>
                    <w:ind w:left="0" w:right="0"/>
                    <w:jc w:val="center"/>
                    <w:rPr>
                      <w:rFonts w:hint="default"/>
                      <w:color w:val="auto"/>
                      <w:szCs w:val="21"/>
                    </w:rPr>
                  </w:pPr>
                </w:p>
              </w:tc>
              <w:tc>
                <w:tcPr>
                  <w:tcW w:w="354" w:type="pct"/>
                  <w:vMerge w:val="continue"/>
                  <w:noWrap w:val="0"/>
                  <w:vAlign w:val="center"/>
                </w:tcPr>
                <w:p w14:paraId="4798581E">
                  <w:pPr>
                    <w:keepNext w:val="0"/>
                    <w:keepLines w:val="0"/>
                    <w:suppressLineNumbers w:val="0"/>
                    <w:snapToGrid w:val="0"/>
                    <w:spacing w:before="0" w:beforeAutospacing="0" w:after="0" w:afterAutospacing="0" w:line="240" w:lineRule="atLeast"/>
                    <w:ind w:left="0" w:right="0"/>
                    <w:jc w:val="center"/>
                    <w:rPr>
                      <w:rFonts w:hint="default"/>
                      <w:color w:val="auto"/>
                      <w:szCs w:val="21"/>
                    </w:rPr>
                  </w:pPr>
                </w:p>
              </w:tc>
              <w:tc>
                <w:tcPr>
                  <w:tcW w:w="341" w:type="pct"/>
                  <w:vMerge w:val="continue"/>
                  <w:noWrap w:val="0"/>
                  <w:vAlign w:val="center"/>
                </w:tcPr>
                <w:p w14:paraId="02A43D7C">
                  <w:pPr>
                    <w:keepNext w:val="0"/>
                    <w:keepLines w:val="0"/>
                    <w:suppressLineNumbers w:val="0"/>
                    <w:snapToGrid w:val="0"/>
                    <w:spacing w:before="0" w:beforeAutospacing="0" w:after="0" w:afterAutospacing="0" w:line="240" w:lineRule="atLeast"/>
                    <w:ind w:left="0" w:right="0"/>
                    <w:jc w:val="center"/>
                    <w:rPr>
                      <w:rFonts w:hint="default"/>
                      <w:color w:val="auto"/>
                      <w:szCs w:val="21"/>
                    </w:rPr>
                  </w:pPr>
                </w:p>
              </w:tc>
              <w:tc>
                <w:tcPr>
                  <w:tcW w:w="479" w:type="pct"/>
                  <w:vMerge w:val="continue"/>
                  <w:noWrap w:val="0"/>
                  <w:vAlign w:val="center"/>
                </w:tcPr>
                <w:p w14:paraId="72C29AD8">
                  <w:pPr>
                    <w:keepNext w:val="0"/>
                    <w:keepLines w:val="0"/>
                    <w:widowControl/>
                    <w:suppressLineNumbers w:val="0"/>
                    <w:adjustRightInd w:val="0"/>
                    <w:snapToGrid w:val="0"/>
                    <w:spacing w:before="0" w:beforeAutospacing="0" w:after="0" w:afterAutospacing="0"/>
                    <w:ind w:left="0" w:right="0"/>
                    <w:jc w:val="center"/>
                    <w:rPr>
                      <w:rFonts w:hint="default"/>
                      <w:color w:val="auto"/>
                      <w:szCs w:val="21"/>
                    </w:rPr>
                  </w:pPr>
                </w:p>
              </w:tc>
              <w:tc>
                <w:tcPr>
                  <w:tcW w:w="496" w:type="pct"/>
                  <w:vMerge w:val="continue"/>
                  <w:noWrap w:val="0"/>
                  <w:vAlign w:val="center"/>
                </w:tcPr>
                <w:p w14:paraId="52ADE7B1">
                  <w:pPr>
                    <w:keepNext w:val="0"/>
                    <w:keepLines w:val="0"/>
                    <w:widowControl/>
                    <w:suppressLineNumbers w:val="0"/>
                    <w:adjustRightInd w:val="0"/>
                    <w:snapToGrid w:val="0"/>
                    <w:spacing w:before="0" w:beforeAutospacing="0" w:after="0" w:afterAutospacing="0"/>
                    <w:ind w:left="0" w:right="0"/>
                    <w:jc w:val="center"/>
                    <w:rPr>
                      <w:rFonts w:hint="default"/>
                      <w:color w:val="auto"/>
                      <w:szCs w:val="21"/>
                    </w:rPr>
                  </w:pPr>
                </w:p>
              </w:tc>
              <w:tc>
                <w:tcPr>
                  <w:tcW w:w="513" w:type="pct"/>
                  <w:vMerge w:val="continue"/>
                  <w:noWrap w:val="0"/>
                  <w:vAlign w:val="center"/>
                </w:tcPr>
                <w:p w14:paraId="0BC9C933">
                  <w:pPr>
                    <w:keepNext w:val="0"/>
                    <w:keepLines w:val="0"/>
                    <w:suppressLineNumbers w:val="0"/>
                    <w:snapToGrid w:val="0"/>
                    <w:spacing w:before="0" w:beforeAutospacing="0" w:after="0" w:afterAutospacing="0" w:line="240" w:lineRule="atLeast"/>
                    <w:ind w:left="0" w:right="0"/>
                    <w:jc w:val="center"/>
                    <w:rPr>
                      <w:rFonts w:hint="default"/>
                      <w:color w:val="auto"/>
                      <w:szCs w:val="21"/>
                    </w:rPr>
                  </w:pPr>
                </w:p>
              </w:tc>
              <w:tc>
                <w:tcPr>
                  <w:tcW w:w="392" w:type="pct"/>
                  <w:vMerge w:val="continue"/>
                  <w:noWrap w:val="0"/>
                  <w:vAlign w:val="center"/>
                </w:tcPr>
                <w:p w14:paraId="5F01ED57">
                  <w:pPr>
                    <w:keepNext w:val="0"/>
                    <w:keepLines w:val="0"/>
                    <w:suppressLineNumbers w:val="0"/>
                    <w:snapToGrid w:val="0"/>
                    <w:spacing w:before="0" w:beforeAutospacing="0" w:after="0" w:afterAutospacing="0" w:line="240" w:lineRule="atLeast"/>
                    <w:ind w:left="0" w:right="0"/>
                    <w:jc w:val="center"/>
                    <w:rPr>
                      <w:rFonts w:hint="default"/>
                      <w:color w:val="auto"/>
                      <w:sz w:val="21"/>
                      <w:szCs w:val="21"/>
                    </w:rPr>
                  </w:pPr>
                </w:p>
              </w:tc>
              <w:tc>
                <w:tcPr>
                  <w:tcW w:w="230" w:type="pct"/>
                  <w:vMerge w:val="continue"/>
                  <w:noWrap w:val="0"/>
                  <w:vAlign w:val="center"/>
                </w:tcPr>
                <w:p w14:paraId="031F8F59">
                  <w:pPr>
                    <w:keepNext w:val="0"/>
                    <w:keepLines w:val="0"/>
                    <w:suppressLineNumbers w:val="0"/>
                    <w:snapToGrid w:val="0"/>
                    <w:spacing w:before="0" w:beforeAutospacing="0" w:after="0" w:afterAutospacing="0" w:line="240" w:lineRule="atLeast"/>
                    <w:ind w:left="0" w:right="0"/>
                    <w:jc w:val="center"/>
                    <w:rPr>
                      <w:rFonts w:hint="default"/>
                      <w:color w:val="auto"/>
                      <w:sz w:val="21"/>
                      <w:szCs w:val="21"/>
                    </w:rPr>
                  </w:pPr>
                </w:p>
              </w:tc>
              <w:tc>
                <w:tcPr>
                  <w:tcW w:w="513" w:type="pct"/>
                  <w:noWrap w:val="0"/>
                  <w:vAlign w:val="center"/>
                </w:tcPr>
                <w:p w14:paraId="7A619C21">
                  <w:pPr>
                    <w:pStyle w:val="42"/>
                    <w:keepNext w:val="0"/>
                    <w:keepLines w:val="0"/>
                    <w:suppressLineNumbers w:val="0"/>
                    <w:spacing w:before="24" w:beforeAutospacing="0" w:after="24" w:afterAutospacing="0"/>
                    <w:ind w:left="0" w:right="0"/>
                    <w:rPr>
                      <w:rFonts w:hint="default" w:ascii="Times New Roman"/>
                      <w:color w:val="auto"/>
                      <w:sz w:val="21"/>
                      <w:szCs w:val="21"/>
                    </w:rPr>
                  </w:pPr>
                  <w:r>
                    <w:rPr>
                      <w:rFonts w:hint="default" w:ascii="Times New Roman"/>
                      <w:color w:val="auto"/>
                      <w:sz w:val="21"/>
                      <w:szCs w:val="21"/>
                    </w:rPr>
                    <w:t>TN</w:t>
                  </w:r>
                </w:p>
              </w:tc>
              <w:tc>
                <w:tcPr>
                  <w:tcW w:w="384" w:type="pct"/>
                  <w:noWrap w:val="0"/>
                  <w:vAlign w:val="center"/>
                </w:tcPr>
                <w:p w14:paraId="294E2F8E">
                  <w:pPr>
                    <w:pStyle w:val="42"/>
                    <w:keepNext w:val="0"/>
                    <w:keepLines w:val="0"/>
                    <w:suppressLineNumbers w:val="0"/>
                    <w:spacing w:before="24" w:beforeAutospacing="0" w:after="24" w:afterAutospacing="0" w:line="240" w:lineRule="auto"/>
                    <w:ind w:left="0" w:right="0"/>
                    <w:rPr>
                      <w:rFonts w:hint="default" w:ascii="Times New Roman"/>
                      <w:color w:val="auto"/>
                      <w:sz w:val="21"/>
                      <w:szCs w:val="21"/>
                    </w:rPr>
                  </w:pPr>
                  <w:r>
                    <w:rPr>
                      <w:rFonts w:hint="default" w:ascii="Times New Roman"/>
                      <w:color w:val="auto"/>
                      <w:sz w:val="21"/>
                      <w:szCs w:val="21"/>
                    </w:rPr>
                    <w:t>70</w:t>
                  </w:r>
                </w:p>
              </w:tc>
              <w:tc>
                <w:tcPr>
                  <w:tcW w:w="703" w:type="pct"/>
                  <w:noWrap w:val="0"/>
                  <w:vAlign w:val="center"/>
                </w:tcPr>
                <w:p w14:paraId="1FC25F07">
                  <w:pPr>
                    <w:pStyle w:val="42"/>
                    <w:keepNext w:val="0"/>
                    <w:keepLines w:val="0"/>
                    <w:suppressLineNumbers w:val="0"/>
                    <w:spacing w:before="24" w:beforeAutospacing="0" w:after="24" w:afterAutospacing="0" w:line="240" w:lineRule="auto"/>
                    <w:ind w:left="0" w:right="0"/>
                    <w:rPr>
                      <w:rFonts w:hint="default" w:ascii="Times New Roman" w:eastAsia="宋体"/>
                      <w:color w:val="000000" w:themeColor="text1"/>
                      <w:sz w:val="21"/>
                      <w:szCs w:val="21"/>
                      <w:lang w:val="en-US" w:eastAsia="zh-CN"/>
                      <w14:textFill>
                        <w14:solidFill>
                          <w14:schemeClr w14:val="tx1"/>
                        </w14:solidFill>
                      </w14:textFill>
                    </w:rPr>
                  </w:pPr>
                  <w:r>
                    <w:rPr>
                      <w:rFonts w:hint="eastAsia" w:ascii="Times New Roman"/>
                      <w:color w:val="000000" w:themeColor="text1"/>
                      <w:sz w:val="21"/>
                      <w:szCs w:val="21"/>
                      <w:lang w:val="en-US" w:eastAsia="zh-CN"/>
                      <w14:textFill>
                        <w14:solidFill>
                          <w14:schemeClr w14:val="tx1"/>
                        </w14:solidFill>
                      </w14:textFill>
                    </w:rPr>
                    <w:t>10（12）</w:t>
                  </w:r>
                </w:p>
              </w:tc>
            </w:tr>
            <w:tr w14:paraId="43895D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 w:type="pct"/>
                  <w:vMerge w:val="continue"/>
                  <w:noWrap w:val="0"/>
                  <w:vAlign w:val="center"/>
                </w:tcPr>
                <w:p w14:paraId="403D7952">
                  <w:pPr>
                    <w:keepNext w:val="0"/>
                    <w:keepLines w:val="0"/>
                    <w:suppressLineNumbers w:val="0"/>
                    <w:snapToGrid w:val="0"/>
                    <w:spacing w:before="0" w:beforeAutospacing="0" w:after="0" w:afterAutospacing="0" w:line="240" w:lineRule="atLeast"/>
                    <w:ind w:left="0" w:right="0"/>
                    <w:jc w:val="center"/>
                    <w:rPr>
                      <w:rFonts w:hint="default"/>
                      <w:color w:val="auto"/>
                      <w:szCs w:val="21"/>
                    </w:rPr>
                  </w:pPr>
                </w:p>
              </w:tc>
              <w:tc>
                <w:tcPr>
                  <w:tcW w:w="370" w:type="pct"/>
                  <w:vMerge w:val="continue"/>
                  <w:noWrap w:val="0"/>
                  <w:vAlign w:val="center"/>
                </w:tcPr>
                <w:p w14:paraId="72C1E4F8">
                  <w:pPr>
                    <w:keepNext w:val="0"/>
                    <w:keepLines w:val="0"/>
                    <w:suppressLineNumbers w:val="0"/>
                    <w:snapToGrid w:val="0"/>
                    <w:spacing w:before="0" w:beforeAutospacing="0" w:after="0" w:afterAutospacing="0" w:line="240" w:lineRule="atLeast"/>
                    <w:ind w:left="0" w:right="0"/>
                    <w:jc w:val="center"/>
                    <w:rPr>
                      <w:rFonts w:hint="default"/>
                      <w:color w:val="auto"/>
                      <w:szCs w:val="21"/>
                    </w:rPr>
                  </w:pPr>
                </w:p>
              </w:tc>
              <w:tc>
                <w:tcPr>
                  <w:tcW w:w="354" w:type="pct"/>
                  <w:vMerge w:val="continue"/>
                  <w:noWrap w:val="0"/>
                  <w:vAlign w:val="center"/>
                </w:tcPr>
                <w:p w14:paraId="0A9E72C6">
                  <w:pPr>
                    <w:keepNext w:val="0"/>
                    <w:keepLines w:val="0"/>
                    <w:suppressLineNumbers w:val="0"/>
                    <w:snapToGrid w:val="0"/>
                    <w:spacing w:before="0" w:beforeAutospacing="0" w:after="0" w:afterAutospacing="0" w:line="240" w:lineRule="atLeast"/>
                    <w:ind w:left="0" w:right="0"/>
                    <w:jc w:val="center"/>
                    <w:rPr>
                      <w:rFonts w:hint="default"/>
                      <w:color w:val="auto"/>
                      <w:szCs w:val="21"/>
                    </w:rPr>
                  </w:pPr>
                </w:p>
              </w:tc>
              <w:tc>
                <w:tcPr>
                  <w:tcW w:w="341" w:type="pct"/>
                  <w:vMerge w:val="continue"/>
                  <w:noWrap w:val="0"/>
                  <w:vAlign w:val="center"/>
                </w:tcPr>
                <w:p w14:paraId="023CA672">
                  <w:pPr>
                    <w:keepNext w:val="0"/>
                    <w:keepLines w:val="0"/>
                    <w:suppressLineNumbers w:val="0"/>
                    <w:snapToGrid w:val="0"/>
                    <w:spacing w:before="0" w:beforeAutospacing="0" w:after="0" w:afterAutospacing="0" w:line="240" w:lineRule="atLeast"/>
                    <w:ind w:left="0" w:right="0"/>
                    <w:jc w:val="center"/>
                    <w:rPr>
                      <w:rFonts w:hint="default"/>
                      <w:color w:val="auto"/>
                      <w:szCs w:val="21"/>
                    </w:rPr>
                  </w:pPr>
                </w:p>
              </w:tc>
              <w:tc>
                <w:tcPr>
                  <w:tcW w:w="479" w:type="pct"/>
                  <w:vMerge w:val="continue"/>
                  <w:noWrap w:val="0"/>
                  <w:vAlign w:val="center"/>
                </w:tcPr>
                <w:p w14:paraId="2B1A5327">
                  <w:pPr>
                    <w:keepNext w:val="0"/>
                    <w:keepLines w:val="0"/>
                    <w:widowControl/>
                    <w:suppressLineNumbers w:val="0"/>
                    <w:adjustRightInd w:val="0"/>
                    <w:snapToGrid w:val="0"/>
                    <w:spacing w:before="0" w:beforeAutospacing="0" w:after="0" w:afterAutospacing="0"/>
                    <w:ind w:left="0" w:right="0"/>
                    <w:jc w:val="center"/>
                    <w:rPr>
                      <w:rFonts w:hint="default"/>
                      <w:color w:val="auto"/>
                      <w:szCs w:val="21"/>
                    </w:rPr>
                  </w:pPr>
                </w:p>
              </w:tc>
              <w:tc>
                <w:tcPr>
                  <w:tcW w:w="496" w:type="pct"/>
                  <w:vMerge w:val="continue"/>
                  <w:noWrap w:val="0"/>
                  <w:vAlign w:val="center"/>
                </w:tcPr>
                <w:p w14:paraId="0F250D58">
                  <w:pPr>
                    <w:keepNext w:val="0"/>
                    <w:keepLines w:val="0"/>
                    <w:widowControl/>
                    <w:suppressLineNumbers w:val="0"/>
                    <w:adjustRightInd w:val="0"/>
                    <w:snapToGrid w:val="0"/>
                    <w:spacing w:before="0" w:beforeAutospacing="0" w:after="0" w:afterAutospacing="0"/>
                    <w:ind w:left="0" w:right="0"/>
                    <w:jc w:val="center"/>
                    <w:rPr>
                      <w:rFonts w:hint="default"/>
                      <w:color w:val="auto"/>
                      <w:szCs w:val="21"/>
                    </w:rPr>
                  </w:pPr>
                </w:p>
              </w:tc>
              <w:tc>
                <w:tcPr>
                  <w:tcW w:w="513" w:type="pct"/>
                  <w:vMerge w:val="continue"/>
                  <w:noWrap w:val="0"/>
                  <w:vAlign w:val="center"/>
                </w:tcPr>
                <w:p w14:paraId="46BD0516">
                  <w:pPr>
                    <w:keepNext w:val="0"/>
                    <w:keepLines w:val="0"/>
                    <w:suppressLineNumbers w:val="0"/>
                    <w:snapToGrid w:val="0"/>
                    <w:spacing w:before="0" w:beforeAutospacing="0" w:after="0" w:afterAutospacing="0" w:line="240" w:lineRule="atLeast"/>
                    <w:ind w:left="0" w:right="0"/>
                    <w:jc w:val="center"/>
                    <w:rPr>
                      <w:rFonts w:hint="default"/>
                      <w:color w:val="auto"/>
                      <w:szCs w:val="21"/>
                    </w:rPr>
                  </w:pPr>
                </w:p>
              </w:tc>
              <w:tc>
                <w:tcPr>
                  <w:tcW w:w="392" w:type="pct"/>
                  <w:vMerge w:val="continue"/>
                  <w:noWrap w:val="0"/>
                  <w:vAlign w:val="center"/>
                </w:tcPr>
                <w:p w14:paraId="05A77B9F">
                  <w:pPr>
                    <w:keepNext w:val="0"/>
                    <w:keepLines w:val="0"/>
                    <w:suppressLineNumbers w:val="0"/>
                    <w:snapToGrid w:val="0"/>
                    <w:spacing w:before="0" w:beforeAutospacing="0" w:after="0" w:afterAutospacing="0" w:line="240" w:lineRule="atLeast"/>
                    <w:ind w:left="0" w:right="0"/>
                    <w:jc w:val="center"/>
                    <w:rPr>
                      <w:rFonts w:hint="default"/>
                      <w:color w:val="auto"/>
                      <w:sz w:val="21"/>
                      <w:szCs w:val="21"/>
                    </w:rPr>
                  </w:pPr>
                </w:p>
              </w:tc>
              <w:tc>
                <w:tcPr>
                  <w:tcW w:w="230" w:type="pct"/>
                  <w:vMerge w:val="continue"/>
                  <w:noWrap w:val="0"/>
                  <w:vAlign w:val="center"/>
                </w:tcPr>
                <w:p w14:paraId="7C44585A">
                  <w:pPr>
                    <w:keepNext w:val="0"/>
                    <w:keepLines w:val="0"/>
                    <w:suppressLineNumbers w:val="0"/>
                    <w:snapToGrid w:val="0"/>
                    <w:spacing w:before="0" w:beforeAutospacing="0" w:after="0" w:afterAutospacing="0" w:line="240" w:lineRule="atLeast"/>
                    <w:ind w:left="0" w:right="0"/>
                    <w:jc w:val="center"/>
                    <w:rPr>
                      <w:rFonts w:hint="default"/>
                      <w:color w:val="auto"/>
                      <w:sz w:val="21"/>
                      <w:szCs w:val="21"/>
                    </w:rPr>
                  </w:pPr>
                </w:p>
              </w:tc>
              <w:tc>
                <w:tcPr>
                  <w:tcW w:w="513" w:type="pct"/>
                  <w:noWrap w:val="0"/>
                  <w:vAlign w:val="center"/>
                </w:tcPr>
                <w:p w14:paraId="6AAE28CD">
                  <w:pPr>
                    <w:pStyle w:val="42"/>
                    <w:keepNext w:val="0"/>
                    <w:keepLines w:val="0"/>
                    <w:suppressLineNumbers w:val="0"/>
                    <w:spacing w:before="24" w:beforeAutospacing="0" w:after="24" w:afterAutospacing="0"/>
                    <w:ind w:left="0" w:right="0"/>
                    <w:rPr>
                      <w:rFonts w:hint="default" w:ascii="Times New Roman"/>
                      <w:color w:val="auto"/>
                      <w:sz w:val="21"/>
                      <w:szCs w:val="21"/>
                    </w:rPr>
                  </w:pPr>
                  <w:r>
                    <w:rPr>
                      <w:rFonts w:hint="default" w:ascii="Times New Roman"/>
                      <w:color w:val="auto"/>
                      <w:sz w:val="21"/>
                      <w:szCs w:val="21"/>
                    </w:rPr>
                    <w:t>TP</w:t>
                  </w:r>
                </w:p>
              </w:tc>
              <w:tc>
                <w:tcPr>
                  <w:tcW w:w="384" w:type="pct"/>
                  <w:noWrap w:val="0"/>
                  <w:vAlign w:val="center"/>
                </w:tcPr>
                <w:p w14:paraId="514611D8">
                  <w:pPr>
                    <w:pStyle w:val="42"/>
                    <w:keepNext w:val="0"/>
                    <w:keepLines w:val="0"/>
                    <w:suppressLineNumbers w:val="0"/>
                    <w:spacing w:before="24" w:beforeAutospacing="0" w:after="24" w:afterAutospacing="0" w:line="240" w:lineRule="auto"/>
                    <w:ind w:left="0" w:right="0"/>
                    <w:rPr>
                      <w:rFonts w:hint="default" w:ascii="Times New Roman"/>
                      <w:color w:val="auto"/>
                      <w:sz w:val="21"/>
                      <w:szCs w:val="21"/>
                    </w:rPr>
                  </w:pPr>
                  <w:r>
                    <w:rPr>
                      <w:rFonts w:hint="default" w:ascii="Times New Roman"/>
                      <w:color w:val="auto"/>
                      <w:sz w:val="21"/>
                      <w:szCs w:val="21"/>
                    </w:rPr>
                    <w:t>8</w:t>
                  </w:r>
                </w:p>
              </w:tc>
              <w:tc>
                <w:tcPr>
                  <w:tcW w:w="703" w:type="pct"/>
                  <w:noWrap w:val="0"/>
                  <w:vAlign w:val="center"/>
                </w:tcPr>
                <w:p w14:paraId="425CC914">
                  <w:pPr>
                    <w:pStyle w:val="42"/>
                    <w:keepNext w:val="0"/>
                    <w:keepLines w:val="0"/>
                    <w:suppressLineNumbers w:val="0"/>
                    <w:spacing w:before="24" w:beforeAutospacing="0" w:after="24" w:afterAutospacing="0" w:line="240" w:lineRule="auto"/>
                    <w:ind w:left="0" w:right="0"/>
                    <w:rPr>
                      <w:rFonts w:hint="eastAsia" w:ascii="Times New Roman" w:eastAsia="宋体"/>
                      <w:color w:val="000000" w:themeColor="text1"/>
                      <w:sz w:val="21"/>
                      <w:szCs w:val="21"/>
                      <w:lang w:eastAsia="zh-CN"/>
                      <w14:textFill>
                        <w14:solidFill>
                          <w14:schemeClr w14:val="tx1"/>
                        </w14:solidFill>
                      </w14:textFill>
                    </w:rPr>
                  </w:pPr>
                  <w:r>
                    <w:rPr>
                      <w:rFonts w:hint="default" w:ascii="Times New Roman"/>
                      <w:color w:val="000000" w:themeColor="text1"/>
                      <w:sz w:val="21"/>
                      <w:szCs w:val="21"/>
                      <w14:textFill>
                        <w14:solidFill>
                          <w14:schemeClr w14:val="tx1"/>
                        </w14:solidFill>
                      </w14:textFill>
                    </w:rPr>
                    <w:t>0.</w:t>
                  </w:r>
                  <w:r>
                    <w:rPr>
                      <w:rFonts w:hint="eastAsia" w:ascii="Times New Roman"/>
                      <w:color w:val="000000" w:themeColor="text1"/>
                      <w:sz w:val="21"/>
                      <w:szCs w:val="21"/>
                      <w:lang w:val="en-US" w:eastAsia="zh-CN"/>
                      <w14:textFill>
                        <w14:solidFill>
                          <w14:schemeClr w14:val="tx1"/>
                        </w14:solidFill>
                      </w14:textFill>
                    </w:rPr>
                    <w:t>3</w:t>
                  </w:r>
                </w:p>
              </w:tc>
            </w:tr>
            <w:tr w14:paraId="79ADB7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 w:type="pct"/>
                  <w:vMerge w:val="continue"/>
                  <w:noWrap w:val="0"/>
                  <w:vAlign w:val="center"/>
                </w:tcPr>
                <w:p w14:paraId="364530EA">
                  <w:pPr>
                    <w:keepNext w:val="0"/>
                    <w:keepLines w:val="0"/>
                    <w:suppressLineNumbers w:val="0"/>
                    <w:snapToGrid w:val="0"/>
                    <w:spacing w:before="0" w:beforeAutospacing="0" w:after="0" w:afterAutospacing="0" w:line="240" w:lineRule="atLeast"/>
                    <w:ind w:left="0" w:right="0"/>
                    <w:jc w:val="center"/>
                    <w:rPr>
                      <w:rFonts w:hint="default"/>
                      <w:color w:val="auto"/>
                      <w:szCs w:val="21"/>
                    </w:rPr>
                  </w:pPr>
                </w:p>
              </w:tc>
              <w:tc>
                <w:tcPr>
                  <w:tcW w:w="370" w:type="pct"/>
                  <w:vMerge w:val="continue"/>
                  <w:noWrap w:val="0"/>
                  <w:vAlign w:val="center"/>
                </w:tcPr>
                <w:p w14:paraId="3903BBF1">
                  <w:pPr>
                    <w:keepNext w:val="0"/>
                    <w:keepLines w:val="0"/>
                    <w:suppressLineNumbers w:val="0"/>
                    <w:snapToGrid w:val="0"/>
                    <w:spacing w:before="0" w:beforeAutospacing="0" w:after="0" w:afterAutospacing="0" w:line="240" w:lineRule="atLeast"/>
                    <w:ind w:left="0" w:right="0"/>
                    <w:jc w:val="center"/>
                    <w:rPr>
                      <w:rFonts w:hint="default"/>
                      <w:color w:val="auto"/>
                      <w:szCs w:val="21"/>
                    </w:rPr>
                  </w:pPr>
                </w:p>
              </w:tc>
              <w:tc>
                <w:tcPr>
                  <w:tcW w:w="354" w:type="pct"/>
                  <w:vMerge w:val="continue"/>
                  <w:noWrap w:val="0"/>
                  <w:vAlign w:val="center"/>
                </w:tcPr>
                <w:p w14:paraId="4679C1B0">
                  <w:pPr>
                    <w:keepNext w:val="0"/>
                    <w:keepLines w:val="0"/>
                    <w:suppressLineNumbers w:val="0"/>
                    <w:snapToGrid w:val="0"/>
                    <w:spacing w:before="0" w:beforeAutospacing="0" w:after="0" w:afterAutospacing="0" w:line="240" w:lineRule="atLeast"/>
                    <w:ind w:left="0" w:right="0"/>
                    <w:jc w:val="center"/>
                    <w:rPr>
                      <w:rFonts w:hint="default"/>
                      <w:color w:val="auto"/>
                      <w:szCs w:val="21"/>
                    </w:rPr>
                  </w:pPr>
                </w:p>
              </w:tc>
              <w:tc>
                <w:tcPr>
                  <w:tcW w:w="341" w:type="pct"/>
                  <w:vMerge w:val="continue"/>
                  <w:noWrap w:val="0"/>
                  <w:vAlign w:val="center"/>
                </w:tcPr>
                <w:p w14:paraId="1ECF1BDC">
                  <w:pPr>
                    <w:keepNext w:val="0"/>
                    <w:keepLines w:val="0"/>
                    <w:suppressLineNumbers w:val="0"/>
                    <w:snapToGrid w:val="0"/>
                    <w:spacing w:before="0" w:beforeAutospacing="0" w:after="0" w:afterAutospacing="0" w:line="240" w:lineRule="atLeast"/>
                    <w:ind w:left="0" w:right="0"/>
                    <w:jc w:val="center"/>
                    <w:rPr>
                      <w:rFonts w:hint="default"/>
                      <w:color w:val="auto"/>
                      <w:szCs w:val="21"/>
                    </w:rPr>
                  </w:pPr>
                </w:p>
              </w:tc>
              <w:tc>
                <w:tcPr>
                  <w:tcW w:w="479" w:type="pct"/>
                  <w:vMerge w:val="continue"/>
                  <w:noWrap w:val="0"/>
                  <w:vAlign w:val="center"/>
                </w:tcPr>
                <w:p w14:paraId="2F8B11D8">
                  <w:pPr>
                    <w:keepNext w:val="0"/>
                    <w:keepLines w:val="0"/>
                    <w:widowControl/>
                    <w:suppressLineNumbers w:val="0"/>
                    <w:adjustRightInd w:val="0"/>
                    <w:snapToGrid w:val="0"/>
                    <w:spacing w:before="0" w:beforeAutospacing="0" w:after="0" w:afterAutospacing="0"/>
                    <w:ind w:left="0" w:right="0"/>
                    <w:jc w:val="center"/>
                    <w:rPr>
                      <w:rFonts w:hint="default"/>
                      <w:color w:val="auto"/>
                      <w:szCs w:val="21"/>
                    </w:rPr>
                  </w:pPr>
                </w:p>
              </w:tc>
              <w:tc>
                <w:tcPr>
                  <w:tcW w:w="496" w:type="pct"/>
                  <w:vMerge w:val="continue"/>
                  <w:noWrap w:val="0"/>
                  <w:vAlign w:val="center"/>
                </w:tcPr>
                <w:p w14:paraId="61E60488">
                  <w:pPr>
                    <w:keepNext w:val="0"/>
                    <w:keepLines w:val="0"/>
                    <w:widowControl/>
                    <w:suppressLineNumbers w:val="0"/>
                    <w:adjustRightInd w:val="0"/>
                    <w:snapToGrid w:val="0"/>
                    <w:spacing w:before="0" w:beforeAutospacing="0" w:after="0" w:afterAutospacing="0"/>
                    <w:ind w:left="0" w:right="0"/>
                    <w:jc w:val="center"/>
                    <w:rPr>
                      <w:rFonts w:hint="default"/>
                      <w:color w:val="auto"/>
                      <w:szCs w:val="21"/>
                    </w:rPr>
                  </w:pPr>
                </w:p>
              </w:tc>
              <w:tc>
                <w:tcPr>
                  <w:tcW w:w="513" w:type="pct"/>
                  <w:vMerge w:val="continue"/>
                  <w:noWrap w:val="0"/>
                  <w:vAlign w:val="center"/>
                </w:tcPr>
                <w:p w14:paraId="1403482F">
                  <w:pPr>
                    <w:keepNext w:val="0"/>
                    <w:keepLines w:val="0"/>
                    <w:suppressLineNumbers w:val="0"/>
                    <w:snapToGrid w:val="0"/>
                    <w:spacing w:before="0" w:beforeAutospacing="0" w:after="0" w:afterAutospacing="0" w:line="240" w:lineRule="atLeast"/>
                    <w:ind w:left="0" w:right="0"/>
                    <w:jc w:val="center"/>
                    <w:rPr>
                      <w:rFonts w:hint="default"/>
                      <w:color w:val="auto"/>
                      <w:szCs w:val="21"/>
                    </w:rPr>
                  </w:pPr>
                </w:p>
              </w:tc>
              <w:tc>
                <w:tcPr>
                  <w:tcW w:w="392" w:type="pct"/>
                  <w:vMerge w:val="continue"/>
                  <w:noWrap w:val="0"/>
                  <w:vAlign w:val="center"/>
                </w:tcPr>
                <w:p w14:paraId="0E6B61D7">
                  <w:pPr>
                    <w:keepNext w:val="0"/>
                    <w:keepLines w:val="0"/>
                    <w:suppressLineNumbers w:val="0"/>
                    <w:snapToGrid w:val="0"/>
                    <w:spacing w:before="0" w:beforeAutospacing="0" w:after="0" w:afterAutospacing="0" w:line="240" w:lineRule="atLeast"/>
                    <w:ind w:left="0" w:right="0"/>
                    <w:jc w:val="center"/>
                    <w:rPr>
                      <w:rFonts w:hint="default"/>
                      <w:color w:val="auto"/>
                      <w:sz w:val="21"/>
                      <w:szCs w:val="21"/>
                    </w:rPr>
                  </w:pPr>
                </w:p>
              </w:tc>
              <w:tc>
                <w:tcPr>
                  <w:tcW w:w="230" w:type="pct"/>
                  <w:vMerge w:val="continue"/>
                  <w:noWrap w:val="0"/>
                  <w:vAlign w:val="center"/>
                </w:tcPr>
                <w:p w14:paraId="4A1F1425">
                  <w:pPr>
                    <w:keepNext w:val="0"/>
                    <w:keepLines w:val="0"/>
                    <w:suppressLineNumbers w:val="0"/>
                    <w:snapToGrid w:val="0"/>
                    <w:spacing w:before="0" w:beforeAutospacing="0" w:after="0" w:afterAutospacing="0" w:line="240" w:lineRule="atLeast"/>
                    <w:ind w:left="0" w:right="0"/>
                    <w:jc w:val="center"/>
                    <w:rPr>
                      <w:rFonts w:hint="default"/>
                      <w:color w:val="auto"/>
                      <w:sz w:val="21"/>
                      <w:szCs w:val="21"/>
                    </w:rPr>
                  </w:pPr>
                </w:p>
              </w:tc>
              <w:tc>
                <w:tcPr>
                  <w:tcW w:w="513" w:type="pct"/>
                  <w:noWrap w:val="0"/>
                  <w:vAlign w:val="center"/>
                </w:tcPr>
                <w:p w14:paraId="22032403">
                  <w:pPr>
                    <w:pStyle w:val="42"/>
                    <w:keepNext w:val="0"/>
                    <w:keepLines w:val="0"/>
                    <w:suppressLineNumbers w:val="0"/>
                    <w:spacing w:before="24" w:beforeAutospacing="0" w:after="24" w:afterAutospacing="0"/>
                    <w:ind w:left="0" w:right="0"/>
                    <w:rPr>
                      <w:rFonts w:hint="default" w:ascii="Times New Roman" w:eastAsia="宋体"/>
                      <w:color w:val="auto"/>
                      <w:sz w:val="21"/>
                      <w:szCs w:val="21"/>
                      <w:lang w:val="en-US" w:eastAsia="zh-CN"/>
                    </w:rPr>
                  </w:pPr>
                  <w:r>
                    <w:rPr>
                      <w:rFonts w:hint="eastAsia" w:ascii="Times New Roman"/>
                      <w:color w:val="auto"/>
                      <w:sz w:val="21"/>
                      <w:szCs w:val="21"/>
                      <w:lang w:val="en-US" w:eastAsia="zh-CN"/>
                    </w:rPr>
                    <w:t>LAS</w:t>
                  </w:r>
                </w:p>
              </w:tc>
              <w:tc>
                <w:tcPr>
                  <w:tcW w:w="384" w:type="pct"/>
                  <w:noWrap w:val="0"/>
                  <w:vAlign w:val="center"/>
                </w:tcPr>
                <w:p w14:paraId="77951617">
                  <w:pPr>
                    <w:pStyle w:val="42"/>
                    <w:keepNext w:val="0"/>
                    <w:keepLines w:val="0"/>
                    <w:suppressLineNumbers w:val="0"/>
                    <w:spacing w:before="24" w:beforeAutospacing="0" w:after="24" w:afterAutospacing="0" w:line="240" w:lineRule="auto"/>
                    <w:ind w:left="0" w:right="0"/>
                    <w:rPr>
                      <w:rFonts w:hint="default" w:ascii="Times New Roman" w:eastAsia="宋体"/>
                      <w:color w:val="auto"/>
                      <w:sz w:val="21"/>
                      <w:szCs w:val="21"/>
                      <w:lang w:val="en-US" w:eastAsia="zh-CN"/>
                    </w:rPr>
                  </w:pPr>
                  <w:r>
                    <w:rPr>
                      <w:rFonts w:hint="eastAsia" w:ascii="Times New Roman"/>
                      <w:color w:val="auto"/>
                      <w:sz w:val="21"/>
                      <w:szCs w:val="21"/>
                      <w:lang w:val="en-US" w:eastAsia="zh-CN"/>
                    </w:rPr>
                    <w:t>20</w:t>
                  </w:r>
                </w:p>
              </w:tc>
              <w:tc>
                <w:tcPr>
                  <w:tcW w:w="703" w:type="pct"/>
                  <w:noWrap w:val="0"/>
                  <w:vAlign w:val="center"/>
                </w:tcPr>
                <w:p w14:paraId="1C44E88B">
                  <w:pPr>
                    <w:pStyle w:val="42"/>
                    <w:keepNext w:val="0"/>
                    <w:keepLines w:val="0"/>
                    <w:suppressLineNumbers w:val="0"/>
                    <w:spacing w:before="24" w:beforeAutospacing="0" w:after="24" w:afterAutospacing="0" w:line="240" w:lineRule="auto"/>
                    <w:ind w:left="0" w:right="0"/>
                    <w:rPr>
                      <w:rFonts w:hint="default" w:ascii="Times New Roman" w:eastAsia="宋体"/>
                      <w:color w:val="000000" w:themeColor="text1"/>
                      <w:sz w:val="21"/>
                      <w:szCs w:val="21"/>
                      <w:lang w:val="en-US" w:eastAsia="zh-CN"/>
                      <w14:textFill>
                        <w14:solidFill>
                          <w14:schemeClr w14:val="tx1"/>
                        </w14:solidFill>
                      </w14:textFill>
                    </w:rPr>
                  </w:pPr>
                  <w:r>
                    <w:rPr>
                      <w:rFonts w:hint="eastAsia" w:ascii="Times New Roman"/>
                      <w:color w:val="000000" w:themeColor="text1"/>
                      <w:sz w:val="21"/>
                      <w:szCs w:val="21"/>
                      <w:lang w:val="en-US" w:eastAsia="zh-CN"/>
                      <w14:textFill>
                        <w14:solidFill>
                          <w14:schemeClr w14:val="tx1"/>
                        </w14:solidFill>
                      </w14:textFill>
                    </w:rPr>
                    <w:t>0.5</w:t>
                  </w:r>
                </w:p>
              </w:tc>
            </w:tr>
          </w:tbl>
          <w:p w14:paraId="66649214">
            <w:pPr>
              <w:keepNext w:val="0"/>
              <w:keepLines w:val="0"/>
              <w:suppressLineNumbers w:val="0"/>
              <w:adjustRightInd w:val="0"/>
              <w:snapToGrid w:val="0"/>
              <w:spacing w:before="120" w:beforeLines="50" w:beforeAutospacing="0" w:after="0" w:afterAutospacing="0" w:line="360" w:lineRule="auto"/>
              <w:ind w:left="0" w:right="0" w:firstLine="482" w:firstLineChars="200"/>
              <w:jc w:val="left"/>
              <w:rPr>
                <w:rFonts w:hint="default"/>
                <w:b/>
                <w:bCs/>
                <w:color w:val="auto"/>
                <w:kern w:val="0"/>
                <w:sz w:val="24"/>
              </w:rPr>
            </w:pPr>
            <w:r>
              <w:rPr>
                <w:rFonts w:hint="default"/>
                <w:b/>
                <w:bCs/>
                <w:color w:val="auto"/>
                <w:kern w:val="0"/>
                <w:sz w:val="24"/>
              </w:rPr>
              <w:t>（3）水污染源监测计划</w:t>
            </w:r>
          </w:p>
          <w:p w14:paraId="68E1D001">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snapToGrid w:val="0"/>
                <w:color w:val="auto"/>
                <w:sz w:val="24"/>
              </w:rPr>
              <w:t>根据</w:t>
            </w:r>
            <w:r>
              <w:rPr>
                <w:rFonts w:hint="default"/>
                <w:color w:val="auto"/>
                <w:sz w:val="24"/>
              </w:rPr>
              <w:t>《排污单位自行监测技术指南 总则》（HJ819-2017），</w:t>
            </w:r>
            <w:r>
              <w:rPr>
                <w:rFonts w:hint="eastAsia"/>
                <w:color w:val="auto"/>
                <w:sz w:val="24"/>
                <w:lang w:eastAsia="zh-CN"/>
              </w:rPr>
              <w:t>废</w:t>
            </w:r>
            <w:r>
              <w:rPr>
                <w:rFonts w:hint="default"/>
                <w:color w:val="auto"/>
                <w:sz w:val="24"/>
              </w:rPr>
              <w:t>水污染源监测计划见</w:t>
            </w:r>
            <w:r>
              <w:rPr>
                <w:rFonts w:hint="eastAsia"/>
                <w:color w:val="auto"/>
                <w:sz w:val="24"/>
                <w:lang w:eastAsia="zh-CN"/>
              </w:rPr>
              <w:t>下表</w:t>
            </w:r>
            <w:r>
              <w:rPr>
                <w:rFonts w:hint="default"/>
                <w:snapToGrid w:val="0"/>
                <w:color w:val="auto"/>
                <w:kern w:val="0"/>
                <w:sz w:val="24"/>
              </w:rPr>
              <w:t>。</w:t>
            </w:r>
          </w:p>
          <w:p w14:paraId="35A073F2">
            <w:pPr>
              <w:pStyle w:val="24"/>
              <w:keepNext w:val="0"/>
              <w:keepLines w:val="0"/>
              <w:numPr>
                <w:ilvl w:val="0"/>
                <w:numId w:val="0"/>
              </w:numPr>
              <w:suppressLineNumbers w:val="0"/>
              <w:snapToGrid w:val="0"/>
              <w:spacing w:before="0" w:beforeAutospacing="0" w:after="0" w:afterAutospacing="0"/>
              <w:ind w:left="425" w:leftChars="0" w:right="0" w:hanging="425" w:firstLineChars="0"/>
              <w:jc w:val="center"/>
              <w:rPr>
                <w:rFonts w:hint="eastAsia" w:ascii="Times New Roman" w:hAnsi="Times New Roman" w:eastAsia="宋体" w:cs="Times New Roman"/>
                <w:b/>
                <w:bCs/>
              </w:rPr>
            </w:pPr>
            <w:r>
              <w:rPr>
                <w:rFonts w:hint="default" w:ascii="Times New Roman" w:hAnsi="Times New Roman" w:eastAsia="宋体" w:cs="Times New Roman"/>
                <w:b/>
                <w:bCs/>
                <w:kern w:val="0"/>
                <w:sz w:val="24"/>
                <w:szCs w:val="24"/>
                <w:lang w:val="en-US" w:eastAsia="zh-CN" w:bidi="ar-SA"/>
              </w:rPr>
              <w:t>表4-</w:t>
            </w:r>
            <w:r>
              <w:rPr>
                <w:rFonts w:hint="eastAsia" w:ascii="Times New Roman" w:hAnsi="Times New Roman" w:cs="Times New Roman"/>
                <w:b/>
                <w:bCs/>
                <w:kern w:val="0"/>
                <w:sz w:val="24"/>
                <w:szCs w:val="24"/>
                <w:lang w:val="en-US" w:eastAsia="zh-CN" w:bidi="ar-SA"/>
              </w:rPr>
              <w:t xml:space="preserve">9  </w:t>
            </w:r>
            <w:r>
              <w:rPr>
                <w:rFonts w:hint="eastAsia" w:ascii="Times New Roman" w:hAnsi="Times New Roman" w:eastAsia="宋体" w:cs="Times New Roman"/>
                <w:b/>
                <w:bCs/>
              </w:rPr>
              <w:t>废水污染源环境监测计划</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444"/>
              <w:gridCol w:w="1796"/>
              <w:gridCol w:w="1458"/>
              <w:gridCol w:w="3293"/>
            </w:tblGrid>
            <w:tr w14:paraId="6C8497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pct"/>
                  <w:noWrap w:val="0"/>
                  <w:tcMar>
                    <w:top w:w="0" w:type="dxa"/>
                    <w:left w:w="0" w:type="dxa"/>
                    <w:bottom w:w="0" w:type="dxa"/>
                    <w:right w:w="0" w:type="dxa"/>
                  </w:tcMar>
                  <w:vAlign w:val="center"/>
                </w:tcPr>
                <w:p w14:paraId="0FC53964">
                  <w:pPr>
                    <w:keepNext w:val="0"/>
                    <w:keepLines w:val="0"/>
                    <w:suppressLineNumbers w:val="0"/>
                    <w:adjustRightInd w:val="0"/>
                    <w:snapToGrid w:val="0"/>
                    <w:spacing w:before="0" w:beforeAutospacing="0" w:after="0" w:afterAutospacing="0"/>
                    <w:ind w:left="0" w:right="0"/>
                    <w:jc w:val="center"/>
                    <w:rPr>
                      <w:rFonts w:hint="default"/>
                      <w:b/>
                      <w:snapToGrid w:val="0"/>
                      <w:color w:val="auto"/>
                      <w:szCs w:val="21"/>
                    </w:rPr>
                  </w:pPr>
                  <w:r>
                    <w:rPr>
                      <w:rFonts w:hint="default"/>
                      <w:b/>
                      <w:bCs/>
                      <w:snapToGrid w:val="0"/>
                      <w:color w:val="auto"/>
                      <w:kern w:val="0"/>
                      <w:szCs w:val="21"/>
                    </w:rPr>
                    <w:t>监测位置</w:t>
                  </w:r>
                </w:p>
              </w:tc>
              <w:tc>
                <w:tcPr>
                  <w:tcW w:w="786" w:type="pct"/>
                  <w:noWrap w:val="0"/>
                  <w:tcMar>
                    <w:top w:w="0" w:type="dxa"/>
                    <w:left w:w="0" w:type="dxa"/>
                    <w:bottom w:w="0" w:type="dxa"/>
                    <w:right w:w="0" w:type="dxa"/>
                  </w:tcMar>
                  <w:vAlign w:val="center"/>
                </w:tcPr>
                <w:p w14:paraId="704525CA">
                  <w:pPr>
                    <w:keepNext w:val="0"/>
                    <w:keepLines w:val="0"/>
                    <w:suppressLineNumbers w:val="0"/>
                    <w:adjustRightInd w:val="0"/>
                    <w:snapToGrid w:val="0"/>
                    <w:spacing w:before="0" w:beforeAutospacing="0" w:after="0" w:afterAutospacing="0"/>
                    <w:ind w:left="0" w:right="0"/>
                    <w:jc w:val="center"/>
                    <w:rPr>
                      <w:rFonts w:hint="default"/>
                      <w:b/>
                      <w:snapToGrid w:val="0"/>
                      <w:color w:val="auto"/>
                      <w:szCs w:val="21"/>
                    </w:rPr>
                  </w:pPr>
                  <w:r>
                    <w:rPr>
                      <w:rFonts w:hint="default"/>
                      <w:b/>
                      <w:snapToGrid w:val="0"/>
                      <w:color w:val="auto"/>
                      <w:szCs w:val="21"/>
                    </w:rPr>
                    <w:t>排放口编号</w:t>
                  </w:r>
                </w:p>
              </w:tc>
              <w:tc>
                <w:tcPr>
                  <w:tcW w:w="978" w:type="pct"/>
                  <w:noWrap w:val="0"/>
                  <w:tcMar>
                    <w:top w:w="0" w:type="dxa"/>
                    <w:left w:w="0" w:type="dxa"/>
                    <w:bottom w:w="0" w:type="dxa"/>
                    <w:right w:w="0" w:type="dxa"/>
                  </w:tcMar>
                  <w:vAlign w:val="center"/>
                </w:tcPr>
                <w:p w14:paraId="2EEAA075">
                  <w:pPr>
                    <w:keepNext w:val="0"/>
                    <w:keepLines w:val="0"/>
                    <w:suppressLineNumbers w:val="0"/>
                    <w:adjustRightInd w:val="0"/>
                    <w:snapToGrid w:val="0"/>
                    <w:spacing w:before="0" w:beforeAutospacing="0" w:after="0" w:afterAutospacing="0"/>
                    <w:ind w:left="0" w:right="0"/>
                    <w:jc w:val="center"/>
                    <w:rPr>
                      <w:rFonts w:hint="default"/>
                      <w:b/>
                      <w:snapToGrid w:val="0"/>
                      <w:color w:val="auto"/>
                      <w:szCs w:val="21"/>
                    </w:rPr>
                  </w:pPr>
                  <w:r>
                    <w:rPr>
                      <w:rFonts w:hint="default"/>
                      <w:b/>
                      <w:snapToGrid w:val="0"/>
                      <w:color w:val="auto"/>
                      <w:szCs w:val="21"/>
                    </w:rPr>
                    <w:t>污染物名称</w:t>
                  </w:r>
                </w:p>
              </w:tc>
              <w:tc>
                <w:tcPr>
                  <w:tcW w:w="794" w:type="pct"/>
                  <w:noWrap w:val="0"/>
                  <w:tcMar>
                    <w:top w:w="0" w:type="dxa"/>
                    <w:left w:w="0" w:type="dxa"/>
                    <w:bottom w:w="0" w:type="dxa"/>
                    <w:right w:w="0" w:type="dxa"/>
                  </w:tcMar>
                  <w:vAlign w:val="center"/>
                </w:tcPr>
                <w:p w14:paraId="714C4C1B">
                  <w:pPr>
                    <w:keepNext w:val="0"/>
                    <w:keepLines w:val="0"/>
                    <w:suppressLineNumbers w:val="0"/>
                    <w:adjustRightInd w:val="0"/>
                    <w:snapToGrid w:val="0"/>
                    <w:spacing w:before="0" w:beforeAutospacing="0" w:after="0" w:afterAutospacing="0"/>
                    <w:ind w:left="0" w:right="0"/>
                    <w:jc w:val="center"/>
                    <w:rPr>
                      <w:rFonts w:hint="default"/>
                      <w:b/>
                      <w:snapToGrid w:val="0"/>
                      <w:color w:val="auto"/>
                      <w:szCs w:val="21"/>
                      <w:vertAlign w:val="superscript"/>
                    </w:rPr>
                  </w:pPr>
                  <w:r>
                    <w:rPr>
                      <w:rFonts w:hint="default"/>
                      <w:b/>
                      <w:snapToGrid w:val="0"/>
                      <w:color w:val="auto"/>
                      <w:szCs w:val="21"/>
                    </w:rPr>
                    <w:t>监测频次</w:t>
                  </w:r>
                </w:p>
              </w:tc>
              <w:tc>
                <w:tcPr>
                  <w:tcW w:w="1793" w:type="pct"/>
                  <w:noWrap w:val="0"/>
                  <w:tcMar>
                    <w:top w:w="0" w:type="dxa"/>
                    <w:left w:w="0" w:type="dxa"/>
                    <w:bottom w:w="0" w:type="dxa"/>
                    <w:right w:w="0" w:type="dxa"/>
                  </w:tcMar>
                  <w:vAlign w:val="center"/>
                </w:tcPr>
                <w:p w14:paraId="4D80D86E">
                  <w:pPr>
                    <w:keepNext w:val="0"/>
                    <w:keepLines w:val="0"/>
                    <w:suppressLineNumbers w:val="0"/>
                    <w:adjustRightInd w:val="0"/>
                    <w:snapToGrid w:val="0"/>
                    <w:spacing w:before="0" w:beforeAutospacing="0" w:after="0" w:afterAutospacing="0"/>
                    <w:ind w:left="0" w:right="0"/>
                    <w:jc w:val="center"/>
                    <w:rPr>
                      <w:rFonts w:hint="default"/>
                      <w:b/>
                      <w:snapToGrid w:val="0"/>
                      <w:color w:val="auto"/>
                      <w:szCs w:val="21"/>
                      <w:vertAlign w:val="superscript"/>
                    </w:rPr>
                  </w:pPr>
                  <w:r>
                    <w:rPr>
                      <w:rFonts w:hint="default"/>
                      <w:b/>
                      <w:snapToGrid w:val="0"/>
                      <w:color w:val="auto"/>
                      <w:szCs w:val="21"/>
                    </w:rPr>
                    <w:t>执行标准</w:t>
                  </w:r>
                </w:p>
              </w:tc>
            </w:tr>
            <w:tr w14:paraId="04E04F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pct"/>
                  <w:noWrap w:val="0"/>
                  <w:tcMar>
                    <w:top w:w="0" w:type="dxa"/>
                    <w:left w:w="0" w:type="dxa"/>
                    <w:bottom w:w="0" w:type="dxa"/>
                    <w:right w:w="0" w:type="dxa"/>
                  </w:tcMar>
                  <w:vAlign w:val="center"/>
                </w:tcPr>
                <w:p w14:paraId="043463FA">
                  <w:pPr>
                    <w:keepNext w:val="0"/>
                    <w:keepLines w:val="0"/>
                    <w:suppressLineNumbers w:val="0"/>
                    <w:adjustRightInd w:val="0"/>
                    <w:snapToGrid w:val="0"/>
                    <w:spacing w:before="0" w:beforeAutospacing="0" w:after="0" w:afterAutospacing="0"/>
                    <w:ind w:left="0" w:right="0"/>
                    <w:jc w:val="center"/>
                    <w:rPr>
                      <w:rFonts w:hint="default"/>
                      <w:snapToGrid w:val="0"/>
                      <w:color w:val="auto"/>
                      <w:szCs w:val="21"/>
                    </w:rPr>
                  </w:pPr>
                  <w:r>
                    <w:rPr>
                      <w:rFonts w:hint="default"/>
                      <w:snapToGrid w:val="0"/>
                      <w:color w:val="auto"/>
                      <w:szCs w:val="21"/>
                    </w:rPr>
                    <w:t>企业总排口</w:t>
                  </w:r>
                </w:p>
              </w:tc>
              <w:tc>
                <w:tcPr>
                  <w:tcW w:w="786" w:type="pct"/>
                  <w:noWrap w:val="0"/>
                  <w:tcMar>
                    <w:top w:w="0" w:type="dxa"/>
                    <w:left w:w="0" w:type="dxa"/>
                    <w:bottom w:w="0" w:type="dxa"/>
                    <w:right w:w="0" w:type="dxa"/>
                  </w:tcMar>
                  <w:vAlign w:val="center"/>
                </w:tcPr>
                <w:p w14:paraId="25639231">
                  <w:pPr>
                    <w:keepNext w:val="0"/>
                    <w:keepLines w:val="0"/>
                    <w:suppressLineNumbers w:val="0"/>
                    <w:adjustRightInd w:val="0"/>
                    <w:snapToGrid w:val="0"/>
                    <w:spacing w:before="0" w:beforeAutospacing="0" w:after="0" w:afterAutospacing="0"/>
                    <w:ind w:left="0" w:right="0"/>
                    <w:jc w:val="center"/>
                    <w:rPr>
                      <w:rFonts w:hint="default"/>
                      <w:snapToGrid w:val="0"/>
                      <w:color w:val="auto"/>
                      <w:szCs w:val="21"/>
                    </w:rPr>
                  </w:pPr>
                  <w:r>
                    <w:rPr>
                      <w:rFonts w:hint="default"/>
                      <w:snapToGrid w:val="0"/>
                      <w:color w:val="auto"/>
                      <w:szCs w:val="21"/>
                    </w:rPr>
                    <w:t>DW001</w:t>
                  </w:r>
                </w:p>
              </w:tc>
              <w:tc>
                <w:tcPr>
                  <w:tcW w:w="978" w:type="pct"/>
                  <w:noWrap w:val="0"/>
                  <w:tcMar>
                    <w:top w:w="0" w:type="dxa"/>
                    <w:left w:w="0" w:type="dxa"/>
                    <w:bottom w:w="0" w:type="dxa"/>
                    <w:right w:w="0" w:type="dxa"/>
                  </w:tcMar>
                  <w:vAlign w:val="center"/>
                </w:tcPr>
                <w:p w14:paraId="19AE53D3">
                  <w:pPr>
                    <w:keepNext w:val="0"/>
                    <w:keepLines w:val="0"/>
                    <w:suppressLineNumbers w:val="0"/>
                    <w:adjustRightInd w:val="0"/>
                    <w:snapToGrid w:val="0"/>
                    <w:spacing w:before="0" w:beforeAutospacing="0" w:after="0" w:afterAutospacing="0" w:line="320" w:lineRule="exact"/>
                    <w:ind w:left="0" w:right="0"/>
                    <w:jc w:val="center"/>
                    <w:rPr>
                      <w:rFonts w:hint="default" w:eastAsia="楷体_GB2312"/>
                      <w:color w:val="auto"/>
                      <w:szCs w:val="21"/>
                      <w:lang w:val="en-US" w:eastAsia="zh-CN"/>
                    </w:rPr>
                  </w:pPr>
                  <w:r>
                    <w:rPr>
                      <w:rFonts w:hint="default" w:eastAsia="楷体_GB2312"/>
                      <w:color w:val="auto"/>
                      <w:szCs w:val="21"/>
                    </w:rPr>
                    <w:t>pH</w:t>
                  </w:r>
                  <w:r>
                    <w:rPr>
                      <w:rFonts w:hint="eastAsia" w:eastAsia="楷体_GB2312"/>
                      <w:color w:val="auto"/>
                      <w:szCs w:val="21"/>
                    </w:rPr>
                    <w:t>、</w:t>
                  </w:r>
                  <w:r>
                    <w:rPr>
                      <w:rFonts w:hint="default" w:eastAsia="楷体_GB2312"/>
                      <w:color w:val="auto"/>
                      <w:szCs w:val="21"/>
                    </w:rPr>
                    <w:t>COD、SS、NH</w:t>
                  </w:r>
                  <w:r>
                    <w:rPr>
                      <w:rFonts w:hint="default" w:eastAsia="楷体_GB2312"/>
                      <w:color w:val="auto"/>
                      <w:szCs w:val="21"/>
                      <w:vertAlign w:val="subscript"/>
                    </w:rPr>
                    <w:t>3</w:t>
                  </w:r>
                  <w:r>
                    <w:rPr>
                      <w:rFonts w:hint="default" w:eastAsia="楷体_GB2312"/>
                      <w:color w:val="auto"/>
                      <w:szCs w:val="21"/>
                    </w:rPr>
                    <w:t>-N、TN、TP</w:t>
                  </w:r>
                  <w:r>
                    <w:rPr>
                      <w:rFonts w:hint="eastAsia" w:eastAsia="楷体_GB2312"/>
                      <w:color w:val="auto"/>
                      <w:szCs w:val="21"/>
                      <w:lang w:eastAsia="zh-CN"/>
                    </w:rPr>
                    <w:t>、</w:t>
                  </w:r>
                  <w:r>
                    <w:rPr>
                      <w:rFonts w:hint="eastAsia" w:eastAsia="楷体_GB2312"/>
                      <w:color w:val="auto"/>
                      <w:szCs w:val="21"/>
                      <w:lang w:val="en-US" w:eastAsia="zh-CN"/>
                    </w:rPr>
                    <w:t>LAS</w:t>
                  </w:r>
                </w:p>
              </w:tc>
              <w:tc>
                <w:tcPr>
                  <w:tcW w:w="794" w:type="pct"/>
                  <w:noWrap w:val="0"/>
                  <w:tcMar>
                    <w:top w:w="0" w:type="dxa"/>
                    <w:left w:w="0" w:type="dxa"/>
                    <w:bottom w:w="0" w:type="dxa"/>
                    <w:right w:w="0" w:type="dxa"/>
                  </w:tcMar>
                  <w:vAlign w:val="center"/>
                </w:tcPr>
                <w:p w14:paraId="418EA152">
                  <w:pPr>
                    <w:keepNext w:val="0"/>
                    <w:keepLines w:val="0"/>
                    <w:suppressLineNumbers w:val="0"/>
                    <w:adjustRightInd w:val="0"/>
                    <w:snapToGrid w:val="0"/>
                    <w:spacing w:before="0" w:beforeAutospacing="0" w:after="0" w:afterAutospacing="0"/>
                    <w:ind w:left="0" w:right="0"/>
                    <w:jc w:val="center"/>
                    <w:rPr>
                      <w:rFonts w:hint="default"/>
                      <w:snapToGrid w:val="0"/>
                      <w:color w:val="auto"/>
                      <w:szCs w:val="21"/>
                    </w:rPr>
                  </w:pPr>
                  <w:r>
                    <w:rPr>
                      <w:rFonts w:hint="default"/>
                      <w:snapToGrid w:val="0"/>
                      <w:color w:val="auto"/>
                      <w:szCs w:val="21"/>
                    </w:rPr>
                    <w:t>1次/年</w:t>
                  </w:r>
                </w:p>
              </w:tc>
              <w:tc>
                <w:tcPr>
                  <w:tcW w:w="1793" w:type="pct"/>
                  <w:noWrap w:val="0"/>
                  <w:tcMar>
                    <w:top w:w="0" w:type="dxa"/>
                    <w:left w:w="0" w:type="dxa"/>
                    <w:bottom w:w="0" w:type="dxa"/>
                    <w:right w:w="0" w:type="dxa"/>
                  </w:tcMar>
                  <w:vAlign w:val="center"/>
                </w:tcPr>
                <w:p w14:paraId="64A39DFF">
                  <w:pPr>
                    <w:keepNext w:val="0"/>
                    <w:keepLines w:val="0"/>
                    <w:suppressLineNumbers w:val="0"/>
                    <w:wordWrap w:val="0"/>
                    <w:adjustRightInd w:val="0"/>
                    <w:snapToGrid w:val="0"/>
                    <w:spacing w:before="0" w:beforeAutospacing="0" w:after="0" w:afterAutospacing="0"/>
                    <w:ind w:left="0" w:right="0"/>
                    <w:jc w:val="center"/>
                    <w:rPr>
                      <w:rFonts w:hint="default"/>
                      <w:snapToGrid w:val="0"/>
                      <w:color w:val="auto"/>
                      <w:szCs w:val="21"/>
                    </w:rPr>
                  </w:pPr>
                  <w:r>
                    <w:rPr>
                      <w:rFonts w:hint="default"/>
                      <w:snapToGrid w:val="0"/>
                      <w:color w:val="auto"/>
                      <w:szCs w:val="21"/>
                    </w:rPr>
                    <w:t>《污水综合排放标准》（GB8978-1996）表4中的三级标准和《污水排入城镇下水道水质标准》（GB/T31962-2015）表1</w:t>
                  </w:r>
                  <w:r>
                    <w:rPr>
                      <w:rFonts w:hint="eastAsia"/>
                      <w:snapToGrid w:val="0"/>
                      <w:color w:val="auto"/>
                      <w:szCs w:val="21"/>
                    </w:rPr>
                    <w:t>中A级</w:t>
                  </w:r>
                  <w:r>
                    <w:rPr>
                      <w:rFonts w:hint="default"/>
                      <w:snapToGrid w:val="0"/>
                      <w:color w:val="auto"/>
                      <w:szCs w:val="21"/>
                    </w:rPr>
                    <w:t>标准</w:t>
                  </w:r>
                </w:p>
              </w:tc>
            </w:tr>
          </w:tbl>
          <w:p w14:paraId="6C4D5C2F">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2" w:firstLineChars="200"/>
              <w:textAlignment w:val="auto"/>
              <w:rPr>
                <w:rFonts w:hint="default"/>
                <w:b/>
                <w:bCs/>
                <w:snapToGrid w:val="0"/>
                <w:color w:val="auto"/>
                <w:szCs w:val="28"/>
              </w:rPr>
            </w:pPr>
            <w:r>
              <w:rPr>
                <w:rFonts w:hint="default"/>
                <w:b/>
                <w:bCs/>
                <w:snapToGrid w:val="0"/>
                <w:color w:val="auto"/>
                <w:sz w:val="24"/>
              </w:rPr>
              <w:t>（</w:t>
            </w:r>
            <w:r>
              <w:rPr>
                <w:rFonts w:hint="eastAsia"/>
                <w:b/>
                <w:bCs/>
                <w:snapToGrid w:val="0"/>
                <w:color w:val="auto"/>
                <w:sz w:val="24"/>
                <w:lang w:val="en-US" w:eastAsia="zh-CN"/>
              </w:rPr>
              <w:t>4</w:t>
            </w:r>
            <w:r>
              <w:rPr>
                <w:rFonts w:hint="default"/>
                <w:b/>
                <w:bCs/>
                <w:snapToGrid w:val="0"/>
                <w:color w:val="auto"/>
                <w:sz w:val="24"/>
              </w:rPr>
              <w:t>）废水依托污水处理厂的可行性分析</w:t>
            </w:r>
          </w:p>
          <w:p w14:paraId="31363815">
            <w:pPr>
              <w:keepNext w:val="0"/>
              <w:keepLines w:val="0"/>
              <w:suppressLineNumbers w:val="0"/>
              <w:adjustRightInd w:val="0"/>
              <w:snapToGrid w:val="0"/>
              <w:spacing w:before="0" w:beforeAutospacing="0" w:after="0" w:afterAutospacing="0" w:line="360" w:lineRule="auto"/>
              <w:ind w:left="0" w:right="0" w:firstLine="493"/>
              <w:rPr>
                <w:rFonts w:hint="default"/>
                <w:color w:val="auto"/>
                <w:sz w:val="24"/>
                <w:highlight w:val="none"/>
              </w:rPr>
            </w:pPr>
            <w:r>
              <w:rPr>
                <w:rFonts w:hint="default"/>
                <w:color w:val="auto"/>
                <w:sz w:val="24"/>
                <w:highlight w:val="none"/>
              </w:rPr>
              <w:t>①接管处理能力分析</w:t>
            </w:r>
          </w:p>
          <w:p w14:paraId="2870C7E1">
            <w:pPr>
              <w:keepNext w:val="0"/>
              <w:keepLines w:val="0"/>
              <w:suppressLineNumbers w:val="0"/>
              <w:adjustRightInd w:val="0"/>
              <w:snapToGrid w:val="0"/>
              <w:spacing w:before="0" w:beforeAutospacing="0" w:after="0" w:afterAutospacing="0" w:line="360" w:lineRule="auto"/>
              <w:ind w:left="0" w:right="0" w:firstLine="493"/>
              <w:rPr>
                <w:rFonts w:hint="eastAsia"/>
                <w:color w:val="auto"/>
                <w:sz w:val="24"/>
                <w:highlight w:val="none"/>
              </w:rPr>
            </w:pPr>
            <w:r>
              <w:rPr>
                <w:rFonts w:hint="default"/>
                <w:color w:val="auto"/>
                <w:sz w:val="24"/>
                <w:highlight w:val="none"/>
              </w:rPr>
              <w:t>太湖新城污水处理厂位于无锡市经济技术开发区规划区域东侧、货运路以东、金桥路以南、红力路以北，大运河以西，位于华庄街道华联村，已经锡计资</w:t>
            </w:r>
            <w:r>
              <w:rPr>
                <w:rFonts w:hint="eastAsia"/>
                <w:color w:val="auto"/>
                <w:sz w:val="24"/>
                <w:highlight w:val="none"/>
                <w:lang w:eastAsia="zh-CN"/>
              </w:rPr>
              <w:t>〔2004〕42号</w:t>
            </w:r>
            <w:r>
              <w:rPr>
                <w:rFonts w:hint="default"/>
                <w:color w:val="auto"/>
                <w:sz w:val="24"/>
                <w:highlight w:val="none"/>
              </w:rPr>
              <w:t>文批准建设。太湖新城污水处理厂服务范围为：东到大运河，西至梅梁湖、大浮山脊线，南到太湖，北以梁塘河及五里湖为界，服务面积约127平方公里。太湖新城污水处理厂提标改造工程设计总规模仍为15万m</w:t>
            </w:r>
            <w:r>
              <w:rPr>
                <w:rFonts w:hint="default"/>
                <w:color w:val="auto"/>
                <w:sz w:val="24"/>
                <w:highlight w:val="none"/>
                <w:vertAlign w:val="superscript"/>
              </w:rPr>
              <w:t>3</w:t>
            </w:r>
            <w:r>
              <w:rPr>
                <w:rFonts w:hint="default"/>
                <w:color w:val="auto"/>
                <w:sz w:val="24"/>
                <w:highlight w:val="none"/>
              </w:rPr>
              <w:t>/d。一期提标改造工程设计规模为4万m</w:t>
            </w:r>
            <w:r>
              <w:rPr>
                <w:rFonts w:hint="default"/>
                <w:color w:val="auto"/>
                <w:sz w:val="24"/>
                <w:highlight w:val="none"/>
                <w:vertAlign w:val="superscript"/>
              </w:rPr>
              <w:t>3</w:t>
            </w:r>
            <w:r>
              <w:rPr>
                <w:rFonts w:hint="default"/>
                <w:color w:val="auto"/>
                <w:sz w:val="24"/>
                <w:highlight w:val="none"/>
              </w:rPr>
              <w:t>/d，二级处理采用多点进水改良AAO工艺；污水深度处理采用V型滤池的微絮凝过滤工艺。二期提标改造工程设计规模为11万m</w:t>
            </w:r>
            <w:r>
              <w:rPr>
                <w:rFonts w:hint="default"/>
                <w:color w:val="auto"/>
                <w:sz w:val="24"/>
                <w:highlight w:val="none"/>
                <w:vertAlign w:val="superscript"/>
              </w:rPr>
              <w:t>3</w:t>
            </w:r>
            <w:r>
              <w:rPr>
                <w:rFonts w:hint="default"/>
                <w:color w:val="auto"/>
                <w:sz w:val="24"/>
                <w:highlight w:val="none"/>
              </w:rPr>
              <w:t>/d，二级处理采用多点进水改良AAO工艺；深度处理采用深床滤池的微絮凝过滤工艺。现太湖新城污水处理厂具有处理15万</w:t>
            </w:r>
            <w:r>
              <w:rPr>
                <w:rFonts w:hint="eastAsia"/>
                <w:color w:val="auto"/>
                <w:sz w:val="24"/>
                <w:highlight w:val="none"/>
              </w:rPr>
              <w:t>t</w:t>
            </w:r>
            <w:r>
              <w:rPr>
                <w:rFonts w:hint="default"/>
                <w:color w:val="auto"/>
                <w:sz w:val="24"/>
                <w:highlight w:val="none"/>
              </w:rPr>
              <w:t>/</w:t>
            </w:r>
            <w:r>
              <w:rPr>
                <w:rFonts w:hint="eastAsia"/>
                <w:color w:val="auto"/>
                <w:sz w:val="24"/>
                <w:highlight w:val="none"/>
              </w:rPr>
              <w:t>d</w:t>
            </w:r>
            <w:r>
              <w:rPr>
                <w:rFonts w:hint="default"/>
                <w:color w:val="auto"/>
                <w:sz w:val="24"/>
                <w:highlight w:val="none"/>
              </w:rPr>
              <w:t>的处理能力，目前太湖新城</w:t>
            </w:r>
            <w:r>
              <w:rPr>
                <w:rFonts w:hint="eastAsia"/>
                <w:color w:val="auto"/>
                <w:sz w:val="24"/>
                <w:highlight w:val="none"/>
                <w:lang w:eastAsia="zh-CN"/>
              </w:rPr>
              <w:t>污</w:t>
            </w:r>
            <w:r>
              <w:rPr>
                <w:rFonts w:hint="default"/>
                <w:color w:val="auto"/>
                <w:sz w:val="24"/>
                <w:highlight w:val="none"/>
              </w:rPr>
              <w:t>水处理厂已接纳污水量13.2万t/d，尚有处理余量1.8万t/d。本项目建成后，废水接入</w:t>
            </w:r>
            <w:r>
              <w:rPr>
                <w:rFonts w:hint="eastAsia"/>
                <w:color w:val="auto"/>
                <w:sz w:val="24"/>
                <w:highlight w:val="none"/>
                <w:lang w:eastAsia="zh-CN"/>
              </w:rPr>
              <w:t>太湖新城污水处理厂</w:t>
            </w:r>
            <w:r>
              <w:rPr>
                <w:rFonts w:hint="default"/>
                <w:color w:val="auto"/>
                <w:sz w:val="24"/>
                <w:highlight w:val="none"/>
              </w:rPr>
              <w:t>进行处理，</w:t>
            </w:r>
            <w:r>
              <w:rPr>
                <w:rFonts w:hint="eastAsia"/>
                <w:color w:val="auto"/>
                <w:sz w:val="24"/>
                <w:highlight w:val="none"/>
              </w:rPr>
              <w:t>接管废水量为</w:t>
            </w:r>
            <w:r>
              <w:rPr>
                <w:rFonts w:hint="eastAsia"/>
                <w:color w:val="auto"/>
                <w:sz w:val="24"/>
                <w:highlight w:val="none"/>
                <w:lang w:val="en-US" w:eastAsia="zh-CN"/>
              </w:rPr>
              <w:t>1890</w:t>
            </w:r>
            <w:r>
              <w:rPr>
                <w:rFonts w:hint="eastAsia"/>
                <w:color w:val="auto"/>
                <w:sz w:val="24"/>
                <w:highlight w:val="none"/>
              </w:rPr>
              <w:t>t/a，即</w:t>
            </w:r>
            <w:r>
              <w:rPr>
                <w:rFonts w:hint="eastAsia"/>
                <w:color w:val="auto"/>
                <w:sz w:val="24"/>
                <w:highlight w:val="none"/>
                <w:lang w:val="en-US" w:eastAsia="zh-CN"/>
              </w:rPr>
              <w:t>6.3</w:t>
            </w:r>
            <w:r>
              <w:rPr>
                <w:rFonts w:hint="eastAsia"/>
                <w:color w:val="auto"/>
                <w:sz w:val="24"/>
                <w:highlight w:val="none"/>
              </w:rPr>
              <w:t>t/d，在</w:t>
            </w:r>
            <w:r>
              <w:rPr>
                <w:rFonts w:hint="eastAsia"/>
                <w:color w:val="auto"/>
                <w:sz w:val="24"/>
                <w:highlight w:val="none"/>
                <w:lang w:eastAsia="zh-CN"/>
              </w:rPr>
              <w:t>太湖新城污水处理厂集中处理</w:t>
            </w:r>
            <w:r>
              <w:rPr>
                <w:rFonts w:hint="eastAsia"/>
                <w:color w:val="auto"/>
                <w:sz w:val="24"/>
                <w:highlight w:val="none"/>
              </w:rPr>
              <w:t>能力内。</w:t>
            </w:r>
          </w:p>
          <w:p w14:paraId="48ED0EF5">
            <w:pPr>
              <w:keepNext w:val="0"/>
              <w:keepLines w:val="0"/>
              <w:suppressLineNumbers w:val="0"/>
              <w:adjustRightInd w:val="0"/>
              <w:snapToGrid w:val="0"/>
              <w:spacing w:before="0" w:beforeAutospacing="0" w:after="0" w:afterAutospacing="0" w:line="360" w:lineRule="auto"/>
              <w:ind w:left="0" w:right="0" w:firstLine="493"/>
              <w:rPr>
                <w:rFonts w:hint="eastAsia"/>
                <w:color w:val="auto"/>
                <w:sz w:val="24"/>
                <w:highlight w:val="none"/>
              </w:rPr>
            </w:pPr>
            <w:r>
              <w:rPr>
                <w:rFonts w:hint="default"/>
                <w:color w:val="auto"/>
                <w:sz w:val="24"/>
                <w:highlight w:val="none"/>
              </w:rPr>
              <w:t>②</w:t>
            </w:r>
            <w:r>
              <w:rPr>
                <w:rFonts w:hint="eastAsia"/>
                <w:color w:val="auto"/>
                <w:sz w:val="24"/>
                <w:highlight w:val="none"/>
              </w:rPr>
              <w:t>处理工艺可行性分析</w:t>
            </w:r>
          </w:p>
          <w:p w14:paraId="10543443">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一期提标改造工程设计规模为4万m</w:t>
            </w:r>
            <w:r>
              <w:rPr>
                <w:rFonts w:hint="default"/>
                <w:color w:val="auto"/>
                <w:sz w:val="24"/>
                <w:highlight w:val="none"/>
                <w:vertAlign w:val="superscript"/>
              </w:rPr>
              <w:t>3</w:t>
            </w:r>
            <w:r>
              <w:rPr>
                <w:rFonts w:hint="default"/>
                <w:color w:val="auto"/>
                <w:sz w:val="24"/>
                <w:highlight w:val="none"/>
              </w:rPr>
              <w:t>/d，二级处理采用多点进水改良AAO工艺；污水深度处理采用V型滤池的微絮凝过滤工艺。二期提标改造工程设计规模为11万m</w:t>
            </w:r>
            <w:r>
              <w:rPr>
                <w:rFonts w:hint="default"/>
                <w:color w:val="auto"/>
                <w:sz w:val="24"/>
                <w:highlight w:val="none"/>
                <w:vertAlign w:val="superscript"/>
              </w:rPr>
              <w:t>3</w:t>
            </w:r>
            <w:r>
              <w:rPr>
                <w:rFonts w:hint="default"/>
                <w:color w:val="auto"/>
                <w:sz w:val="24"/>
                <w:highlight w:val="none"/>
              </w:rPr>
              <w:t>/d，二级处理采用多点进水改良AAO工艺；深度处理采用深床滤池的微絮凝过滤工艺。具体工艺流程如下图。</w:t>
            </w:r>
          </w:p>
          <w:p w14:paraId="27CEB3E6">
            <w:pPr>
              <w:keepNext w:val="0"/>
              <w:keepLines w:val="0"/>
              <w:suppressLineNumbers w:val="0"/>
              <w:spacing w:before="0" w:beforeAutospacing="0" w:after="0" w:afterAutospacing="0" w:line="324" w:lineRule="auto"/>
              <w:ind w:left="0" w:right="0"/>
              <w:jc w:val="center"/>
              <w:rPr>
                <w:rFonts w:hint="default"/>
                <w:color w:val="auto"/>
                <w:szCs w:val="21"/>
                <w:highlight w:val="none"/>
              </w:rPr>
            </w:pPr>
            <w:r>
              <w:rPr>
                <w:rFonts w:hint="default"/>
                <w:color w:val="auto"/>
                <w:szCs w:val="21"/>
                <w:highlight w:val="none"/>
              </w:rPr>
              <w:drawing>
                <wp:inline distT="0" distB="0" distL="114300" distR="114300">
                  <wp:extent cx="4067810" cy="2524760"/>
                  <wp:effectExtent l="0" t="0" r="8890" b="889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20"/>
                          <a:stretch>
                            <a:fillRect/>
                          </a:stretch>
                        </pic:blipFill>
                        <pic:spPr>
                          <a:xfrm>
                            <a:off x="0" y="0"/>
                            <a:ext cx="4067810" cy="2524760"/>
                          </a:xfrm>
                          <a:prstGeom prst="rect">
                            <a:avLst/>
                          </a:prstGeom>
                          <a:noFill/>
                          <a:ln>
                            <a:noFill/>
                          </a:ln>
                        </pic:spPr>
                      </pic:pic>
                    </a:graphicData>
                  </a:graphic>
                </wp:inline>
              </w:drawing>
            </w:r>
          </w:p>
          <w:p w14:paraId="0543652F">
            <w:pPr>
              <w:keepNext w:val="0"/>
              <w:keepLines w:val="0"/>
              <w:suppressLineNumbers w:val="0"/>
              <w:spacing w:before="0" w:beforeAutospacing="0" w:after="0" w:afterAutospacing="0" w:line="360" w:lineRule="auto"/>
              <w:ind w:left="0" w:right="0"/>
              <w:jc w:val="center"/>
              <w:rPr>
                <w:rFonts w:hint="default"/>
                <w:b/>
                <w:color w:val="auto"/>
                <w:szCs w:val="21"/>
                <w:highlight w:val="none"/>
              </w:rPr>
            </w:pPr>
            <w:r>
              <w:rPr>
                <w:rFonts w:hint="default"/>
                <w:b/>
                <w:color w:val="auto"/>
                <w:sz w:val="24"/>
                <w:szCs w:val="24"/>
                <w:highlight w:val="none"/>
              </w:rPr>
              <w:t>图</w:t>
            </w:r>
            <w:r>
              <w:rPr>
                <w:rFonts w:hint="eastAsia"/>
                <w:b/>
                <w:color w:val="auto"/>
                <w:sz w:val="24"/>
                <w:szCs w:val="24"/>
                <w:highlight w:val="none"/>
                <w:lang w:val="en-US" w:eastAsia="zh-CN"/>
              </w:rPr>
              <w:t>4</w:t>
            </w:r>
            <w:r>
              <w:rPr>
                <w:rFonts w:hint="default"/>
                <w:b/>
                <w:color w:val="auto"/>
                <w:sz w:val="24"/>
                <w:szCs w:val="24"/>
                <w:highlight w:val="none"/>
              </w:rPr>
              <w:t>-</w:t>
            </w:r>
            <w:r>
              <w:rPr>
                <w:rFonts w:hint="eastAsia"/>
                <w:b/>
                <w:color w:val="auto"/>
                <w:sz w:val="24"/>
                <w:szCs w:val="24"/>
                <w:highlight w:val="none"/>
                <w:lang w:val="en-US" w:eastAsia="zh-CN"/>
              </w:rPr>
              <w:t xml:space="preserve">2 </w:t>
            </w:r>
            <w:r>
              <w:rPr>
                <w:rFonts w:hint="default"/>
                <w:b/>
                <w:color w:val="auto"/>
                <w:sz w:val="24"/>
                <w:szCs w:val="24"/>
                <w:highlight w:val="none"/>
              </w:rPr>
              <w:t>太湖新城污水处理厂一期提标改造工程工艺流程图</w:t>
            </w:r>
          </w:p>
          <w:p w14:paraId="613DFF19">
            <w:pPr>
              <w:keepNext w:val="0"/>
              <w:keepLines w:val="0"/>
              <w:suppressLineNumbers w:val="0"/>
              <w:adjustRightInd w:val="0"/>
              <w:snapToGrid w:val="0"/>
              <w:spacing w:before="0" w:beforeAutospacing="0" w:after="0" w:afterAutospacing="0" w:line="360" w:lineRule="auto"/>
              <w:ind w:left="0" w:right="0"/>
              <w:jc w:val="center"/>
              <w:rPr>
                <w:rFonts w:hint="default"/>
                <w:color w:val="auto"/>
                <w:szCs w:val="21"/>
                <w:highlight w:val="none"/>
              </w:rPr>
            </w:pPr>
            <w:r>
              <w:rPr>
                <w:rFonts w:hint="default"/>
                <w:color w:val="auto"/>
                <w:szCs w:val="21"/>
                <w:highlight w:val="none"/>
              </w:rPr>
              <w:drawing>
                <wp:inline distT="0" distB="0" distL="114300" distR="114300">
                  <wp:extent cx="4171315" cy="2581910"/>
                  <wp:effectExtent l="0" t="0" r="635" b="889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21"/>
                          <a:stretch>
                            <a:fillRect/>
                          </a:stretch>
                        </pic:blipFill>
                        <pic:spPr>
                          <a:xfrm>
                            <a:off x="0" y="0"/>
                            <a:ext cx="4171315" cy="2581910"/>
                          </a:xfrm>
                          <a:prstGeom prst="rect">
                            <a:avLst/>
                          </a:prstGeom>
                          <a:noFill/>
                          <a:ln>
                            <a:noFill/>
                          </a:ln>
                        </pic:spPr>
                      </pic:pic>
                    </a:graphicData>
                  </a:graphic>
                </wp:inline>
              </w:drawing>
            </w:r>
          </w:p>
          <w:p w14:paraId="6F07AB3C">
            <w:pPr>
              <w:keepNext w:val="0"/>
              <w:keepLines w:val="0"/>
              <w:suppressLineNumbers w:val="0"/>
              <w:spacing w:before="0" w:beforeAutospacing="0" w:after="0" w:afterAutospacing="0" w:line="360" w:lineRule="auto"/>
              <w:ind w:left="0" w:right="0" w:firstLine="482" w:firstLineChars="200"/>
              <w:jc w:val="center"/>
              <w:rPr>
                <w:rFonts w:hint="default"/>
                <w:b/>
                <w:color w:val="auto"/>
                <w:sz w:val="24"/>
                <w:highlight w:val="none"/>
              </w:rPr>
            </w:pPr>
            <w:r>
              <w:rPr>
                <w:rFonts w:hint="default"/>
                <w:b/>
                <w:color w:val="auto"/>
                <w:sz w:val="24"/>
                <w:highlight w:val="none"/>
              </w:rPr>
              <w:t>图</w:t>
            </w:r>
            <w:r>
              <w:rPr>
                <w:rFonts w:hint="eastAsia"/>
                <w:b/>
                <w:color w:val="auto"/>
                <w:sz w:val="24"/>
                <w:highlight w:val="none"/>
                <w:lang w:val="en-US" w:eastAsia="zh-CN"/>
              </w:rPr>
              <w:t>4</w:t>
            </w:r>
            <w:r>
              <w:rPr>
                <w:rFonts w:hint="default"/>
                <w:b/>
                <w:color w:val="auto"/>
                <w:sz w:val="24"/>
                <w:highlight w:val="none"/>
              </w:rPr>
              <w:t>-</w:t>
            </w:r>
            <w:r>
              <w:rPr>
                <w:rFonts w:hint="eastAsia"/>
                <w:b/>
                <w:color w:val="auto"/>
                <w:sz w:val="24"/>
                <w:highlight w:val="none"/>
                <w:lang w:val="en-US" w:eastAsia="zh-CN"/>
              </w:rPr>
              <w:t xml:space="preserve">3 </w:t>
            </w:r>
            <w:r>
              <w:rPr>
                <w:rFonts w:hint="default"/>
                <w:b/>
                <w:color w:val="auto"/>
                <w:sz w:val="24"/>
                <w:highlight w:val="none"/>
              </w:rPr>
              <w:t>太湖新城污水处理厂二期提标改造工程工艺流程图</w:t>
            </w:r>
          </w:p>
          <w:p w14:paraId="174B1C52">
            <w:pPr>
              <w:keepNext w:val="0"/>
              <w:keepLines w:val="0"/>
              <w:suppressLineNumbers w:val="0"/>
              <w:adjustRightInd w:val="0"/>
              <w:snapToGrid w:val="0"/>
              <w:spacing w:before="0" w:beforeAutospacing="0" w:after="0" w:afterAutospacing="0" w:line="360" w:lineRule="auto"/>
              <w:ind w:left="0" w:right="0" w:firstLine="493"/>
              <w:rPr>
                <w:rFonts w:hint="eastAsia"/>
                <w:color w:val="auto"/>
                <w:sz w:val="24"/>
                <w:highlight w:val="none"/>
              </w:rPr>
            </w:pPr>
            <w:r>
              <w:rPr>
                <w:rFonts w:hint="default"/>
                <w:color w:val="auto"/>
                <w:sz w:val="24"/>
                <w:highlight w:val="none"/>
              </w:rPr>
              <w:t>该工艺具有处理效果稳定可靠，抗冲击负荷能力强，占地面积</w:t>
            </w:r>
            <w:r>
              <w:rPr>
                <w:rFonts w:hint="eastAsia"/>
                <w:color w:val="auto"/>
                <w:sz w:val="24"/>
                <w:highlight w:val="none"/>
                <w:lang w:eastAsia="zh-CN"/>
              </w:rPr>
              <w:t>少</w:t>
            </w:r>
            <w:r>
              <w:rPr>
                <w:rFonts w:hint="default"/>
                <w:color w:val="auto"/>
                <w:sz w:val="24"/>
                <w:highlight w:val="none"/>
              </w:rPr>
              <w:t>等优点</w:t>
            </w:r>
            <w:r>
              <w:rPr>
                <w:rFonts w:hint="eastAsia"/>
                <w:color w:val="auto"/>
                <w:sz w:val="24"/>
                <w:highlight w:val="none"/>
                <w:lang w:eastAsia="zh-CN"/>
              </w:rPr>
              <w:t>，</w:t>
            </w:r>
            <w:r>
              <w:rPr>
                <w:rFonts w:hint="eastAsia"/>
                <w:color w:val="auto"/>
                <w:sz w:val="24"/>
                <w:highlight w:val="none"/>
              </w:rPr>
              <w:t>可有效处理本项目接管废水。</w:t>
            </w:r>
          </w:p>
          <w:p w14:paraId="072F2661">
            <w:pPr>
              <w:keepNext w:val="0"/>
              <w:keepLines w:val="0"/>
              <w:suppressLineNumbers w:val="0"/>
              <w:adjustRightInd w:val="0"/>
              <w:snapToGrid w:val="0"/>
              <w:spacing w:before="0" w:beforeAutospacing="0" w:after="0" w:afterAutospacing="0" w:line="360" w:lineRule="auto"/>
              <w:ind w:left="0" w:right="0" w:firstLine="493"/>
              <w:rPr>
                <w:rFonts w:hint="default"/>
                <w:color w:val="auto"/>
                <w:sz w:val="24"/>
                <w:highlight w:val="none"/>
              </w:rPr>
            </w:pPr>
            <w:r>
              <w:rPr>
                <w:rFonts w:hint="default"/>
                <w:color w:val="auto"/>
                <w:sz w:val="24"/>
                <w:highlight w:val="none"/>
              </w:rPr>
              <w:t>③接管水质可行性分析</w:t>
            </w:r>
          </w:p>
          <w:p w14:paraId="4CEAA26C">
            <w:pPr>
              <w:keepNext w:val="0"/>
              <w:keepLines w:val="0"/>
              <w:suppressLineNumbers w:val="0"/>
              <w:adjustRightInd w:val="0"/>
              <w:snapToGrid w:val="0"/>
              <w:spacing w:before="0" w:beforeAutospacing="0" w:after="0" w:afterAutospacing="0" w:line="360" w:lineRule="auto"/>
              <w:ind w:left="0" w:right="0" w:firstLine="493"/>
              <w:rPr>
                <w:rFonts w:hint="default"/>
                <w:color w:val="auto"/>
                <w:sz w:val="24"/>
                <w:highlight w:val="none"/>
              </w:rPr>
            </w:pPr>
            <w:r>
              <w:rPr>
                <w:rFonts w:hint="default"/>
                <w:color w:val="auto"/>
                <w:sz w:val="24"/>
                <w:highlight w:val="none"/>
              </w:rPr>
              <w:t>太湖新城污水处理厂采用改良A</w:t>
            </w:r>
            <w:r>
              <w:rPr>
                <w:rFonts w:hint="default"/>
                <w:color w:val="auto"/>
                <w:sz w:val="24"/>
                <w:highlight w:val="none"/>
                <w:vertAlign w:val="superscript"/>
              </w:rPr>
              <w:t>2</w:t>
            </w:r>
            <w:r>
              <w:rPr>
                <w:rFonts w:hint="default"/>
                <w:color w:val="auto"/>
                <w:sz w:val="24"/>
                <w:highlight w:val="none"/>
              </w:rPr>
              <w:t>/O工艺，该工艺主要针对城市生活污水和生产废水的处理。本项目产生的污水主要为生活污水</w:t>
            </w:r>
            <w:r>
              <w:rPr>
                <w:rFonts w:hint="eastAsia"/>
                <w:color w:val="auto"/>
                <w:sz w:val="24"/>
                <w:highlight w:val="none"/>
                <w:lang w:eastAsia="zh-CN"/>
              </w:rPr>
              <w:t>、</w:t>
            </w:r>
            <w:r>
              <w:rPr>
                <w:rFonts w:hint="eastAsia"/>
                <w:color w:val="auto"/>
                <w:sz w:val="24"/>
                <w:highlight w:val="none"/>
                <w:lang w:val="en-US" w:eastAsia="zh-CN"/>
              </w:rPr>
              <w:t>淋浴废水、纯水制备浓水和水浴锅排水</w:t>
            </w:r>
            <w:r>
              <w:rPr>
                <w:rFonts w:hint="default"/>
                <w:color w:val="auto"/>
                <w:sz w:val="24"/>
                <w:highlight w:val="none"/>
              </w:rPr>
              <w:t>，经对无锡市生活污水的类比调查，生活污水水质较单一、稳定，均在太湖新城</w:t>
            </w:r>
            <w:r>
              <w:rPr>
                <w:rFonts w:hint="eastAsia"/>
                <w:color w:val="auto"/>
                <w:sz w:val="24"/>
                <w:highlight w:val="none"/>
                <w:lang w:eastAsia="zh-CN"/>
              </w:rPr>
              <w:t>污</w:t>
            </w:r>
            <w:r>
              <w:rPr>
                <w:rFonts w:hint="default"/>
                <w:color w:val="auto"/>
                <w:sz w:val="24"/>
                <w:highlight w:val="none"/>
              </w:rPr>
              <w:t>水处理厂的能力范围内，因此太湖新城</w:t>
            </w:r>
            <w:r>
              <w:rPr>
                <w:rFonts w:hint="eastAsia"/>
                <w:color w:val="auto"/>
                <w:sz w:val="24"/>
                <w:highlight w:val="none"/>
                <w:lang w:eastAsia="zh-CN"/>
              </w:rPr>
              <w:t>污</w:t>
            </w:r>
            <w:r>
              <w:rPr>
                <w:rFonts w:hint="default"/>
                <w:color w:val="auto"/>
                <w:sz w:val="24"/>
                <w:highlight w:val="none"/>
              </w:rPr>
              <w:t>水处理厂有能力接纳本项目产生的污水，建设项目不会对太湖新城</w:t>
            </w:r>
            <w:r>
              <w:rPr>
                <w:rFonts w:hint="eastAsia"/>
                <w:color w:val="auto"/>
                <w:sz w:val="24"/>
                <w:highlight w:val="none"/>
                <w:lang w:eastAsia="zh-CN"/>
              </w:rPr>
              <w:t>污</w:t>
            </w:r>
            <w:r>
              <w:rPr>
                <w:rFonts w:hint="default"/>
                <w:color w:val="auto"/>
                <w:sz w:val="24"/>
                <w:highlight w:val="none"/>
              </w:rPr>
              <w:t>水处理厂正常运行造成影响。</w:t>
            </w:r>
          </w:p>
          <w:p w14:paraId="3B58EDEB">
            <w:pPr>
              <w:keepNext w:val="0"/>
              <w:keepLines w:val="0"/>
              <w:suppressLineNumbers w:val="0"/>
              <w:adjustRightInd w:val="0"/>
              <w:snapToGrid w:val="0"/>
              <w:spacing w:before="0" w:beforeAutospacing="0" w:after="0" w:afterAutospacing="0" w:line="360" w:lineRule="auto"/>
              <w:ind w:left="0" w:right="0" w:firstLine="493"/>
              <w:rPr>
                <w:rFonts w:hint="default"/>
                <w:color w:val="auto"/>
                <w:sz w:val="24"/>
                <w:highlight w:val="none"/>
              </w:rPr>
            </w:pPr>
            <w:r>
              <w:rPr>
                <w:rFonts w:hint="eastAsia" w:ascii="宋体" w:hAnsi="宋体" w:cs="宋体"/>
                <w:color w:val="auto"/>
                <w:sz w:val="24"/>
                <w:highlight w:val="none"/>
              </w:rPr>
              <w:t>④</w:t>
            </w:r>
            <w:r>
              <w:rPr>
                <w:rFonts w:hint="default"/>
                <w:color w:val="auto"/>
                <w:sz w:val="24"/>
                <w:highlight w:val="none"/>
              </w:rPr>
              <w:t>接管的时空分析</w:t>
            </w:r>
          </w:p>
          <w:p w14:paraId="5B3A776A">
            <w:pPr>
              <w:keepNext w:val="0"/>
              <w:keepLines w:val="0"/>
              <w:suppressLineNumbers w:val="0"/>
              <w:adjustRightInd w:val="0"/>
              <w:snapToGrid w:val="0"/>
              <w:spacing w:before="0" w:beforeAutospacing="0" w:after="0" w:afterAutospacing="0" w:line="360" w:lineRule="auto"/>
              <w:ind w:left="0" w:right="0" w:firstLine="493"/>
              <w:rPr>
                <w:rFonts w:hint="default"/>
                <w:color w:val="auto"/>
                <w:sz w:val="24"/>
                <w:highlight w:val="none"/>
              </w:rPr>
            </w:pPr>
            <w:r>
              <w:rPr>
                <w:rFonts w:hint="default"/>
                <w:color w:val="auto"/>
                <w:sz w:val="24"/>
                <w:highlight w:val="none"/>
              </w:rPr>
              <w:t>目前太湖新城</w:t>
            </w:r>
            <w:r>
              <w:rPr>
                <w:rFonts w:hint="eastAsia"/>
                <w:color w:val="auto"/>
                <w:sz w:val="24"/>
                <w:highlight w:val="none"/>
                <w:lang w:eastAsia="zh-CN"/>
              </w:rPr>
              <w:t>污</w:t>
            </w:r>
            <w:r>
              <w:rPr>
                <w:rFonts w:hint="default"/>
                <w:color w:val="auto"/>
                <w:sz w:val="24"/>
                <w:highlight w:val="none"/>
              </w:rPr>
              <w:t>水处理厂污水管网已经铺设至菱湖大道，本项目产生的废水可通过厂内已建污水管网接入菱湖大道污水管网进入太湖新城</w:t>
            </w:r>
            <w:r>
              <w:rPr>
                <w:rFonts w:hint="eastAsia"/>
                <w:color w:val="auto"/>
                <w:sz w:val="24"/>
                <w:highlight w:val="none"/>
                <w:lang w:eastAsia="zh-CN"/>
              </w:rPr>
              <w:t>污</w:t>
            </w:r>
            <w:r>
              <w:rPr>
                <w:rFonts w:hint="default"/>
                <w:color w:val="auto"/>
                <w:sz w:val="24"/>
                <w:highlight w:val="none"/>
              </w:rPr>
              <w:t>水处理厂集中处理。因此，本项目建设地具备污水集中处理的环保基础设施，项目建成后所有污水能够顺利接入污水管网，由太湖新城</w:t>
            </w:r>
            <w:r>
              <w:rPr>
                <w:rFonts w:hint="eastAsia"/>
                <w:color w:val="auto"/>
                <w:sz w:val="24"/>
                <w:highlight w:val="none"/>
                <w:lang w:eastAsia="zh-CN"/>
              </w:rPr>
              <w:t>污</w:t>
            </w:r>
            <w:r>
              <w:rPr>
                <w:rFonts w:hint="default"/>
                <w:color w:val="auto"/>
                <w:sz w:val="24"/>
                <w:highlight w:val="none"/>
              </w:rPr>
              <w:t>水处理厂集中处理，不会对环境造成严重污染。</w:t>
            </w:r>
          </w:p>
          <w:p w14:paraId="5FE63519">
            <w:pPr>
              <w:keepNext w:val="0"/>
              <w:keepLines w:val="0"/>
              <w:suppressLineNumbers w:val="0"/>
              <w:snapToGrid w:val="0"/>
              <w:spacing w:before="0" w:beforeAutospacing="0" w:after="0" w:afterAutospacing="0" w:line="360" w:lineRule="auto"/>
              <w:ind w:left="0" w:right="0" w:firstLine="480" w:firstLineChars="200"/>
              <w:rPr>
                <w:rFonts w:hint="eastAsia"/>
                <w:color w:val="auto"/>
                <w:kern w:val="0"/>
                <w:sz w:val="24"/>
                <w:highlight w:val="none"/>
              </w:rPr>
            </w:pPr>
            <w:r>
              <w:rPr>
                <w:rFonts w:hint="eastAsia"/>
                <w:color w:val="auto"/>
                <w:kern w:val="0"/>
                <w:sz w:val="24"/>
                <w:highlight w:val="none"/>
              </w:rPr>
              <w:t>综上所述，从水质、水量、时间、空间等方面来看，本项目营运期产生的污水接入太湖新城</w:t>
            </w:r>
            <w:r>
              <w:rPr>
                <w:rFonts w:hint="eastAsia"/>
                <w:color w:val="auto"/>
                <w:kern w:val="0"/>
                <w:sz w:val="24"/>
                <w:highlight w:val="none"/>
                <w:lang w:eastAsia="zh-CN"/>
              </w:rPr>
              <w:t>污</w:t>
            </w:r>
            <w:r>
              <w:rPr>
                <w:rFonts w:hint="eastAsia"/>
                <w:color w:val="auto"/>
                <w:kern w:val="0"/>
                <w:sz w:val="24"/>
                <w:highlight w:val="none"/>
              </w:rPr>
              <w:t>水处理厂集中处理是切实可行的。</w:t>
            </w:r>
          </w:p>
          <w:p w14:paraId="61192D6B">
            <w:pPr>
              <w:keepNext w:val="0"/>
              <w:keepLines w:val="0"/>
              <w:suppressLineNumbers w:val="0"/>
              <w:snapToGrid w:val="0"/>
              <w:spacing w:before="0" w:beforeAutospacing="0" w:after="0" w:afterAutospacing="0" w:line="360" w:lineRule="auto"/>
              <w:ind w:left="0" w:right="0" w:firstLine="482" w:firstLineChars="200"/>
              <w:outlineLvl w:val="3"/>
              <w:rPr>
                <w:rFonts w:hint="default"/>
                <w:b/>
                <w:bCs/>
                <w:color w:val="auto"/>
                <w:kern w:val="0"/>
                <w:sz w:val="24"/>
                <w:highlight w:val="none"/>
              </w:rPr>
            </w:pPr>
            <w:r>
              <w:rPr>
                <w:rFonts w:hint="eastAsia"/>
                <w:b/>
                <w:bCs/>
                <w:color w:val="auto"/>
                <w:kern w:val="0"/>
                <w:sz w:val="24"/>
                <w:highlight w:val="none"/>
              </w:rPr>
              <w:t>（5）</w:t>
            </w:r>
            <w:r>
              <w:rPr>
                <w:rFonts w:hint="default"/>
                <w:b/>
                <w:bCs/>
                <w:color w:val="auto"/>
                <w:kern w:val="0"/>
                <w:sz w:val="24"/>
                <w:highlight w:val="none"/>
              </w:rPr>
              <w:t>地表水环境影响评价结论</w:t>
            </w:r>
          </w:p>
          <w:p w14:paraId="3E88C664">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highlight w:val="none"/>
              </w:rPr>
            </w:pPr>
            <w:r>
              <w:rPr>
                <w:rFonts w:hint="default"/>
                <w:color w:val="auto"/>
                <w:sz w:val="24"/>
                <w:highlight w:val="none"/>
              </w:rPr>
              <w:t>本项目位于受纳水体环境质量达标区域，</w:t>
            </w:r>
            <w:r>
              <w:rPr>
                <w:rFonts w:hint="eastAsia"/>
                <w:color w:val="auto"/>
                <w:sz w:val="24"/>
                <w:highlight w:val="none"/>
                <w:lang w:val="en-US" w:eastAsia="zh-CN"/>
              </w:rPr>
              <w:t>项目排水主要为纯水制备浓水、水浴锅排水和经化粪池处理后的员工生活污水、淋浴废水</w:t>
            </w:r>
            <w:r>
              <w:rPr>
                <w:rFonts w:hint="eastAsia"/>
                <w:color w:val="auto"/>
                <w:sz w:val="24"/>
                <w:szCs w:val="24"/>
                <w:highlight w:val="none"/>
                <w:lang w:eastAsia="zh-CN"/>
              </w:rPr>
              <w:t>，</w:t>
            </w:r>
            <w:r>
              <w:rPr>
                <w:rFonts w:hint="default"/>
                <w:color w:val="auto"/>
                <w:sz w:val="24"/>
                <w:highlight w:val="none"/>
              </w:rPr>
              <w:t>满足污水处理厂接管标准的要求，从水质水量、接管标准及建设进度等方面综合考虑，项目废水接管</w:t>
            </w:r>
            <w:r>
              <w:rPr>
                <w:rFonts w:hint="eastAsia"/>
                <w:color w:val="auto"/>
                <w:sz w:val="24"/>
                <w:highlight w:val="none"/>
                <w:lang w:eastAsia="zh-CN"/>
              </w:rPr>
              <w:t>太湖新城污水处理厂集中处理</w:t>
            </w:r>
            <w:r>
              <w:rPr>
                <w:rFonts w:hint="default"/>
                <w:color w:val="auto"/>
                <w:sz w:val="24"/>
                <w:highlight w:val="none"/>
              </w:rPr>
              <w:t>是可行的；经</w:t>
            </w:r>
            <w:r>
              <w:rPr>
                <w:rFonts w:hint="eastAsia"/>
                <w:color w:val="auto"/>
                <w:sz w:val="24"/>
                <w:highlight w:val="none"/>
                <w:lang w:eastAsia="zh-CN"/>
              </w:rPr>
              <w:t>太湖新城污水处理厂集中处理</w:t>
            </w:r>
            <w:r>
              <w:rPr>
                <w:rFonts w:hint="default"/>
                <w:color w:val="auto"/>
                <w:sz w:val="24"/>
                <w:highlight w:val="none"/>
              </w:rPr>
              <w:t>后尾水排入</w:t>
            </w:r>
            <w:r>
              <w:rPr>
                <w:rFonts w:hint="eastAsia"/>
                <w:color w:val="auto"/>
                <w:sz w:val="24"/>
                <w:highlight w:val="none"/>
                <w:lang w:eastAsia="zh-CN"/>
              </w:rPr>
              <w:t>京杭运河</w:t>
            </w:r>
            <w:r>
              <w:rPr>
                <w:rFonts w:hint="default"/>
                <w:color w:val="auto"/>
                <w:sz w:val="24"/>
                <w:highlight w:val="none"/>
              </w:rPr>
              <w:t>，由于各类水污染物排放浓度及排放量均较小，对周围水环境影响较小。因此，项目对地表水环境的影响可以接受。</w:t>
            </w:r>
          </w:p>
          <w:p w14:paraId="72B93696">
            <w:pPr>
              <w:keepNext w:val="0"/>
              <w:keepLines w:val="0"/>
              <w:pageBreakBefore w:val="0"/>
              <w:widowControl w:val="0"/>
              <w:numPr>
                <w:ilvl w:val="0"/>
                <w:numId w:val="0"/>
              </w:numPr>
              <w:suppressLineNumbers w:val="0"/>
              <w:kinsoku/>
              <w:wordWrap/>
              <w:overflowPunct/>
              <w:topLinePunct w:val="0"/>
              <w:autoSpaceDE w:val="0"/>
              <w:autoSpaceDN/>
              <w:bidi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kern w:val="2"/>
                <w:sz w:val="24"/>
                <w:szCs w:val="24"/>
                <w:highlight w:val="none"/>
                <w:lang w:val="en-US" w:eastAsia="zh-CN" w:bidi="ar-SA"/>
              </w:rPr>
              <w:t>3、</w:t>
            </w:r>
            <w:r>
              <w:rPr>
                <w:rFonts w:hint="default" w:ascii="Times New Roman" w:hAnsi="Times New Roman" w:eastAsia="宋体" w:cs="Times New Roman"/>
                <w:b/>
                <w:bCs/>
                <w:color w:val="auto"/>
                <w:sz w:val="24"/>
                <w:highlight w:val="none"/>
              </w:rPr>
              <w:t>噪声</w:t>
            </w:r>
          </w:p>
          <w:p w14:paraId="08F6D371">
            <w:pPr>
              <w:keepNext w:val="0"/>
              <w:keepLines w:val="0"/>
              <w:pageBreakBefore w:val="0"/>
              <w:widowControl w:val="0"/>
              <w:numPr>
                <w:ilvl w:val="0"/>
                <w:numId w:val="0"/>
              </w:numPr>
              <w:suppressLineNumbers w:val="0"/>
              <w:kinsoku/>
              <w:wordWrap/>
              <w:overflowPunct/>
              <w:topLinePunct w:val="0"/>
              <w:autoSpaceDE w:val="0"/>
              <w:autoSpaceDN/>
              <w:bidi w:val="0"/>
              <w:spacing w:before="0" w:beforeAutospacing="0" w:after="0" w:afterAutospacing="0" w:line="360" w:lineRule="auto"/>
              <w:ind w:left="0" w:right="0" w:firstLine="482" w:firstLineChars="200"/>
              <w:textAlignment w:val="auto"/>
              <w:rPr>
                <w:rFonts w:hint="eastAsia"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噪声源及降噪情况</w:t>
            </w:r>
          </w:p>
          <w:p w14:paraId="6FAE131E">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eastAsia" w:ascii="Times New Roman" w:hAnsi="Times New Roman" w:eastAsia="宋体"/>
                <w:color w:val="auto"/>
                <w:sz w:val="24"/>
                <w:szCs w:val="24"/>
                <w:highlight w:val="none"/>
                <w:lang w:eastAsia="zh-CN"/>
              </w:rPr>
            </w:pPr>
            <w:r>
              <w:rPr>
                <w:rFonts w:hint="eastAsia" w:ascii="Times New Roman" w:hAnsi="Times New Roman" w:eastAsia="宋体"/>
                <w:color w:val="auto"/>
                <w:sz w:val="24"/>
                <w:szCs w:val="24"/>
                <w:highlight w:val="none"/>
                <w:lang w:val="en-US" w:eastAsia="zh-CN"/>
              </w:rPr>
              <w:t>本项目主要的噪声源为</w:t>
            </w:r>
            <w:r>
              <w:rPr>
                <w:rFonts w:hint="eastAsia"/>
                <w:color w:val="auto"/>
                <w:sz w:val="24"/>
                <w:szCs w:val="24"/>
                <w:highlight w:val="none"/>
                <w:lang w:val="en-US" w:eastAsia="zh-CN"/>
              </w:rPr>
              <w:t>冰箱、离心机、生物安全柜、通风橱</w:t>
            </w:r>
            <w:r>
              <w:rPr>
                <w:rFonts w:hint="eastAsia" w:ascii="Times New Roman" w:hAnsi="Times New Roman" w:eastAsia="宋体"/>
                <w:color w:val="auto"/>
                <w:sz w:val="24"/>
                <w:szCs w:val="24"/>
                <w:highlight w:val="none"/>
                <w:lang w:val="en-US" w:eastAsia="zh-CN"/>
              </w:rPr>
              <w:t>以及</w:t>
            </w:r>
            <w:r>
              <w:rPr>
                <w:rFonts w:hint="eastAsia" w:ascii="Times New Roman" w:hAnsi="Times New Roman" w:eastAsia="宋体"/>
                <w:color w:val="auto"/>
                <w:sz w:val="24"/>
                <w:highlight w:val="none"/>
                <w:lang w:val="en-US" w:eastAsia="zh-CN"/>
              </w:rPr>
              <w:t>废气处理设施配套风机</w:t>
            </w:r>
            <w:r>
              <w:rPr>
                <w:rFonts w:hint="default" w:ascii="Times New Roman" w:hAnsi="Times New Roman" w:eastAsia="宋体"/>
                <w:color w:val="auto"/>
                <w:sz w:val="24"/>
                <w:highlight w:val="none"/>
              </w:rPr>
              <w:t>等</w:t>
            </w:r>
            <w:r>
              <w:rPr>
                <w:rFonts w:hint="eastAsia" w:ascii="Times New Roman" w:hAnsi="Times New Roman" w:eastAsia="宋体"/>
                <w:color w:val="auto"/>
                <w:sz w:val="24"/>
                <w:highlight w:val="none"/>
                <w:lang w:val="en-US" w:eastAsia="zh-CN"/>
              </w:rPr>
              <w:t>辅助设备</w:t>
            </w:r>
            <w:r>
              <w:rPr>
                <w:rFonts w:hint="default" w:ascii="Times New Roman" w:hAnsi="Times New Roman" w:eastAsia="宋体"/>
                <w:snapToGrid w:val="0"/>
                <w:color w:val="auto"/>
                <w:sz w:val="24"/>
                <w:highlight w:val="none"/>
              </w:rPr>
              <w:t>工作时产生的噪声</w:t>
            </w:r>
            <w:r>
              <w:rPr>
                <w:rFonts w:hint="eastAsia" w:ascii="Times New Roman" w:hAnsi="Times New Roman" w:eastAsia="宋体"/>
                <w:color w:val="auto"/>
                <w:sz w:val="24"/>
                <w:szCs w:val="24"/>
                <w:highlight w:val="none"/>
                <w:lang w:val="en-US" w:eastAsia="zh-CN"/>
              </w:rPr>
              <w:t>。</w:t>
            </w:r>
            <w:r>
              <w:rPr>
                <w:rFonts w:hint="eastAsia" w:ascii="Times New Roman" w:hAnsi="Times New Roman" w:eastAsia="宋体"/>
                <w:color w:val="auto"/>
                <w:sz w:val="24"/>
                <w:szCs w:val="24"/>
                <w:highlight w:val="none"/>
              </w:rPr>
              <w:t>针对本项目主要噪声源，</w:t>
            </w:r>
            <w:r>
              <w:rPr>
                <w:rFonts w:hint="default" w:ascii="Times New Roman" w:hAnsi="Times New Roman" w:eastAsia="宋体"/>
                <w:color w:val="auto"/>
                <w:sz w:val="24"/>
                <w:szCs w:val="24"/>
                <w:highlight w:val="none"/>
              </w:rPr>
              <w:t>建设单位拟采取以下降噪措施</w:t>
            </w:r>
            <w:r>
              <w:rPr>
                <w:rFonts w:hint="eastAsia" w:ascii="Times New Roman" w:hAnsi="Times New Roman" w:eastAsia="宋体"/>
                <w:color w:val="auto"/>
                <w:sz w:val="24"/>
                <w:szCs w:val="24"/>
                <w:highlight w:val="none"/>
                <w:lang w:eastAsia="zh-CN"/>
              </w:rPr>
              <w:t>：</w:t>
            </w:r>
          </w:p>
          <w:p w14:paraId="33A8E42D">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①控制设备噪声</w:t>
            </w:r>
          </w:p>
          <w:p w14:paraId="38317E14">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在设备选型时选用先进的低噪声设备</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在满足工艺设计的前提下，尽量选用满足国际标准的低噪声、低振动型号的设备，降低噪声源强。</w:t>
            </w:r>
          </w:p>
          <w:p w14:paraId="729B67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olor w:val="auto"/>
                <w:sz w:val="24"/>
                <w:szCs w:val="24"/>
                <w:highlight w:val="none"/>
              </w:rPr>
            </w:pPr>
            <w:r>
              <w:rPr>
                <w:rFonts w:hint="eastAsia" w:ascii="Times New Roman" w:hAnsi="Times New Roman" w:eastAsia="宋体" w:cs="宋体"/>
                <w:color w:val="auto"/>
                <w:sz w:val="24"/>
                <w:szCs w:val="24"/>
                <w:highlight w:val="none"/>
              </w:rPr>
              <w:t>②</w:t>
            </w:r>
            <w:r>
              <w:rPr>
                <w:rFonts w:hint="eastAsia" w:ascii="Times New Roman" w:hAnsi="Times New Roman" w:eastAsia="宋体" w:cs="宋体"/>
                <w:color w:val="auto"/>
                <w:sz w:val="24"/>
                <w:szCs w:val="24"/>
                <w:highlight w:val="none"/>
                <w:lang w:eastAsia="zh-CN"/>
              </w:rPr>
              <w:t>厂房隔声</w:t>
            </w:r>
            <w:r>
              <w:rPr>
                <w:rFonts w:hint="default" w:ascii="Times New Roman" w:hAnsi="Times New Roman" w:eastAsia="宋体"/>
                <w:color w:val="auto"/>
                <w:sz w:val="24"/>
                <w:szCs w:val="24"/>
                <w:highlight w:val="none"/>
              </w:rPr>
              <w:t>设备减振、消声器</w:t>
            </w:r>
          </w:p>
          <w:p w14:paraId="57AF4F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olor w:val="auto"/>
                <w:sz w:val="24"/>
                <w:szCs w:val="24"/>
                <w:highlight w:val="none"/>
                <w:lang w:eastAsia="zh-CN"/>
              </w:rPr>
            </w:pPr>
            <w:r>
              <w:rPr>
                <w:rFonts w:hint="default" w:ascii="Times New Roman" w:hAnsi="Times New Roman" w:eastAsia="宋体"/>
                <w:color w:val="auto"/>
                <w:sz w:val="24"/>
                <w:szCs w:val="24"/>
                <w:highlight w:val="none"/>
              </w:rPr>
              <w:t>车间墙体隔声为本项目主要噪声防治措施，一般性的生产性厂房隔音量为2</w:t>
            </w:r>
            <w:r>
              <w:rPr>
                <w:rFonts w:hint="eastAsia" w:ascii="Times New Roman" w:hAnsi="Times New Roman" w:eastAsia="宋体"/>
                <w:color w:val="auto"/>
                <w:sz w:val="24"/>
                <w:szCs w:val="24"/>
                <w:highlight w:val="none"/>
                <w:lang w:val="en-US" w:eastAsia="zh-CN"/>
              </w:rPr>
              <w:t>0</w:t>
            </w:r>
            <w:r>
              <w:rPr>
                <w:rFonts w:hint="default" w:ascii="Times New Roman" w:hAnsi="Times New Roman" w:eastAsia="宋体"/>
                <w:color w:val="auto"/>
                <w:sz w:val="24"/>
                <w:szCs w:val="24"/>
                <w:highlight w:val="none"/>
              </w:rPr>
              <w:t>dB(A)。</w:t>
            </w:r>
            <w:r>
              <w:rPr>
                <w:rFonts w:hint="eastAsia" w:ascii="Times New Roman" w:hAnsi="Times New Roman" w:eastAsia="宋体"/>
                <w:color w:val="auto"/>
                <w:sz w:val="24"/>
                <w:szCs w:val="24"/>
                <w:highlight w:val="none"/>
                <w:lang w:eastAsia="zh-CN"/>
              </w:rPr>
              <w:t>废气处理</w:t>
            </w:r>
            <w:r>
              <w:rPr>
                <w:rFonts w:hint="eastAsia" w:ascii="Times New Roman" w:hAnsi="Times New Roman" w:eastAsia="宋体"/>
                <w:color w:val="auto"/>
                <w:sz w:val="24"/>
                <w:szCs w:val="24"/>
                <w:highlight w:val="none"/>
              </w:rPr>
              <w:t>风机</w:t>
            </w:r>
            <w:r>
              <w:rPr>
                <w:rFonts w:hint="default" w:ascii="Times New Roman" w:hAnsi="Times New Roman" w:eastAsia="宋体"/>
                <w:color w:val="auto"/>
                <w:sz w:val="24"/>
                <w:szCs w:val="24"/>
                <w:highlight w:val="none"/>
              </w:rPr>
              <w:t>安装减震底座</w:t>
            </w:r>
            <w:r>
              <w:rPr>
                <w:rFonts w:hint="eastAsia" w:ascii="Times New Roman" w:hAnsi="Times New Roman" w:eastAsia="宋体"/>
                <w:color w:val="auto"/>
                <w:sz w:val="24"/>
                <w:szCs w:val="24"/>
                <w:highlight w:val="none"/>
                <w:lang w:eastAsia="zh-CN"/>
              </w:rPr>
              <w:t>，一般降噪</w:t>
            </w:r>
            <w:r>
              <w:rPr>
                <w:rFonts w:hint="eastAsia" w:ascii="Times New Roman" w:hAnsi="Times New Roman" w:eastAsia="宋体"/>
                <w:color w:val="auto"/>
                <w:sz w:val="24"/>
                <w:szCs w:val="24"/>
                <w:highlight w:val="none"/>
                <w:lang w:val="en-US" w:eastAsia="zh-CN"/>
              </w:rPr>
              <w:t>25</w:t>
            </w:r>
            <w:r>
              <w:rPr>
                <w:rFonts w:hint="default" w:ascii="Times New Roman" w:hAnsi="Times New Roman" w:eastAsia="宋体"/>
                <w:color w:val="auto"/>
                <w:sz w:val="24"/>
                <w:szCs w:val="24"/>
                <w:highlight w:val="none"/>
              </w:rPr>
              <w:t>dB(A)</w:t>
            </w:r>
            <w:r>
              <w:rPr>
                <w:rFonts w:hint="eastAsia" w:ascii="Times New Roman" w:hAnsi="Times New Roman" w:eastAsia="宋体"/>
                <w:color w:val="auto"/>
                <w:sz w:val="24"/>
                <w:szCs w:val="24"/>
                <w:highlight w:val="none"/>
                <w:lang w:eastAsia="zh-CN"/>
              </w:rPr>
              <w:t>。</w:t>
            </w:r>
          </w:p>
          <w:p w14:paraId="1C845403">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olor w:val="auto"/>
                <w:sz w:val="24"/>
                <w:szCs w:val="24"/>
                <w:highlight w:val="none"/>
              </w:rPr>
            </w:pPr>
            <w:r>
              <w:rPr>
                <w:rFonts w:hint="eastAsia" w:ascii="Times New Roman" w:hAnsi="Times New Roman" w:eastAsia="宋体" w:cs="宋体"/>
                <w:color w:val="auto"/>
                <w:sz w:val="24"/>
                <w:szCs w:val="24"/>
                <w:highlight w:val="none"/>
              </w:rPr>
              <w:t>③</w:t>
            </w:r>
            <w:r>
              <w:rPr>
                <w:rFonts w:hint="default" w:ascii="Times New Roman" w:hAnsi="Times New Roman" w:eastAsia="宋体"/>
                <w:color w:val="auto"/>
                <w:sz w:val="24"/>
                <w:szCs w:val="24"/>
                <w:highlight w:val="none"/>
              </w:rPr>
              <w:t>强化生产管理</w:t>
            </w:r>
          </w:p>
          <w:p w14:paraId="456B86B8">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确保各类防治措施有效运行，各设备均保持良好运行状态，防止突发噪声。</w:t>
            </w:r>
          </w:p>
          <w:p w14:paraId="717348D1">
            <w:pPr>
              <w:pStyle w:val="13"/>
              <w:keepNext w:val="0"/>
              <w:keepLines w:val="0"/>
              <w:pageBreakBefore w:val="0"/>
              <w:widowControl w:val="0"/>
              <w:numPr>
                <w:ilvl w:val="0"/>
                <w:numId w:val="0"/>
              </w:numPr>
              <w:suppressLineNumbers w:val="0"/>
              <w:tabs>
                <w:tab w:val="clear" w:pos="2040"/>
              </w:tabs>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ascii="Times New Roman" w:hAnsi="Times New Roman" w:eastAsia="宋体" w:cs="宋体"/>
                <w:b w:val="0"/>
                <w:bCs w:val="0"/>
                <w:color w:val="auto"/>
                <w:sz w:val="24"/>
                <w:szCs w:val="24"/>
                <w:highlight w:val="none"/>
                <w:lang w:val="en-US" w:eastAsia="zh-CN"/>
              </w:rPr>
            </w:pPr>
            <w:r>
              <w:rPr>
                <w:rFonts w:hint="default" w:ascii="Times New Roman" w:hAnsi="Times New Roman" w:eastAsia="宋体"/>
                <w:color w:val="auto"/>
                <w:sz w:val="24"/>
                <w:szCs w:val="24"/>
                <w:highlight w:val="none"/>
              </w:rPr>
              <w:t>综上所述，</w:t>
            </w:r>
            <w:r>
              <w:rPr>
                <w:rFonts w:hint="eastAsia" w:ascii="Times New Roman" w:hAnsi="Times New Roman" w:eastAsia="宋体"/>
                <w:color w:val="auto"/>
                <w:sz w:val="24"/>
                <w:szCs w:val="24"/>
                <w:highlight w:val="none"/>
              </w:rPr>
              <w:t>本项目噪声源</w:t>
            </w:r>
            <w:r>
              <w:rPr>
                <w:rFonts w:hint="default" w:ascii="Times New Roman" w:hAnsi="Times New Roman" w:eastAsia="宋体"/>
                <w:color w:val="auto"/>
                <w:sz w:val="24"/>
                <w:szCs w:val="24"/>
                <w:highlight w:val="none"/>
              </w:rPr>
              <w:t>采取上述降噪措施后，设计降噪量达</w:t>
            </w:r>
            <w:r>
              <w:rPr>
                <w:rFonts w:hint="eastAsia" w:ascii="Times New Roman" w:hAnsi="Times New Roman" w:eastAsia="宋体"/>
                <w:color w:val="auto"/>
                <w:sz w:val="24"/>
                <w:szCs w:val="24"/>
                <w:highlight w:val="none"/>
                <w:lang w:val="en-US" w:eastAsia="zh-CN"/>
              </w:rPr>
              <w:t>25</w:t>
            </w:r>
            <w:r>
              <w:rPr>
                <w:rFonts w:hint="default" w:ascii="Times New Roman" w:hAnsi="Times New Roman" w:eastAsia="宋体"/>
                <w:color w:val="auto"/>
                <w:sz w:val="24"/>
                <w:szCs w:val="24"/>
                <w:highlight w:val="none"/>
              </w:rPr>
              <w:t>dB(A)。建设项目</w:t>
            </w:r>
            <w:r>
              <w:rPr>
                <w:rFonts w:hint="eastAsia" w:ascii="Times New Roman" w:hAnsi="Times New Roman" w:eastAsia="宋体"/>
                <w:color w:val="auto"/>
                <w:sz w:val="24"/>
                <w:szCs w:val="24"/>
                <w:highlight w:val="none"/>
              </w:rPr>
              <w:t>主要噪声源强</w:t>
            </w:r>
            <w:r>
              <w:rPr>
                <w:rFonts w:hint="default" w:ascii="Times New Roman" w:hAnsi="Times New Roman" w:eastAsia="宋体"/>
                <w:color w:val="auto"/>
                <w:sz w:val="24"/>
                <w:szCs w:val="24"/>
                <w:highlight w:val="none"/>
              </w:rPr>
              <w:t>情况见表4-</w:t>
            </w:r>
            <w:r>
              <w:rPr>
                <w:rFonts w:hint="eastAsia" w:ascii="Times New Roman" w:hAnsi="Times New Roman" w:eastAsia="宋体"/>
                <w:color w:val="auto"/>
                <w:sz w:val="24"/>
                <w:szCs w:val="24"/>
                <w:highlight w:val="none"/>
                <w:lang w:val="en-US" w:eastAsia="zh-CN"/>
              </w:rPr>
              <w:t>17</w:t>
            </w:r>
            <w:r>
              <w:rPr>
                <w:rFonts w:hint="default" w:ascii="Times New Roman" w:hAnsi="Times New Roman" w:eastAsia="宋体"/>
                <w:color w:val="auto"/>
                <w:sz w:val="24"/>
                <w:szCs w:val="24"/>
                <w:highlight w:val="none"/>
              </w:rPr>
              <w:t>。</w:t>
            </w:r>
          </w:p>
        </w:tc>
      </w:tr>
    </w:tbl>
    <w:p w14:paraId="0B000437">
      <w:pPr>
        <w:pStyle w:val="13"/>
        <w:numPr>
          <w:ilvl w:val="0"/>
          <w:numId w:val="0"/>
        </w:numPr>
        <w:tabs>
          <w:tab w:val="clear" w:pos="2040"/>
        </w:tabs>
        <w:rPr>
          <w:rFonts w:ascii="Times New Roman" w:hAnsi="Times New Roman" w:eastAsia="宋体"/>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6"/>
        <w:tblW w:w="14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
        <w:gridCol w:w="13831"/>
      </w:tblGrid>
      <w:tr w14:paraId="03969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0" w:hRule="atLeast"/>
        </w:trPr>
        <w:tc>
          <w:tcPr>
            <w:tcW w:w="369" w:type="dxa"/>
          </w:tcPr>
          <w:p w14:paraId="04D6E7C8">
            <w:pPr>
              <w:pStyle w:val="13"/>
              <w:keepNext w:val="0"/>
              <w:keepLines w:val="0"/>
              <w:numPr>
                <w:ilvl w:val="0"/>
                <w:numId w:val="0"/>
              </w:numPr>
              <w:suppressLineNumbers w:val="0"/>
              <w:tabs>
                <w:tab w:val="clear" w:pos="2040"/>
              </w:tabs>
              <w:spacing w:before="0" w:beforeAutospacing="0" w:after="0" w:afterAutospacing="0"/>
              <w:ind w:left="0" w:right="0"/>
              <w:jc w:val="center"/>
              <w:rPr>
                <w:rFonts w:hint="default" w:ascii="Times New Roman" w:hAnsi="Times New Roman" w:eastAsia="宋体"/>
                <w:color w:val="auto"/>
                <w:vertAlign w:val="baseline"/>
              </w:rPr>
            </w:pPr>
          </w:p>
        </w:tc>
        <w:tc>
          <w:tcPr>
            <w:tcW w:w="13831" w:type="dxa"/>
          </w:tcPr>
          <w:p w14:paraId="28C399EA">
            <w:pPr>
              <w:pStyle w:val="47"/>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kern w:val="2"/>
                <w:sz w:val="24"/>
                <w:szCs w:val="24"/>
              </w:rPr>
            </w:pPr>
            <w:r>
              <w:rPr>
                <w:rFonts w:hint="default" w:ascii="Times New Roman" w:hAnsi="Times New Roman" w:eastAsia="宋体" w:cs="Times New Roman"/>
                <w:b/>
                <w:bCs/>
                <w:color w:val="auto"/>
                <w:kern w:val="2"/>
                <w:sz w:val="24"/>
                <w:szCs w:val="24"/>
                <w:lang w:val="en-US" w:eastAsia="zh-CN" w:bidi="ar-SA"/>
              </w:rPr>
              <w:t>表4-</w:t>
            </w:r>
            <w:r>
              <w:rPr>
                <w:rFonts w:hint="eastAsia" w:ascii="Times New Roman" w:hAnsi="Times New Roman" w:eastAsia="宋体" w:cs="Times New Roman"/>
                <w:b/>
                <w:bCs/>
                <w:color w:val="auto"/>
                <w:kern w:val="2"/>
                <w:sz w:val="24"/>
                <w:szCs w:val="24"/>
                <w:lang w:val="en-US" w:eastAsia="zh-CN" w:bidi="ar-SA"/>
              </w:rPr>
              <w:t xml:space="preserve">16  </w:t>
            </w:r>
            <w:r>
              <w:rPr>
                <w:rFonts w:hint="eastAsia" w:ascii="Times New Roman" w:hAnsi="Times New Roman" w:eastAsia="宋体" w:cs="Times New Roman"/>
                <w:b/>
                <w:bCs/>
                <w:color w:val="auto"/>
                <w:sz w:val="24"/>
                <w:szCs w:val="24"/>
                <w:highlight w:val="none"/>
                <w:lang w:val="en-US" w:eastAsia="zh-CN"/>
              </w:rPr>
              <w:t>工业企业噪声源强调查清单（室内声源）</w:t>
            </w:r>
          </w:p>
          <w:tbl>
            <w:tblPr>
              <w:tblStyle w:val="25"/>
              <w:tblW w:w="1367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27"/>
              <w:gridCol w:w="636"/>
              <w:gridCol w:w="1103"/>
              <w:gridCol w:w="865"/>
              <w:gridCol w:w="596"/>
              <w:gridCol w:w="1044"/>
              <w:gridCol w:w="636"/>
              <w:gridCol w:w="499"/>
              <w:gridCol w:w="498"/>
              <w:gridCol w:w="398"/>
              <w:gridCol w:w="426"/>
              <w:gridCol w:w="988"/>
              <w:gridCol w:w="803"/>
              <w:gridCol w:w="1285"/>
              <w:gridCol w:w="587"/>
              <w:gridCol w:w="894"/>
              <w:gridCol w:w="427"/>
              <w:gridCol w:w="933"/>
              <w:gridCol w:w="634"/>
            </w:tblGrid>
            <w:tr w14:paraId="519BE0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27" w:type="dxa"/>
                  <w:vMerge w:val="restart"/>
                  <w:tcBorders>
                    <w:bottom w:val="single" w:color="000000" w:sz="4" w:space="0"/>
                  </w:tcBorders>
                  <w:noWrap w:val="0"/>
                  <w:vAlign w:val="center"/>
                </w:tcPr>
                <w:p w14:paraId="3146F9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序号</w:t>
                  </w:r>
                </w:p>
              </w:tc>
              <w:tc>
                <w:tcPr>
                  <w:tcW w:w="636" w:type="dxa"/>
                  <w:vMerge w:val="restart"/>
                  <w:tcBorders>
                    <w:bottom w:val="single" w:color="000000" w:sz="4" w:space="0"/>
                  </w:tcBorders>
                  <w:noWrap w:val="0"/>
                  <w:vAlign w:val="center"/>
                </w:tcPr>
                <w:p w14:paraId="24D264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建筑物名称</w:t>
                  </w:r>
                </w:p>
              </w:tc>
              <w:tc>
                <w:tcPr>
                  <w:tcW w:w="1103" w:type="dxa"/>
                  <w:vMerge w:val="restart"/>
                  <w:tcBorders>
                    <w:bottom w:val="single" w:color="000000" w:sz="4" w:space="0"/>
                  </w:tcBorders>
                  <w:noWrap w:val="0"/>
                  <w:vAlign w:val="center"/>
                </w:tcPr>
                <w:p w14:paraId="2E192D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声源</w:t>
                  </w:r>
                </w:p>
                <w:p w14:paraId="4886CB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名称</w:t>
                  </w:r>
                </w:p>
              </w:tc>
              <w:tc>
                <w:tcPr>
                  <w:tcW w:w="865" w:type="dxa"/>
                  <w:vMerge w:val="restart"/>
                  <w:tcBorders>
                    <w:bottom w:val="single" w:color="000000" w:sz="4" w:space="0"/>
                  </w:tcBorders>
                  <w:noWrap w:val="0"/>
                  <w:vAlign w:val="center"/>
                </w:tcPr>
                <w:p w14:paraId="37BD10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型号</w:t>
                  </w:r>
                </w:p>
              </w:tc>
              <w:tc>
                <w:tcPr>
                  <w:tcW w:w="596" w:type="dxa"/>
                  <w:vMerge w:val="restart"/>
                  <w:tcBorders>
                    <w:bottom w:val="single" w:color="000000" w:sz="4" w:space="0"/>
                  </w:tcBorders>
                  <w:noWrap w:val="0"/>
                  <w:vAlign w:val="center"/>
                </w:tcPr>
                <w:p w14:paraId="190BC5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设备数量</w:t>
                  </w:r>
                </w:p>
              </w:tc>
              <w:tc>
                <w:tcPr>
                  <w:tcW w:w="1044" w:type="dxa"/>
                  <w:vMerge w:val="restart"/>
                  <w:tcBorders>
                    <w:bottom w:val="single" w:color="000000" w:sz="4" w:space="0"/>
                  </w:tcBorders>
                  <w:noWrap w:val="0"/>
                  <w:vAlign w:val="center"/>
                </w:tcPr>
                <w:p w14:paraId="1F6E65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单台声功率级/dB(A)</w:t>
                  </w:r>
                </w:p>
              </w:tc>
              <w:tc>
                <w:tcPr>
                  <w:tcW w:w="636" w:type="dxa"/>
                  <w:vMerge w:val="restart"/>
                  <w:tcBorders>
                    <w:bottom w:val="single" w:color="000000" w:sz="4" w:space="0"/>
                  </w:tcBorders>
                  <w:noWrap w:val="0"/>
                  <w:vAlign w:val="center"/>
                </w:tcPr>
                <w:p w14:paraId="43DE8B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声源控制措施</w:t>
                  </w:r>
                </w:p>
              </w:tc>
              <w:tc>
                <w:tcPr>
                  <w:tcW w:w="1395" w:type="dxa"/>
                  <w:gridSpan w:val="3"/>
                  <w:tcBorders>
                    <w:bottom w:val="single" w:color="000000" w:sz="4" w:space="0"/>
                  </w:tcBorders>
                  <w:noWrap w:val="0"/>
                  <w:vAlign w:val="center"/>
                </w:tcPr>
                <w:p w14:paraId="354CFC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空间相对位置</w:t>
                  </w:r>
                </w:p>
              </w:tc>
              <w:tc>
                <w:tcPr>
                  <w:tcW w:w="1414" w:type="dxa"/>
                  <w:gridSpan w:val="2"/>
                  <w:tcBorders>
                    <w:bottom w:val="single" w:color="000000" w:sz="4" w:space="0"/>
                  </w:tcBorders>
                  <w:noWrap w:val="0"/>
                  <w:vAlign w:val="center"/>
                </w:tcPr>
                <w:p w14:paraId="5C47FE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距室内边界距离/m</w:t>
                  </w:r>
                </w:p>
              </w:tc>
              <w:tc>
                <w:tcPr>
                  <w:tcW w:w="2088" w:type="dxa"/>
                  <w:gridSpan w:val="2"/>
                  <w:tcBorders>
                    <w:bottom w:val="single" w:color="000000" w:sz="4" w:space="0"/>
                  </w:tcBorders>
                  <w:noWrap/>
                  <w:vAlign w:val="center"/>
                </w:tcPr>
                <w:p w14:paraId="31DD24E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室内边界声级/dB(A)</w:t>
                  </w:r>
                </w:p>
              </w:tc>
              <w:tc>
                <w:tcPr>
                  <w:tcW w:w="587" w:type="dxa"/>
                  <w:vMerge w:val="restart"/>
                  <w:tcBorders>
                    <w:bottom w:val="single" w:color="000000" w:sz="4" w:space="0"/>
                  </w:tcBorders>
                  <w:noWrap w:val="0"/>
                  <w:vAlign w:val="center"/>
                </w:tcPr>
                <w:p w14:paraId="0049E1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运行</w:t>
                  </w:r>
                </w:p>
                <w:p w14:paraId="28991D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时段</w:t>
                  </w:r>
                </w:p>
              </w:tc>
              <w:tc>
                <w:tcPr>
                  <w:tcW w:w="894" w:type="dxa"/>
                  <w:vMerge w:val="restart"/>
                  <w:tcBorders>
                    <w:bottom w:val="single" w:color="000000" w:sz="4" w:space="0"/>
                  </w:tcBorders>
                  <w:noWrap w:val="0"/>
                  <w:vAlign w:val="center"/>
                </w:tcPr>
                <w:p w14:paraId="7E2162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建筑物插入损失/dB(A)</w:t>
                  </w:r>
                </w:p>
              </w:tc>
              <w:tc>
                <w:tcPr>
                  <w:tcW w:w="1994" w:type="dxa"/>
                  <w:gridSpan w:val="3"/>
                  <w:tcBorders>
                    <w:bottom w:val="single" w:color="000000" w:sz="4" w:space="0"/>
                  </w:tcBorders>
                  <w:noWrap w:val="0"/>
                  <w:vAlign w:val="center"/>
                </w:tcPr>
                <w:p w14:paraId="238286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建筑物外噪声</w:t>
                  </w:r>
                </w:p>
              </w:tc>
            </w:tr>
            <w:tr w14:paraId="54B44C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7" w:type="dxa"/>
                  <w:vMerge w:val="continue"/>
                  <w:tcBorders>
                    <w:top w:val="single" w:color="000000" w:sz="4" w:space="0"/>
                    <w:bottom w:val="single" w:color="000000" w:sz="4" w:space="0"/>
                  </w:tcBorders>
                  <w:noWrap w:val="0"/>
                  <w:vAlign w:val="center"/>
                </w:tcPr>
                <w:p w14:paraId="12E359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i w:val="0"/>
                      <w:iCs w:val="0"/>
                      <w:color w:val="auto"/>
                      <w:sz w:val="21"/>
                      <w:szCs w:val="21"/>
                      <w:highlight w:val="none"/>
                      <w:u w:val="none"/>
                    </w:rPr>
                  </w:pPr>
                </w:p>
              </w:tc>
              <w:tc>
                <w:tcPr>
                  <w:tcW w:w="636" w:type="dxa"/>
                  <w:vMerge w:val="continue"/>
                  <w:tcBorders>
                    <w:top w:val="single" w:color="000000" w:sz="4" w:space="0"/>
                    <w:bottom w:val="single" w:color="000000" w:sz="4" w:space="0"/>
                  </w:tcBorders>
                  <w:noWrap w:val="0"/>
                  <w:vAlign w:val="center"/>
                </w:tcPr>
                <w:p w14:paraId="19AA23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i w:val="0"/>
                      <w:iCs w:val="0"/>
                      <w:color w:val="auto"/>
                      <w:sz w:val="21"/>
                      <w:szCs w:val="21"/>
                      <w:highlight w:val="none"/>
                      <w:u w:val="none"/>
                    </w:rPr>
                  </w:pPr>
                </w:p>
              </w:tc>
              <w:tc>
                <w:tcPr>
                  <w:tcW w:w="1103" w:type="dxa"/>
                  <w:vMerge w:val="continue"/>
                  <w:tcBorders>
                    <w:top w:val="single" w:color="000000" w:sz="4" w:space="0"/>
                    <w:bottom w:val="single" w:color="000000" w:sz="4" w:space="0"/>
                  </w:tcBorders>
                  <w:noWrap w:val="0"/>
                  <w:vAlign w:val="center"/>
                </w:tcPr>
                <w:p w14:paraId="321A9C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i w:val="0"/>
                      <w:iCs w:val="0"/>
                      <w:color w:val="auto"/>
                      <w:sz w:val="21"/>
                      <w:szCs w:val="21"/>
                      <w:highlight w:val="none"/>
                      <w:u w:val="none"/>
                    </w:rPr>
                  </w:pPr>
                </w:p>
              </w:tc>
              <w:tc>
                <w:tcPr>
                  <w:tcW w:w="865" w:type="dxa"/>
                  <w:vMerge w:val="continue"/>
                  <w:tcBorders>
                    <w:top w:val="single" w:color="000000" w:sz="4" w:space="0"/>
                    <w:bottom w:val="single" w:color="000000" w:sz="4" w:space="0"/>
                  </w:tcBorders>
                  <w:noWrap w:val="0"/>
                  <w:vAlign w:val="center"/>
                </w:tcPr>
                <w:p w14:paraId="79E4979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i w:val="0"/>
                      <w:iCs w:val="0"/>
                      <w:color w:val="auto"/>
                      <w:sz w:val="21"/>
                      <w:szCs w:val="21"/>
                      <w:highlight w:val="none"/>
                      <w:u w:val="none"/>
                    </w:rPr>
                  </w:pPr>
                </w:p>
              </w:tc>
              <w:tc>
                <w:tcPr>
                  <w:tcW w:w="596" w:type="dxa"/>
                  <w:vMerge w:val="continue"/>
                  <w:tcBorders>
                    <w:top w:val="single" w:color="000000" w:sz="4" w:space="0"/>
                    <w:bottom w:val="single" w:color="000000" w:sz="4" w:space="0"/>
                  </w:tcBorders>
                  <w:noWrap w:val="0"/>
                  <w:vAlign w:val="center"/>
                </w:tcPr>
                <w:p w14:paraId="798D800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i w:val="0"/>
                      <w:iCs w:val="0"/>
                      <w:color w:val="auto"/>
                      <w:sz w:val="21"/>
                      <w:szCs w:val="21"/>
                      <w:highlight w:val="none"/>
                      <w:u w:val="none"/>
                    </w:rPr>
                  </w:pPr>
                </w:p>
              </w:tc>
              <w:tc>
                <w:tcPr>
                  <w:tcW w:w="1044" w:type="dxa"/>
                  <w:vMerge w:val="continue"/>
                  <w:tcBorders>
                    <w:top w:val="single" w:color="000000" w:sz="4" w:space="0"/>
                    <w:bottom w:val="single" w:color="000000" w:sz="4" w:space="0"/>
                  </w:tcBorders>
                  <w:noWrap w:val="0"/>
                  <w:vAlign w:val="center"/>
                </w:tcPr>
                <w:p w14:paraId="1BDB50B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i w:val="0"/>
                      <w:iCs w:val="0"/>
                      <w:color w:val="auto"/>
                      <w:sz w:val="21"/>
                      <w:szCs w:val="21"/>
                      <w:highlight w:val="none"/>
                      <w:u w:val="none"/>
                    </w:rPr>
                  </w:pPr>
                </w:p>
              </w:tc>
              <w:tc>
                <w:tcPr>
                  <w:tcW w:w="636" w:type="dxa"/>
                  <w:vMerge w:val="continue"/>
                  <w:tcBorders>
                    <w:top w:val="single" w:color="000000" w:sz="4" w:space="0"/>
                    <w:bottom w:val="single" w:color="000000" w:sz="4" w:space="0"/>
                  </w:tcBorders>
                  <w:noWrap w:val="0"/>
                  <w:vAlign w:val="center"/>
                </w:tcPr>
                <w:p w14:paraId="48CB6F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i w:val="0"/>
                      <w:iCs w:val="0"/>
                      <w:color w:val="auto"/>
                      <w:sz w:val="21"/>
                      <w:szCs w:val="21"/>
                      <w:highlight w:val="none"/>
                      <w:u w:val="none"/>
                    </w:rPr>
                  </w:pPr>
                </w:p>
              </w:tc>
              <w:tc>
                <w:tcPr>
                  <w:tcW w:w="499" w:type="dxa"/>
                  <w:tcBorders>
                    <w:top w:val="single" w:color="000000" w:sz="4" w:space="0"/>
                    <w:bottom w:val="single" w:color="000000" w:sz="4" w:space="0"/>
                  </w:tcBorders>
                  <w:noWrap w:val="0"/>
                  <w:vAlign w:val="center"/>
                </w:tcPr>
                <w:p w14:paraId="221AAC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X</w:t>
                  </w:r>
                </w:p>
              </w:tc>
              <w:tc>
                <w:tcPr>
                  <w:tcW w:w="498" w:type="dxa"/>
                  <w:tcBorders>
                    <w:top w:val="single" w:color="000000" w:sz="4" w:space="0"/>
                    <w:bottom w:val="single" w:color="000000" w:sz="4" w:space="0"/>
                  </w:tcBorders>
                  <w:noWrap w:val="0"/>
                  <w:vAlign w:val="center"/>
                </w:tcPr>
                <w:p w14:paraId="5EEC5F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Y</w:t>
                  </w:r>
                </w:p>
              </w:tc>
              <w:tc>
                <w:tcPr>
                  <w:tcW w:w="398" w:type="dxa"/>
                  <w:tcBorders>
                    <w:top w:val="single" w:color="000000" w:sz="4" w:space="0"/>
                    <w:bottom w:val="single" w:color="000000" w:sz="4" w:space="0"/>
                  </w:tcBorders>
                  <w:noWrap w:val="0"/>
                  <w:vAlign w:val="center"/>
                </w:tcPr>
                <w:p w14:paraId="7C2E4B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Z</w:t>
                  </w:r>
                </w:p>
              </w:tc>
              <w:tc>
                <w:tcPr>
                  <w:tcW w:w="426" w:type="dxa"/>
                  <w:tcBorders>
                    <w:top w:val="single" w:color="000000" w:sz="4" w:space="0"/>
                    <w:bottom w:val="single" w:color="000000" w:sz="4" w:space="0"/>
                  </w:tcBorders>
                  <w:noWrap w:val="0"/>
                  <w:vAlign w:val="center"/>
                </w:tcPr>
                <w:p w14:paraId="040D53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方向</w:t>
                  </w:r>
                </w:p>
              </w:tc>
              <w:tc>
                <w:tcPr>
                  <w:tcW w:w="988" w:type="dxa"/>
                  <w:tcBorders>
                    <w:top w:val="single" w:color="000000" w:sz="4" w:space="0"/>
                    <w:bottom w:val="single" w:color="000000" w:sz="4" w:space="0"/>
                  </w:tcBorders>
                  <w:noWrap w:val="0"/>
                  <w:vAlign w:val="center"/>
                </w:tcPr>
                <w:p w14:paraId="12B8F9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距离</w:t>
                  </w:r>
                </w:p>
              </w:tc>
              <w:tc>
                <w:tcPr>
                  <w:tcW w:w="803" w:type="dxa"/>
                  <w:tcBorders>
                    <w:top w:val="single" w:color="000000" w:sz="4" w:space="0"/>
                    <w:bottom w:val="single" w:color="000000" w:sz="4" w:space="0"/>
                  </w:tcBorders>
                  <w:noWrap w:val="0"/>
                  <w:vAlign w:val="center"/>
                </w:tcPr>
                <w:p w14:paraId="7410B9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方向</w:t>
                  </w:r>
                </w:p>
              </w:tc>
              <w:tc>
                <w:tcPr>
                  <w:tcW w:w="1285" w:type="dxa"/>
                  <w:tcBorders>
                    <w:top w:val="single" w:color="000000" w:sz="4" w:space="0"/>
                    <w:bottom w:val="single" w:color="000000" w:sz="4" w:space="0"/>
                  </w:tcBorders>
                  <w:noWrap w:val="0"/>
                  <w:vAlign w:val="center"/>
                </w:tcPr>
                <w:p w14:paraId="2D8CBD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声级</w:t>
                  </w:r>
                </w:p>
              </w:tc>
              <w:tc>
                <w:tcPr>
                  <w:tcW w:w="587" w:type="dxa"/>
                  <w:vMerge w:val="continue"/>
                  <w:tcBorders>
                    <w:top w:val="single" w:color="000000" w:sz="4" w:space="0"/>
                    <w:bottom w:val="single" w:color="000000" w:sz="4" w:space="0"/>
                  </w:tcBorders>
                  <w:noWrap w:val="0"/>
                  <w:vAlign w:val="center"/>
                </w:tcPr>
                <w:p w14:paraId="3FD4F64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i w:val="0"/>
                      <w:iCs w:val="0"/>
                      <w:color w:val="auto"/>
                      <w:sz w:val="21"/>
                      <w:szCs w:val="21"/>
                      <w:highlight w:val="none"/>
                      <w:u w:val="none"/>
                    </w:rPr>
                  </w:pPr>
                </w:p>
              </w:tc>
              <w:tc>
                <w:tcPr>
                  <w:tcW w:w="894" w:type="dxa"/>
                  <w:vMerge w:val="continue"/>
                  <w:tcBorders>
                    <w:top w:val="single" w:color="000000" w:sz="4" w:space="0"/>
                    <w:bottom w:val="single" w:color="000000" w:sz="4" w:space="0"/>
                  </w:tcBorders>
                  <w:noWrap w:val="0"/>
                  <w:vAlign w:val="center"/>
                </w:tcPr>
                <w:p w14:paraId="019E70C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i w:val="0"/>
                      <w:iCs w:val="0"/>
                      <w:color w:val="auto"/>
                      <w:sz w:val="21"/>
                      <w:szCs w:val="21"/>
                      <w:highlight w:val="none"/>
                      <w:u w:val="none"/>
                    </w:rPr>
                  </w:pPr>
                </w:p>
              </w:tc>
              <w:tc>
                <w:tcPr>
                  <w:tcW w:w="427" w:type="dxa"/>
                  <w:tcBorders>
                    <w:top w:val="single" w:color="000000" w:sz="4" w:space="0"/>
                    <w:bottom w:val="single" w:color="000000" w:sz="4" w:space="0"/>
                  </w:tcBorders>
                  <w:noWrap w:val="0"/>
                  <w:vAlign w:val="center"/>
                </w:tcPr>
                <w:p w14:paraId="49AF99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方向</w:t>
                  </w:r>
                </w:p>
              </w:tc>
              <w:tc>
                <w:tcPr>
                  <w:tcW w:w="933" w:type="dxa"/>
                  <w:tcBorders>
                    <w:top w:val="single" w:color="000000" w:sz="4" w:space="0"/>
                    <w:bottom w:val="single" w:color="000000" w:sz="4" w:space="0"/>
                  </w:tcBorders>
                  <w:noWrap w:val="0"/>
                  <w:vAlign w:val="center"/>
                </w:tcPr>
                <w:p w14:paraId="161D56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声压级/dB(A)</w:t>
                  </w:r>
                </w:p>
              </w:tc>
              <w:tc>
                <w:tcPr>
                  <w:tcW w:w="634" w:type="dxa"/>
                  <w:tcBorders>
                    <w:top w:val="single" w:color="000000" w:sz="4" w:space="0"/>
                    <w:bottom w:val="single" w:color="000000" w:sz="4" w:space="0"/>
                  </w:tcBorders>
                  <w:noWrap w:val="0"/>
                  <w:vAlign w:val="center"/>
                </w:tcPr>
                <w:p w14:paraId="7076AB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建筑外距离/m</w:t>
                  </w:r>
                </w:p>
              </w:tc>
            </w:tr>
            <w:tr w14:paraId="241766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7" w:type="dxa"/>
                  <w:vMerge w:val="restart"/>
                  <w:tcBorders>
                    <w:top w:val="single" w:color="000000" w:sz="4" w:space="0"/>
                    <w:bottom w:val="single" w:color="000000" w:sz="4" w:space="0"/>
                  </w:tcBorders>
                  <w:noWrap w:val="0"/>
                  <w:vAlign w:val="center"/>
                </w:tcPr>
                <w:p w14:paraId="05C6B214">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rightChars="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lang w:val="en-US" w:eastAsia="zh-CN" w:bidi="ar"/>
                    </w:rPr>
                    <w:t>1</w:t>
                  </w:r>
                </w:p>
              </w:tc>
              <w:tc>
                <w:tcPr>
                  <w:tcW w:w="636" w:type="dxa"/>
                  <w:vMerge w:val="restart"/>
                  <w:tcBorders>
                    <w:top w:val="single" w:color="000000" w:sz="4" w:space="0"/>
                  </w:tcBorders>
                  <w:noWrap w:val="0"/>
                  <w:vAlign w:val="center"/>
                </w:tcPr>
                <w:p w14:paraId="236B16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普通生物实验室、细胞间、冰箱间</w:t>
                  </w:r>
                </w:p>
              </w:tc>
              <w:tc>
                <w:tcPr>
                  <w:tcW w:w="1103" w:type="dxa"/>
                  <w:vMerge w:val="restart"/>
                  <w:tcBorders>
                    <w:top w:val="single" w:color="000000" w:sz="4" w:space="0"/>
                    <w:bottom w:val="single" w:color="000000" w:sz="4" w:space="0"/>
                  </w:tcBorders>
                  <w:noWrap w:val="0"/>
                  <w:vAlign w:val="center"/>
                </w:tcPr>
                <w:p w14:paraId="2F74CD43">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olor w:val="000000"/>
                      <w:sz w:val="21"/>
                      <w:szCs w:val="21"/>
                    </w:rPr>
                    <w:t>2-8度冰箱</w:t>
                  </w:r>
                </w:p>
              </w:tc>
              <w:tc>
                <w:tcPr>
                  <w:tcW w:w="865" w:type="dxa"/>
                  <w:vMerge w:val="restart"/>
                  <w:tcBorders>
                    <w:top w:val="single" w:color="000000" w:sz="4" w:space="0"/>
                    <w:bottom w:val="single" w:color="000000" w:sz="4" w:space="0"/>
                  </w:tcBorders>
                  <w:noWrap w:val="0"/>
                  <w:vAlign w:val="center"/>
                </w:tcPr>
                <w:p w14:paraId="034DF0CF">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olor w:val="000000"/>
                      <w:sz w:val="21"/>
                      <w:szCs w:val="22"/>
                    </w:rPr>
                    <w:t>HYC-650</w:t>
                  </w:r>
                </w:p>
              </w:tc>
              <w:tc>
                <w:tcPr>
                  <w:tcW w:w="596" w:type="dxa"/>
                  <w:vMerge w:val="restart"/>
                  <w:tcBorders>
                    <w:top w:val="single" w:color="000000" w:sz="4" w:space="0"/>
                    <w:bottom w:val="single" w:color="000000" w:sz="4" w:space="0"/>
                  </w:tcBorders>
                  <w:noWrap w:val="0"/>
                  <w:vAlign w:val="center"/>
                </w:tcPr>
                <w:p w14:paraId="1EF202A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olor w:val="000000"/>
                      <w:sz w:val="21"/>
                      <w:szCs w:val="21"/>
                    </w:rPr>
                    <w:t>4</w:t>
                  </w:r>
                </w:p>
              </w:tc>
              <w:tc>
                <w:tcPr>
                  <w:tcW w:w="1044" w:type="dxa"/>
                  <w:vMerge w:val="restart"/>
                  <w:tcBorders>
                    <w:top w:val="single" w:color="000000" w:sz="4" w:space="0"/>
                    <w:bottom w:val="single" w:color="000000" w:sz="4" w:space="0"/>
                  </w:tcBorders>
                  <w:noWrap w:val="0"/>
                  <w:vAlign w:val="center"/>
                </w:tcPr>
                <w:p w14:paraId="7E55A2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 </w:t>
                  </w:r>
                  <w:r>
                    <w:rPr>
                      <w:rFonts w:hint="eastAsia" w:cs="Times New Roman"/>
                      <w:i w:val="0"/>
                      <w:iCs w:val="0"/>
                      <w:color w:val="auto"/>
                      <w:kern w:val="0"/>
                      <w:sz w:val="21"/>
                      <w:szCs w:val="21"/>
                      <w:u w:val="none"/>
                      <w:lang w:val="en-US" w:eastAsia="zh-CN" w:bidi="ar"/>
                    </w:rPr>
                    <w:t>70</w:t>
                  </w:r>
                </w:p>
              </w:tc>
              <w:tc>
                <w:tcPr>
                  <w:tcW w:w="636" w:type="dxa"/>
                  <w:vMerge w:val="restart"/>
                  <w:tcBorders>
                    <w:top w:val="single" w:color="000000" w:sz="4" w:space="0"/>
                  </w:tcBorders>
                  <w:noWrap w:val="0"/>
                  <w:vAlign w:val="center"/>
                </w:tcPr>
                <w:p w14:paraId="2D9FA6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厂房隔声、距离衰减</w:t>
                  </w:r>
                </w:p>
              </w:tc>
              <w:tc>
                <w:tcPr>
                  <w:tcW w:w="499" w:type="dxa"/>
                  <w:vMerge w:val="restart"/>
                  <w:tcBorders>
                    <w:top w:val="single" w:color="000000" w:sz="4" w:space="0"/>
                    <w:bottom w:val="single" w:color="000000" w:sz="4" w:space="0"/>
                  </w:tcBorders>
                  <w:noWrap w:val="0"/>
                  <w:vAlign w:val="center"/>
                </w:tcPr>
                <w:p w14:paraId="52BD6347">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-12</w:t>
                  </w:r>
                </w:p>
              </w:tc>
              <w:tc>
                <w:tcPr>
                  <w:tcW w:w="498" w:type="dxa"/>
                  <w:vMerge w:val="restart"/>
                  <w:tcBorders>
                    <w:top w:val="single" w:color="000000" w:sz="4" w:space="0"/>
                    <w:bottom w:val="single" w:color="000000" w:sz="4" w:space="0"/>
                  </w:tcBorders>
                  <w:noWrap w:val="0"/>
                  <w:vAlign w:val="center"/>
                </w:tcPr>
                <w:p w14:paraId="1A1DE683">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0.2</w:t>
                  </w:r>
                </w:p>
              </w:tc>
              <w:tc>
                <w:tcPr>
                  <w:tcW w:w="398" w:type="dxa"/>
                  <w:vMerge w:val="restart"/>
                  <w:tcBorders>
                    <w:top w:val="single" w:color="000000" w:sz="4" w:space="0"/>
                    <w:bottom w:val="single" w:color="000000" w:sz="4" w:space="0"/>
                  </w:tcBorders>
                  <w:noWrap w:val="0"/>
                  <w:vAlign w:val="center"/>
                </w:tcPr>
                <w:p w14:paraId="7EB3A5D9">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w:t>
                  </w:r>
                </w:p>
              </w:tc>
              <w:tc>
                <w:tcPr>
                  <w:tcW w:w="426" w:type="dxa"/>
                  <w:tcBorders>
                    <w:top w:val="single" w:color="000000" w:sz="4" w:space="0"/>
                    <w:bottom w:val="single" w:color="000000" w:sz="4" w:space="0"/>
                  </w:tcBorders>
                  <w:noWrap w:val="0"/>
                  <w:vAlign w:val="center"/>
                </w:tcPr>
                <w:p w14:paraId="6FB14F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988" w:type="dxa"/>
                  <w:tcBorders>
                    <w:top w:val="single" w:color="000000" w:sz="4" w:space="0"/>
                    <w:bottom w:val="single" w:color="000000" w:sz="4" w:space="0"/>
                  </w:tcBorders>
                  <w:noWrap w:val="0"/>
                  <w:vAlign w:val="center"/>
                </w:tcPr>
                <w:p w14:paraId="0362DF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13</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803" w:type="dxa"/>
                  <w:tcBorders>
                    <w:top w:val="single" w:color="000000" w:sz="4" w:space="0"/>
                    <w:bottom w:val="single" w:color="000000" w:sz="4" w:space="0"/>
                  </w:tcBorders>
                  <w:noWrap w:val="0"/>
                  <w:vAlign w:val="center"/>
                </w:tcPr>
                <w:p w14:paraId="3592FC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1285" w:type="dxa"/>
                  <w:tcBorders>
                    <w:top w:val="single" w:color="000000" w:sz="4" w:space="0"/>
                    <w:bottom w:val="single" w:color="000000" w:sz="4" w:space="0"/>
                  </w:tcBorders>
                  <w:noWrap w:val="0"/>
                  <w:vAlign w:val="center"/>
                </w:tcPr>
                <w:p w14:paraId="34A9A7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50.4 </w:t>
                  </w:r>
                </w:p>
              </w:tc>
              <w:tc>
                <w:tcPr>
                  <w:tcW w:w="587" w:type="dxa"/>
                  <w:vMerge w:val="restart"/>
                  <w:tcBorders>
                    <w:top w:val="single" w:color="000000" w:sz="4" w:space="0"/>
                  </w:tcBorders>
                  <w:noWrap w:val="0"/>
                  <w:vAlign w:val="center"/>
                </w:tcPr>
                <w:p w14:paraId="37D7B6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8:30-17：30</w:t>
                  </w:r>
                </w:p>
                <w:p w14:paraId="4985AF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 </w:t>
                  </w:r>
                </w:p>
                <w:p w14:paraId="42B459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894" w:type="dxa"/>
                  <w:vMerge w:val="restart"/>
                  <w:tcBorders>
                    <w:top w:val="single" w:color="000000" w:sz="4" w:space="0"/>
                  </w:tcBorders>
                  <w:noWrap w:val="0"/>
                  <w:vAlign w:val="center"/>
                </w:tcPr>
                <w:p w14:paraId="7E47C4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25</w:t>
                  </w:r>
                </w:p>
              </w:tc>
              <w:tc>
                <w:tcPr>
                  <w:tcW w:w="427" w:type="dxa"/>
                  <w:vMerge w:val="restart"/>
                  <w:tcBorders>
                    <w:top w:val="single" w:color="000000" w:sz="4" w:space="0"/>
                  </w:tcBorders>
                  <w:noWrap w:val="0"/>
                  <w:vAlign w:val="center"/>
                </w:tcPr>
                <w:p w14:paraId="793495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 </w:t>
                  </w:r>
                </w:p>
                <w:p w14:paraId="4C851DC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 </w:t>
                  </w:r>
                  <w:r>
                    <w:rPr>
                      <w:rFonts w:hint="eastAsia" w:ascii="Times New Roman" w:hAnsi="Times New Roman" w:eastAsia="宋体" w:cs="Times New Roman"/>
                      <w:i w:val="0"/>
                      <w:iCs w:val="0"/>
                      <w:color w:val="auto"/>
                      <w:kern w:val="0"/>
                      <w:sz w:val="21"/>
                      <w:szCs w:val="21"/>
                      <w:u w:val="none"/>
                      <w:lang w:val="en-US" w:eastAsia="zh-CN" w:bidi="ar"/>
                    </w:rPr>
                    <w:t>东</w:t>
                  </w:r>
                </w:p>
              </w:tc>
              <w:tc>
                <w:tcPr>
                  <w:tcW w:w="933" w:type="dxa"/>
                  <w:vMerge w:val="restart"/>
                  <w:tcBorders>
                    <w:top w:val="single" w:color="000000" w:sz="4" w:space="0"/>
                  </w:tcBorders>
                  <w:shd w:val="clear" w:color="auto" w:fill="auto"/>
                  <w:noWrap w:val="0"/>
                  <w:vAlign w:val="center"/>
                </w:tcPr>
                <w:p w14:paraId="65E75D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63.3 </w:t>
                  </w:r>
                </w:p>
              </w:tc>
              <w:tc>
                <w:tcPr>
                  <w:tcW w:w="634" w:type="dxa"/>
                  <w:vMerge w:val="restart"/>
                  <w:tcBorders>
                    <w:top w:val="single" w:color="000000" w:sz="4" w:space="0"/>
                  </w:tcBorders>
                  <w:shd w:val="clear" w:color="auto" w:fill="auto"/>
                  <w:noWrap w:val="0"/>
                  <w:vAlign w:val="center"/>
                </w:tcPr>
                <w:p w14:paraId="0DE0DAD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sz w:val="21"/>
                      <w:szCs w:val="21"/>
                      <w:highlight w:val="none"/>
                      <w:u w:val="none"/>
                      <w:lang w:val="en-US" w:eastAsia="zh-CN"/>
                    </w:rPr>
                    <w:t>1</w:t>
                  </w:r>
                </w:p>
              </w:tc>
            </w:tr>
            <w:tr w14:paraId="2A2956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27" w:type="dxa"/>
                  <w:vMerge w:val="continue"/>
                  <w:tcBorders>
                    <w:top w:val="single" w:color="000000" w:sz="4" w:space="0"/>
                    <w:bottom w:val="single" w:color="000000" w:sz="4" w:space="0"/>
                  </w:tcBorders>
                  <w:noWrap w:val="0"/>
                  <w:vAlign w:val="center"/>
                </w:tcPr>
                <w:p w14:paraId="6736A1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36" w:type="dxa"/>
                  <w:vMerge w:val="continue"/>
                  <w:noWrap w:val="0"/>
                  <w:vAlign w:val="center"/>
                </w:tcPr>
                <w:p w14:paraId="19CE9D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03" w:type="dxa"/>
                  <w:vMerge w:val="continue"/>
                  <w:tcBorders>
                    <w:top w:val="single" w:color="000000" w:sz="4" w:space="0"/>
                    <w:bottom w:val="single" w:color="000000" w:sz="4" w:space="0"/>
                  </w:tcBorders>
                  <w:noWrap w:val="0"/>
                  <w:vAlign w:val="center"/>
                </w:tcPr>
                <w:p w14:paraId="40BD754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lang w:val="en-US" w:eastAsia="zh-CN"/>
                    </w:rPr>
                  </w:pPr>
                </w:p>
              </w:tc>
              <w:tc>
                <w:tcPr>
                  <w:tcW w:w="865" w:type="dxa"/>
                  <w:vMerge w:val="continue"/>
                  <w:tcBorders>
                    <w:top w:val="single" w:color="000000" w:sz="4" w:space="0"/>
                    <w:bottom w:val="single" w:color="000000" w:sz="4" w:space="0"/>
                  </w:tcBorders>
                  <w:noWrap w:val="0"/>
                  <w:vAlign w:val="center"/>
                </w:tcPr>
                <w:p w14:paraId="251A2B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596" w:type="dxa"/>
                  <w:vMerge w:val="continue"/>
                  <w:tcBorders>
                    <w:top w:val="single" w:color="000000" w:sz="4" w:space="0"/>
                    <w:bottom w:val="single" w:color="000000" w:sz="4" w:space="0"/>
                  </w:tcBorders>
                  <w:noWrap w:val="0"/>
                  <w:vAlign w:val="center"/>
                </w:tcPr>
                <w:p w14:paraId="4C8990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044" w:type="dxa"/>
                  <w:vMerge w:val="continue"/>
                  <w:tcBorders>
                    <w:top w:val="single" w:color="000000" w:sz="4" w:space="0"/>
                    <w:bottom w:val="single" w:color="000000" w:sz="4" w:space="0"/>
                  </w:tcBorders>
                  <w:noWrap w:val="0"/>
                  <w:vAlign w:val="center"/>
                </w:tcPr>
                <w:p w14:paraId="2CEC54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636" w:type="dxa"/>
                  <w:vMerge w:val="continue"/>
                  <w:noWrap w:val="0"/>
                  <w:vAlign w:val="center"/>
                </w:tcPr>
                <w:p w14:paraId="2B03F6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499" w:type="dxa"/>
                  <w:vMerge w:val="continue"/>
                  <w:tcBorders>
                    <w:top w:val="single" w:color="000000" w:sz="4" w:space="0"/>
                    <w:bottom w:val="single" w:color="000000" w:sz="4" w:space="0"/>
                  </w:tcBorders>
                  <w:noWrap w:val="0"/>
                  <w:vAlign w:val="center"/>
                </w:tcPr>
                <w:p w14:paraId="6C271577">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498" w:type="dxa"/>
                  <w:vMerge w:val="continue"/>
                  <w:tcBorders>
                    <w:top w:val="single" w:color="000000" w:sz="4" w:space="0"/>
                    <w:bottom w:val="single" w:color="000000" w:sz="4" w:space="0"/>
                  </w:tcBorders>
                  <w:noWrap w:val="0"/>
                  <w:vAlign w:val="center"/>
                </w:tcPr>
                <w:p w14:paraId="7DE0BF86">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398" w:type="dxa"/>
                  <w:vMerge w:val="continue"/>
                  <w:tcBorders>
                    <w:top w:val="single" w:color="000000" w:sz="4" w:space="0"/>
                    <w:bottom w:val="single" w:color="000000" w:sz="4" w:space="0"/>
                  </w:tcBorders>
                  <w:noWrap w:val="0"/>
                  <w:vAlign w:val="center"/>
                </w:tcPr>
                <w:p w14:paraId="47BD4821">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426" w:type="dxa"/>
                  <w:tcBorders>
                    <w:top w:val="single" w:color="000000" w:sz="4" w:space="0"/>
                    <w:bottom w:val="single" w:color="000000" w:sz="4" w:space="0"/>
                  </w:tcBorders>
                  <w:noWrap w:val="0"/>
                  <w:vAlign w:val="center"/>
                </w:tcPr>
                <w:p w14:paraId="0A8762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988" w:type="dxa"/>
                  <w:tcBorders>
                    <w:top w:val="single" w:color="000000" w:sz="4" w:space="0"/>
                    <w:bottom w:val="single" w:color="000000" w:sz="4" w:space="0"/>
                  </w:tcBorders>
                  <w:noWrap w:val="0"/>
                  <w:vAlign w:val="center"/>
                </w:tcPr>
                <w:p w14:paraId="3E791F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43</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803" w:type="dxa"/>
                  <w:tcBorders>
                    <w:top w:val="single" w:color="000000" w:sz="4" w:space="0"/>
                    <w:bottom w:val="single" w:color="000000" w:sz="4" w:space="0"/>
                  </w:tcBorders>
                  <w:noWrap w:val="0"/>
                  <w:vAlign w:val="center"/>
                </w:tcPr>
                <w:p w14:paraId="370EF9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1285" w:type="dxa"/>
                  <w:tcBorders>
                    <w:top w:val="single" w:color="000000" w:sz="4" w:space="0"/>
                    <w:bottom w:val="single" w:color="000000" w:sz="4" w:space="0"/>
                  </w:tcBorders>
                  <w:noWrap w:val="0"/>
                  <w:vAlign w:val="center"/>
                </w:tcPr>
                <w:p w14:paraId="3CED5C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46.6 </w:t>
                  </w:r>
                </w:p>
              </w:tc>
              <w:tc>
                <w:tcPr>
                  <w:tcW w:w="587" w:type="dxa"/>
                  <w:vMerge w:val="continue"/>
                  <w:noWrap w:val="0"/>
                  <w:vAlign w:val="center"/>
                </w:tcPr>
                <w:p w14:paraId="52C5DD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94" w:type="dxa"/>
                  <w:vMerge w:val="continue"/>
                  <w:noWrap w:val="0"/>
                  <w:vAlign w:val="center"/>
                </w:tcPr>
                <w:p w14:paraId="65BBE5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27" w:type="dxa"/>
                  <w:vMerge w:val="continue"/>
                  <w:noWrap w:val="0"/>
                  <w:vAlign w:val="center"/>
                </w:tcPr>
                <w:p w14:paraId="47D60A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33" w:type="dxa"/>
                  <w:vMerge w:val="continue"/>
                  <w:noWrap w:val="0"/>
                  <w:vAlign w:val="center"/>
                </w:tcPr>
                <w:p w14:paraId="087CDC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34" w:type="dxa"/>
                  <w:vMerge w:val="continue"/>
                  <w:noWrap w:val="0"/>
                  <w:vAlign w:val="center"/>
                </w:tcPr>
                <w:p w14:paraId="38CE21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7268B0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27" w:type="dxa"/>
                  <w:vMerge w:val="continue"/>
                  <w:tcBorders>
                    <w:top w:val="single" w:color="000000" w:sz="4" w:space="0"/>
                    <w:bottom w:val="single" w:color="000000" w:sz="4" w:space="0"/>
                  </w:tcBorders>
                  <w:noWrap w:val="0"/>
                  <w:vAlign w:val="center"/>
                </w:tcPr>
                <w:p w14:paraId="4582C5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36" w:type="dxa"/>
                  <w:vMerge w:val="continue"/>
                  <w:noWrap w:val="0"/>
                  <w:vAlign w:val="center"/>
                </w:tcPr>
                <w:p w14:paraId="5952B1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03" w:type="dxa"/>
                  <w:vMerge w:val="continue"/>
                  <w:tcBorders>
                    <w:top w:val="single" w:color="000000" w:sz="4" w:space="0"/>
                    <w:bottom w:val="single" w:color="000000" w:sz="4" w:space="0"/>
                  </w:tcBorders>
                  <w:noWrap w:val="0"/>
                  <w:vAlign w:val="center"/>
                </w:tcPr>
                <w:p w14:paraId="6EB655B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lang w:val="en-US" w:eastAsia="zh-CN"/>
                    </w:rPr>
                  </w:pPr>
                </w:p>
              </w:tc>
              <w:tc>
                <w:tcPr>
                  <w:tcW w:w="865" w:type="dxa"/>
                  <w:vMerge w:val="continue"/>
                  <w:tcBorders>
                    <w:top w:val="single" w:color="000000" w:sz="4" w:space="0"/>
                    <w:bottom w:val="single" w:color="000000" w:sz="4" w:space="0"/>
                  </w:tcBorders>
                  <w:noWrap w:val="0"/>
                  <w:vAlign w:val="center"/>
                </w:tcPr>
                <w:p w14:paraId="5581C1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596" w:type="dxa"/>
                  <w:vMerge w:val="continue"/>
                  <w:tcBorders>
                    <w:top w:val="single" w:color="000000" w:sz="4" w:space="0"/>
                    <w:bottom w:val="single" w:color="000000" w:sz="4" w:space="0"/>
                  </w:tcBorders>
                  <w:noWrap w:val="0"/>
                  <w:vAlign w:val="center"/>
                </w:tcPr>
                <w:p w14:paraId="52B84A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044" w:type="dxa"/>
                  <w:vMerge w:val="continue"/>
                  <w:tcBorders>
                    <w:top w:val="single" w:color="000000" w:sz="4" w:space="0"/>
                    <w:bottom w:val="single" w:color="000000" w:sz="4" w:space="0"/>
                  </w:tcBorders>
                  <w:noWrap w:val="0"/>
                  <w:vAlign w:val="center"/>
                </w:tcPr>
                <w:p w14:paraId="07623D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636" w:type="dxa"/>
                  <w:vMerge w:val="continue"/>
                  <w:noWrap w:val="0"/>
                  <w:vAlign w:val="center"/>
                </w:tcPr>
                <w:p w14:paraId="3E1F74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499" w:type="dxa"/>
                  <w:vMerge w:val="continue"/>
                  <w:tcBorders>
                    <w:top w:val="single" w:color="000000" w:sz="4" w:space="0"/>
                    <w:bottom w:val="single" w:color="000000" w:sz="4" w:space="0"/>
                  </w:tcBorders>
                  <w:noWrap w:val="0"/>
                  <w:vAlign w:val="center"/>
                </w:tcPr>
                <w:p w14:paraId="329DCA9C">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498" w:type="dxa"/>
                  <w:vMerge w:val="continue"/>
                  <w:tcBorders>
                    <w:top w:val="single" w:color="000000" w:sz="4" w:space="0"/>
                    <w:bottom w:val="single" w:color="000000" w:sz="4" w:space="0"/>
                  </w:tcBorders>
                  <w:noWrap w:val="0"/>
                  <w:vAlign w:val="center"/>
                </w:tcPr>
                <w:p w14:paraId="6AA848CE">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398" w:type="dxa"/>
                  <w:vMerge w:val="continue"/>
                  <w:tcBorders>
                    <w:top w:val="single" w:color="000000" w:sz="4" w:space="0"/>
                    <w:bottom w:val="single" w:color="000000" w:sz="4" w:space="0"/>
                  </w:tcBorders>
                  <w:noWrap w:val="0"/>
                  <w:vAlign w:val="center"/>
                </w:tcPr>
                <w:p w14:paraId="3CB8DCA8">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426" w:type="dxa"/>
                  <w:tcBorders>
                    <w:top w:val="single" w:color="000000" w:sz="4" w:space="0"/>
                  </w:tcBorders>
                  <w:noWrap w:val="0"/>
                  <w:vAlign w:val="center"/>
                </w:tcPr>
                <w:p w14:paraId="7DBA61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988" w:type="dxa"/>
                  <w:tcBorders>
                    <w:top w:val="single" w:color="000000" w:sz="4" w:space="0"/>
                  </w:tcBorders>
                  <w:noWrap w:val="0"/>
                  <w:vAlign w:val="center"/>
                </w:tcPr>
                <w:p w14:paraId="42EB2A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27</w:t>
                  </w:r>
                </w:p>
              </w:tc>
              <w:tc>
                <w:tcPr>
                  <w:tcW w:w="803" w:type="dxa"/>
                  <w:tcBorders>
                    <w:top w:val="single" w:color="000000" w:sz="4" w:space="0"/>
                  </w:tcBorders>
                  <w:noWrap w:val="0"/>
                  <w:vAlign w:val="center"/>
                </w:tcPr>
                <w:p w14:paraId="4B839D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1285" w:type="dxa"/>
                  <w:tcBorders>
                    <w:top w:val="single" w:color="000000" w:sz="4" w:space="0"/>
                  </w:tcBorders>
                  <w:noWrap w:val="0"/>
                  <w:vAlign w:val="center"/>
                </w:tcPr>
                <w:p w14:paraId="008902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46.8 </w:t>
                  </w:r>
                </w:p>
              </w:tc>
              <w:tc>
                <w:tcPr>
                  <w:tcW w:w="587" w:type="dxa"/>
                  <w:vMerge w:val="continue"/>
                  <w:noWrap w:val="0"/>
                  <w:vAlign w:val="center"/>
                </w:tcPr>
                <w:p w14:paraId="3B6F25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94" w:type="dxa"/>
                  <w:vMerge w:val="continue"/>
                  <w:noWrap w:val="0"/>
                  <w:vAlign w:val="center"/>
                </w:tcPr>
                <w:p w14:paraId="0FDB7C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27" w:type="dxa"/>
                  <w:vMerge w:val="continue"/>
                  <w:noWrap w:val="0"/>
                  <w:vAlign w:val="center"/>
                </w:tcPr>
                <w:p w14:paraId="26CC2C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33" w:type="dxa"/>
                  <w:vMerge w:val="continue"/>
                  <w:noWrap w:val="0"/>
                  <w:vAlign w:val="center"/>
                </w:tcPr>
                <w:p w14:paraId="498BAC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34" w:type="dxa"/>
                  <w:vMerge w:val="continue"/>
                  <w:noWrap w:val="0"/>
                  <w:vAlign w:val="center"/>
                </w:tcPr>
                <w:p w14:paraId="001ECD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73147F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27" w:type="dxa"/>
                  <w:vMerge w:val="continue"/>
                  <w:tcBorders>
                    <w:top w:val="single" w:color="000000" w:sz="4" w:space="0"/>
                    <w:bottom w:val="single" w:color="000000" w:sz="4" w:space="0"/>
                  </w:tcBorders>
                  <w:noWrap w:val="0"/>
                  <w:vAlign w:val="center"/>
                </w:tcPr>
                <w:p w14:paraId="40BB4C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36" w:type="dxa"/>
                  <w:vMerge w:val="continue"/>
                  <w:noWrap w:val="0"/>
                  <w:vAlign w:val="center"/>
                </w:tcPr>
                <w:p w14:paraId="1EA4DB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03" w:type="dxa"/>
                  <w:vMerge w:val="continue"/>
                  <w:tcBorders>
                    <w:top w:val="single" w:color="000000" w:sz="4" w:space="0"/>
                    <w:bottom w:val="single" w:color="000000" w:sz="4" w:space="0"/>
                  </w:tcBorders>
                  <w:noWrap w:val="0"/>
                  <w:vAlign w:val="center"/>
                </w:tcPr>
                <w:p w14:paraId="15A2EF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lang w:val="en-US" w:eastAsia="zh-CN"/>
                    </w:rPr>
                  </w:pPr>
                </w:p>
              </w:tc>
              <w:tc>
                <w:tcPr>
                  <w:tcW w:w="865" w:type="dxa"/>
                  <w:vMerge w:val="continue"/>
                  <w:tcBorders>
                    <w:top w:val="single" w:color="000000" w:sz="4" w:space="0"/>
                    <w:bottom w:val="single" w:color="000000" w:sz="4" w:space="0"/>
                  </w:tcBorders>
                  <w:noWrap w:val="0"/>
                  <w:vAlign w:val="center"/>
                </w:tcPr>
                <w:p w14:paraId="2CD842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596" w:type="dxa"/>
                  <w:vMerge w:val="continue"/>
                  <w:tcBorders>
                    <w:top w:val="single" w:color="000000" w:sz="4" w:space="0"/>
                    <w:bottom w:val="single" w:color="000000" w:sz="4" w:space="0"/>
                  </w:tcBorders>
                  <w:noWrap w:val="0"/>
                  <w:vAlign w:val="center"/>
                </w:tcPr>
                <w:p w14:paraId="22FC3D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044" w:type="dxa"/>
                  <w:vMerge w:val="continue"/>
                  <w:tcBorders>
                    <w:top w:val="single" w:color="000000" w:sz="4" w:space="0"/>
                    <w:bottom w:val="single" w:color="000000" w:sz="4" w:space="0"/>
                  </w:tcBorders>
                  <w:noWrap w:val="0"/>
                  <w:vAlign w:val="center"/>
                </w:tcPr>
                <w:p w14:paraId="60C653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636" w:type="dxa"/>
                  <w:vMerge w:val="continue"/>
                  <w:noWrap w:val="0"/>
                  <w:vAlign w:val="center"/>
                </w:tcPr>
                <w:p w14:paraId="3ED1B2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499" w:type="dxa"/>
                  <w:vMerge w:val="continue"/>
                  <w:tcBorders>
                    <w:top w:val="single" w:color="000000" w:sz="4" w:space="0"/>
                    <w:bottom w:val="single" w:color="000000" w:sz="4" w:space="0"/>
                  </w:tcBorders>
                  <w:noWrap w:val="0"/>
                  <w:vAlign w:val="center"/>
                </w:tcPr>
                <w:p w14:paraId="1EE3D3D5">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498" w:type="dxa"/>
                  <w:vMerge w:val="continue"/>
                  <w:tcBorders>
                    <w:top w:val="single" w:color="000000" w:sz="4" w:space="0"/>
                    <w:bottom w:val="single" w:color="000000" w:sz="4" w:space="0"/>
                  </w:tcBorders>
                  <w:noWrap w:val="0"/>
                  <w:vAlign w:val="center"/>
                </w:tcPr>
                <w:p w14:paraId="6180D2B0">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398" w:type="dxa"/>
                  <w:vMerge w:val="continue"/>
                  <w:tcBorders>
                    <w:top w:val="single" w:color="000000" w:sz="4" w:space="0"/>
                    <w:bottom w:val="single" w:color="000000" w:sz="4" w:space="0"/>
                  </w:tcBorders>
                  <w:noWrap w:val="0"/>
                  <w:vAlign w:val="center"/>
                </w:tcPr>
                <w:p w14:paraId="4258DAD6">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426" w:type="dxa"/>
                  <w:tcBorders>
                    <w:top w:val="single" w:color="000000" w:sz="4" w:space="0"/>
                    <w:bottom w:val="single" w:color="000000" w:sz="4" w:space="0"/>
                  </w:tcBorders>
                  <w:noWrap w:val="0"/>
                  <w:vAlign w:val="center"/>
                </w:tcPr>
                <w:p w14:paraId="515BCA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988" w:type="dxa"/>
                  <w:tcBorders>
                    <w:top w:val="single" w:color="000000" w:sz="4" w:space="0"/>
                    <w:bottom w:val="single" w:color="000000" w:sz="4" w:space="0"/>
                  </w:tcBorders>
                  <w:noWrap w:val="0"/>
                  <w:vAlign w:val="center"/>
                </w:tcPr>
                <w:p w14:paraId="769FEB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4</w:t>
                  </w:r>
                </w:p>
              </w:tc>
              <w:tc>
                <w:tcPr>
                  <w:tcW w:w="803" w:type="dxa"/>
                  <w:tcBorders>
                    <w:top w:val="single" w:color="000000" w:sz="4" w:space="0"/>
                    <w:bottom w:val="single" w:color="000000" w:sz="4" w:space="0"/>
                  </w:tcBorders>
                  <w:noWrap w:val="0"/>
                  <w:vAlign w:val="center"/>
                </w:tcPr>
                <w:p w14:paraId="38CB81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1285" w:type="dxa"/>
                  <w:tcBorders>
                    <w:top w:val="single" w:color="000000" w:sz="4" w:space="0"/>
                    <w:bottom w:val="single" w:color="000000" w:sz="4" w:space="0"/>
                  </w:tcBorders>
                  <w:noWrap w:val="0"/>
                  <w:vAlign w:val="center"/>
                </w:tcPr>
                <w:p w14:paraId="61BFDD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53.9 </w:t>
                  </w:r>
                </w:p>
              </w:tc>
              <w:tc>
                <w:tcPr>
                  <w:tcW w:w="587" w:type="dxa"/>
                  <w:vMerge w:val="continue"/>
                  <w:noWrap w:val="0"/>
                  <w:vAlign w:val="center"/>
                </w:tcPr>
                <w:p w14:paraId="0D3115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94" w:type="dxa"/>
                  <w:vMerge w:val="continue"/>
                  <w:noWrap w:val="0"/>
                  <w:vAlign w:val="center"/>
                </w:tcPr>
                <w:p w14:paraId="6F5E27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27" w:type="dxa"/>
                  <w:vMerge w:val="continue"/>
                  <w:noWrap w:val="0"/>
                  <w:vAlign w:val="center"/>
                </w:tcPr>
                <w:p w14:paraId="282EB0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33" w:type="dxa"/>
                  <w:vMerge w:val="continue"/>
                  <w:noWrap w:val="0"/>
                  <w:vAlign w:val="center"/>
                </w:tcPr>
                <w:p w14:paraId="36AAAE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34" w:type="dxa"/>
                  <w:vMerge w:val="continue"/>
                  <w:noWrap w:val="0"/>
                  <w:vAlign w:val="center"/>
                </w:tcPr>
                <w:p w14:paraId="2F57D4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30004A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7" w:type="dxa"/>
                  <w:vMerge w:val="restart"/>
                  <w:tcBorders>
                    <w:top w:val="single" w:color="000000" w:sz="4" w:space="0"/>
                  </w:tcBorders>
                  <w:noWrap w:val="0"/>
                  <w:vAlign w:val="center"/>
                </w:tcPr>
                <w:p w14:paraId="4CF7BA67">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rightChars="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lang w:val="en-US" w:eastAsia="zh-CN" w:bidi="ar"/>
                    </w:rPr>
                    <w:t>2</w:t>
                  </w:r>
                </w:p>
              </w:tc>
              <w:tc>
                <w:tcPr>
                  <w:tcW w:w="636" w:type="dxa"/>
                  <w:vMerge w:val="continue"/>
                  <w:noWrap w:val="0"/>
                  <w:vAlign w:val="center"/>
                </w:tcPr>
                <w:p w14:paraId="3913D8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03" w:type="dxa"/>
                  <w:vMerge w:val="restart"/>
                  <w:tcBorders>
                    <w:top w:val="single" w:color="000000" w:sz="4" w:space="0"/>
                  </w:tcBorders>
                  <w:noWrap w:val="0"/>
                  <w:vAlign w:val="center"/>
                </w:tcPr>
                <w:p w14:paraId="4AD31B5F">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olor w:val="000000"/>
                      <w:sz w:val="21"/>
                      <w:szCs w:val="21"/>
                    </w:rPr>
                    <w:t>负80冰箱</w:t>
                  </w:r>
                </w:p>
              </w:tc>
              <w:tc>
                <w:tcPr>
                  <w:tcW w:w="865" w:type="dxa"/>
                  <w:vMerge w:val="restart"/>
                  <w:tcBorders>
                    <w:top w:val="single" w:color="000000" w:sz="4" w:space="0"/>
                  </w:tcBorders>
                  <w:noWrap w:val="0"/>
                  <w:vAlign w:val="center"/>
                </w:tcPr>
                <w:p w14:paraId="6292BD4B">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olor w:val="000000"/>
                      <w:sz w:val="21"/>
                      <w:szCs w:val="22"/>
                    </w:rPr>
                    <w:t>905GP-ULTS</w:t>
                  </w:r>
                </w:p>
              </w:tc>
              <w:tc>
                <w:tcPr>
                  <w:tcW w:w="596" w:type="dxa"/>
                  <w:vMerge w:val="restart"/>
                  <w:tcBorders>
                    <w:top w:val="single" w:color="000000" w:sz="4" w:space="0"/>
                  </w:tcBorders>
                  <w:noWrap w:val="0"/>
                  <w:vAlign w:val="center"/>
                </w:tcPr>
                <w:p w14:paraId="4B9E426B">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olor w:val="000000"/>
                      <w:sz w:val="21"/>
                      <w:szCs w:val="21"/>
                    </w:rPr>
                    <w:t>2</w:t>
                  </w:r>
                </w:p>
              </w:tc>
              <w:tc>
                <w:tcPr>
                  <w:tcW w:w="1044" w:type="dxa"/>
                  <w:vMerge w:val="restart"/>
                  <w:tcBorders>
                    <w:top w:val="single" w:color="000000" w:sz="4" w:space="0"/>
                  </w:tcBorders>
                  <w:noWrap w:val="0"/>
                  <w:vAlign w:val="center"/>
                </w:tcPr>
                <w:p w14:paraId="226429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 </w:t>
                  </w:r>
                  <w:r>
                    <w:rPr>
                      <w:rFonts w:hint="eastAsia" w:cs="Times New Roman"/>
                      <w:i w:val="0"/>
                      <w:iCs w:val="0"/>
                      <w:color w:val="auto"/>
                      <w:kern w:val="0"/>
                      <w:sz w:val="21"/>
                      <w:szCs w:val="21"/>
                      <w:u w:val="none"/>
                      <w:lang w:val="en-US" w:eastAsia="zh-CN" w:bidi="ar"/>
                    </w:rPr>
                    <w:t>70</w:t>
                  </w:r>
                </w:p>
              </w:tc>
              <w:tc>
                <w:tcPr>
                  <w:tcW w:w="636" w:type="dxa"/>
                  <w:vMerge w:val="continue"/>
                  <w:noWrap w:val="0"/>
                  <w:vAlign w:val="center"/>
                </w:tcPr>
                <w:p w14:paraId="03869A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499" w:type="dxa"/>
                  <w:vMerge w:val="restart"/>
                  <w:tcBorders>
                    <w:top w:val="single" w:color="000000" w:sz="4" w:space="0"/>
                  </w:tcBorders>
                  <w:noWrap w:val="0"/>
                  <w:vAlign w:val="center"/>
                </w:tcPr>
                <w:p w14:paraId="4637005E">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-16</w:t>
                  </w:r>
                </w:p>
              </w:tc>
              <w:tc>
                <w:tcPr>
                  <w:tcW w:w="498" w:type="dxa"/>
                  <w:vMerge w:val="restart"/>
                  <w:tcBorders>
                    <w:top w:val="single" w:color="000000" w:sz="4" w:space="0"/>
                  </w:tcBorders>
                  <w:noWrap w:val="0"/>
                  <w:vAlign w:val="center"/>
                </w:tcPr>
                <w:p w14:paraId="6A567463">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22</w:t>
                  </w:r>
                </w:p>
              </w:tc>
              <w:tc>
                <w:tcPr>
                  <w:tcW w:w="398" w:type="dxa"/>
                  <w:vMerge w:val="restart"/>
                  <w:tcBorders>
                    <w:top w:val="single" w:color="000000" w:sz="4" w:space="0"/>
                  </w:tcBorders>
                  <w:noWrap w:val="0"/>
                  <w:vAlign w:val="center"/>
                </w:tcPr>
                <w:p w14:paraId="3D7C8BB4">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w:t>
                  </w:r>
                </w:p>
              </w:tc>
              <w:tc>
                <w:tcPr>
                  <w:tcW w:w="426" w:type="dxa"/>
                  <w:tcBorders>
                    <w:top w:val="single" w:color="000000" w:sz="4" w:space="0"/>
                    <w:bottom w:val="single" w:color="000000" w:sz="4" w:space="0"/>
                  </w:tcBorders>
                  <w:shd w:val="clear" w:color="auto" w:fill="auto"/>
                  <w:noWrap w:val="0"/>
                  <w:vAlign w:val="center"/>
                </w:tcPr>
                <w:p w14:paraId="7D3812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988" w:type="dxa"/>
                  <w:tcBorders>
                    <w:top w:val="single" w:color="000000" w:sz="4" w:space="0"/>
                    <w:bottom w:val="single" w:color="000000" w:sz="4" w:space="0"/>
                  </w:tcBorders>
                  <w:noWrap w:val="0"/>
                  <w:vAlign w:val="center"/>
                </w:tcPr>
                <w:p w14:paraId="35403F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11</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803" w:type="dxa"/>
                  <w:tcBorders>
                    <w:top w:val="single" w:color="000000" w:sz="4" w:space="0"/>
                    <w:bottom w:val="single" w:color="000000" w:sz="4" w:space="0"/>
                  </w:tcBorders>
                  <w:shd w:val="clear" w:color="auto" w:fill="auto"/>
                  <w:noWrap w:val="0"/>
                  <w:vAlign w:val="center"/>
                </w:tcPr>
                <w:p w14:paraId="2891F3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1285" w:type="dxa"/>
                  <w:tcBorders>
                    <w:top w:val="single" w:color="000000" w:sz="4" w:space="0"/>
                    <w:bottom w:val="single" w:color="000000" w:sz="4" w:space="0"/>
                  </w:tcBorders>
                  <w:noWrap w:val="0"/>
                  <w:vAlign w:val="center"/>
                </w:tcPr>
                <w:p w14:paraId="7CBC44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45.5 </w:t>
                  </w:r>
                </w:p>
              </w:tc>
              <w:tc>
                <w:tcPr>
                  <w:tcW w:w="587" w:type="dxa"/>
                  <w:vMerge w:val="continue"/>
                  <w:noWrap w:val="0"/>
                  <w:vAlign w:val="center"/>
                </w:tcPr>
                <w:p w14:paraId="0B1633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94" w:type="dxa"/>
                  <w:vMerge w:val="continue"/>
                  <w:noWrap w:val="0"/>
                  <w:vAlign w:val="center"/>
                </w:tcPr>
                <w:p w14:paraId="4EB1E2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27" w:type="dxa"/>
                  <w:vMerge w:val="continue"/>
                  <w:tcBorders>
                    <w:bottom w:val="single" w:color="auto" w:sz="4" w:space="0"/>
                  </w:tcBorders>
                  <w:noWrap w:val="0"/>
                  <w:vAlign w:val="center"/>
                </w:tcPr>
                <w:p w14:paraId="73BE01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33" w:type="dxa"/>
                  <w:vMerge w:val="continue"/>
                  <w:tcBorders>
                    <w:bottom w:val="single" w:color="auto" w:sz="4" w:space="0"/>
                  </w:tcBorders>
                  <w:noWrap w:val="0"/>
                  <w:vAlign w:val="center"/>
                </w:tcPr>
                <w:p w14:paraId="7BEB6F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34" w:type="dxa"/>
                  <w:vMerge w:val="continue"/>
                  <w:tcBorders>
                    <w:bottom w:val="single" w:color="auto" w:sz="4" w:space="0"/>
                  </w:tcBorders>
                  <w:noWrap w:val="0"/>
                  <w:vAlign w:val="center"/>
                </w:tcPr>
                <w:p w14:paraId="2F04D4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6F04C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7" w:type="dxa"/>
                  <w:vMerge w:val="continue"/>
                  <w:noWrap w:val="0"/>
                  <w:vAlign w:val="center"/>
                </w:tcPr>
                <w:p w14:paraId="63781CDD">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rightChars="0" w:hanging="425" w:firstLineChars="0"/>
                    <w:jc w:val="center"/>
                    <w:textAlignment w:val="center"/>
                    <w:rPr>
                      <w:rFonts w:hint="default" w:ascii="Times New Roman" w:hAnsi="Times New Roman" w:eastAsia="宋体" w:cs="Times New Roman"/>
                      <w:i w:val="0"/>
                      <w:iCs w:val="0"/>
                      <w:color w:val="auto"/>
                      <w:kern w:val="0"/>
                      <w:sz w:val="21"/>
                      <w:szCs w:val="21"/>
                      <w:lang w:val="en-US" w:eastAsia="zh-CN" w:bidi="ar"/>
                    </w:rPr>
                  </w:pPr>
                </w:p>
              </w:tc>
              <w:tc>
                <w:tcPr>
                  <w:tcW w:w="636" w:type="dxa"/>
                  <w:vMerge w:val="continue"/>
                  <w:noWrap w:val="0"/>
                  <w:vAlign w:val="center"/>
                </w:tcPr>
                <w:p w14:paraId="02A000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03" w:type="dxa"/>
                  <w:vMerge w:val="continue"/>
                  <w:noWrap w:val="0"/>
                  <w:vAlign w:val="center"/>
                </w:tcPr>
                <w:p w14:paraId="0F3FBDCB">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olor w:val="000000"/>
                      <w:sz w:val="21"/>
                      <w:szCs w:val="21"/>
                    </w:rPr>
                  </w:pPr>
                </w:p>
              </w:tc>
              <w:tc>
                <w:tcPr>
                  <w:tcW w:w="865" w:type="dxa"/>
                  <w:vMerge w:val="continue"/>
                  <w:noWrap w:val="0"/>
                  <w:vAlign w:val="center"/>
                </w:tcPr>
                <w:p w14:paraId="3178E055">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olor w:val="000000"/>
                      <w:sz w:val="21"/>
                      <w:szCs w:val="22"/>
                    </w:rPr>
                  </w:pPr>
                </w:p>
              </w:tc>
              <w:tc>
                <w:tcPr>
                  <w:tcW w:w="596" w:type="dxa"/>
                  <w:vMerge w:val="continue"/>
                  <w:noWrap w:val="0"/>
                  <w:vAlign w:val="center"/>
                </w:tcPr>
                <w:p w14:paraId="76A4B0AC">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olor w:val="000000"/>
                      <w:sz w:val="21"/>
                      <w:szCs w:val="21"/>
                    </w:rPr>
                  </w:pPr>
                </w:p>
              </w:tc>
              <w:tc>
                <w:tcPr>
                  <w:tcW w:w="1044" w:type="dxa"/>
                  <w:vMerge w:val="continue"/>
                  <w:noWrap w:val="0"/>
                  <w:vAlign w:val="center"/>
                </w:tcPr>
                <w:p w14:paraId="3668D7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36" w:type="dxa"/>
                  <w:vMerge w:val="continue"/>
                  <w:noWrap w:val="0"/>
                  <w:vAlign w:val="center"/>
                </w:tcPr>
                <w:p w14:paraId="719C59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499" w:type="dxa"/>
                  <w:vMerge w:val="continue"/>
                  <w:noWrap w:val="0"/>
                  <w:vAlign w:val="center"/>
                </w:tcPr>
                <w:p w14:paraId="573436BF">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498" w:type="dxa"/>
                  <w:vMerge w:val="continue"/>
                  <w:noWrap w:val="0"/>
                  <w:vAlign w:val="center"/>
                </w:tcPr>
                <w:p w14:paraId="1AEA6F26">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398" w:type="dxa"/>
                  <w:vMerge w:val="continue"/>
                  <w:noWrap w:val="0"/>
                  <w:vAlign w:val="center"/>
                </w:tcPr>
                <w:p w14:paraId="01AF9AC0">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426" w:type="dxa"/>
                  <w:tcBorders>
                    <w:top w:val="single" w:color="000000" w:sz="4" w:space="0"/>
                    <w:bottom w:val="single" w:color="000000" w:sz="4" w:space="0"/>
                  </w:tcBorders>
                  <w:shd w:val="clear" w:color="auto" w:fill="auto"/>
                  <w:noWrap w:val="0"/>
                  <w:vAlign w:val="center"/>
                </w:tcPr>
                <w:p w14:paraId="7C3622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南</w:t>
                  </w:r>
                </w:p>
              </w:tc>
              <w:tc>
                <w:tcPr>
                  <w:tcW w:w="988" w:type="dxa"/>
                  <w:tcBorders>
                    <w:top w:val="single" w:color="000000" w:sz="4" w:space="0"/>
                    <w:bottom w:val="single" w:color="000000" w:sz="4" w:space="0"/>
                  </w:tcBorders>
                  <w:noWrap w:val="0"/>
                  <w:vAlign w:val="center"/>
                </w:tcPr>
                <w:p w14:paraId="05F258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39</w:t>
                  </w:r>
                </w:p>
              </w:tc>
              <w:tc>
                <w:tcPr>
                  <w:tcW w:w="803" w:type="dxa"/>
                  <w:tcBorders>
                    <w:top w:val="single" w:color="000000" w:sz="4" w:space="0"/>
                    <w:bottom w:val="single" w:color="000000" w:sz="4" w:space="0"/>
                  </w:tcBorders>
                  <w:shd w:val="clear" w:color="auto" w:fill="auto"/>
                  <w:noWrap w:val="0"/>
                  <w:vAlign w:val="center"/>
                </w:tcPr>
                <w:p w14:paraId="24F837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南</w:t>
                  </w:r>
                </w:p>
              </w:tc>
              <w:tc>
                <w:tcPr>
                  <w:tcW w:w="1285" w:type="dxa"/>
                  <w:tcBorders>
                    <w:top w:val="single" w:color="000000" w:sz="4" w:space="0"/>
                    <w:bottom w:val="single" w:color="000000" w:sz="4" w:space="0"/>
                  </w:tcBorders>
                  <w:noWrap w:val="0"/>
                  <w:vAlign w:val="center"/>
                </w:tcPr>
                <w:p w14:paraId="6A5835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43.6 </w:t>
                  </w:r>
                </w:p>
              </w:tc>
              <w:tc>
                <w:tcPr>
                  <w:tcW w:w="587" w:type="dxa"/>
                  <w:vMerge w:val="continue"/>
                  <w:noWrap w:val="0"/>
                  <w:vAlign w:val="center"/>
                </w:tcPr>
                <w:p w14:paraId="0750AF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894" w:type="dxa"/>
                  <w:vMerge w:val="continue"/>
                  <w:noWrap w:val="0"/>
                  <w:vAlign w:val="center"/>
                </w:tcPr>
                <w:p w14:paraId="111FAE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27" w:type="dxa"/>
                  <w:vMerge w:val="restart"/>
                  <w:tcBorders>
                    <w:top w:val="single" w:color="auto" w:sz="4" w:space="0"/>
                  </w:tcBorders>
                  <w:noWrap w:val="0"/>
                  <w:vAlign w:val="center"/>
                </w:tcPr>
                <w:p w14:paraId="1E68956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南</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933" w:type="dxa"/>
                  <w:vMerge w:val="restart"/>
                  <w:tcBorders>
                    <w:top w:val="single" w:color="auto" w:sz="4" w:space="0"/>
                  </w:tcBorders>
                  <w:noWrap w:val="0"/>
                  <w:vAlign w:val="center"/>
                </w:tcPr>
                <w:p w14:paraId="687E92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49.9 </w:t>
                  </w:r>
                </w:p>
              </w:tc>
              <w:tc>
                <w:tcPr>
                  <w:tcW w:w="634" w:type="dxa"/>
                  <w:vMerge w:val="restart"/>
                  <w:tcBorders>
                    <w:top w:val="single" w:color="auto" w:sz="4" w:space="0"/>
                  </w:tcBorders>
                  <w:noWrap w:val="0"/>
                  <w:vAlign w:val="center"/>
                </w:tcPr>
                <w:p w14:paraId="493AFC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sz w:val="21"/>
                      <w:szCs w:val="21"/>
                      <w:highlight w:val="none"/>
                      <w:u w:val="none"/>
                      <w:lang w:val="en-US" w:eastAsia="zh-CN"/>
                    </w:rPr>
                    <w:t>1</w:t>
                  </w:r>
                </w:p>
              </w:tc>
            </w:tr>
            <w:tr w14:paraId="2847CD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27" w:type="dxa"/>
                  <w:vMerge w:val="continue"/>
                  <w:noWrap w:val="0"/>
                  <w:vAlign w:val="center"/>
                </w:tcPr>
                <w:p w14:paraId="6FF59D0F">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rightChars="0" w:hanging="425" w:firstLineChars="0"/>
                    <w:jc w:val="center"/>
                    <w:textAlignment w:val="center"/>
                    <w:rPr>
                      <w:rFonts w:hint="default" w:ascii="Times New Roman" w:hAnsi="Times New Roman" w:eastAsia="宋体" w:cs="Times New Roman"/>
                      <w:i w:val="0"/>
                      <w:iCs w:val="0"/>
                      <w:color w:val="auto"/>
                      <w:kern w:val="0"/>
                      <w:sz w:val="21"/>
                      <w:szCs w:val="21"/>
                      <w:lang w:val="en-US" w:eastAsia="zh-CN" w:bidi="ar"/>
                    </w:rPr>
                  </w:pPr>
                </w:p>
              </w:tc>
              <w:tc>
                <w:tcPr>
                  <w:tcW w:w="636" w:type="dxa"/>
                  <w:vMerge w:val="continue"/>
                  <w:noWrap w:val="0"/>
                  <w:vAlign w:val="center"/>
                </w:tcPr>
                <w:p w14:paraId="1086BF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03" w:type="dxa"/>
                  <w:vMerge w:val="continue"/>
                  <w:noWrap w:val="0"/>
                  <w:vAlign w:val="center"/>
                </w:tcPr>
                <w:p w14:paraId="5C424B24">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olor w:val="000000"/>
                      <w:sz w:val="21"/>
                      <w:szCs w:val="21"/>
                    </w:rPr>
                  </w:pPr>
                </w:p>
              </w:tc>
              <w:tc>
                <w:tcPr>
                  <w:tcW w:w="865" w:type="dxa"/>
                  <w:vMerge w:val="continue"/>
                  <w:noWrap w:val="0"/>
                  <w:vAlign w:val="center"/>
                </w:tcPr>
                <w:p w14:paraId="583C4453">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olor w:val="000000"/>
                      <w:sz w:val="21"/>
                      <w:szCs w:val="22"/>
                    </w:rPr>
                  </w:pPr>
                </w:p>
              </w:tc>
              <w:tc>
                <w:tcPr>
                  <w:tcW w:w="596" w:type="dxa"/>
                  <w:vMerge w:val="continue"/>
                  <w:noWrap w:val="0"/>
                  <w:vAlign w:val="center"/>
                </w:tcPr>
                <w:p w14:paraId="480EF86A">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olor w:val="000000"/>
                      <w:sz w:val="21"/>
                      <w:szCs w:val="21"/>
                    </w:rPr>
                  </w:pPr>
                </w:p>
              </w:tc>
              <w:tc>
                <w:tcPr>
                  <w:tcW w:w="1044" w:type="dxa"/>
                  <w:vMerge w:val="continue"/>
                  <w:noWrap w:val="0"/>
                  <w:vAlign w:val="center"/>
                </w:tcPr>
                <w:p w14:paraId="0237E2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36" w:type="dxa"/>
                  <w:vMerge w:val="continue"/>
                  <w:noWrap w:val="0"/>
                  <w:vAlign w:val="center"/>
                </w:tcPr>
                <w:p w14:paraId="2A5944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499" w:type="dxa"/>
                  <w:vMerge w:val="continue"/>
                  <w:noWrap w:val="0"/>
                  <w:vAlign w:val="center"/>
                </w:tcPr>
                <w:p w14:paraId="1EE2475D">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498" w:type="dxa"/>
                  <w:vMerge w:val="continue"/>
                  <w:noWrap w:val="0"/>
                  <w:vAlign w:val="center"/>
                </w:tcPr>
                <w:p w14:paraId="2C1A47B5">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398" w:type="dxa"/>
                  <w:vMerge w:val="continue"/>
                  <w:noWrap w:val="0"/>
                  <w:vAlign w:val="center"/>
                </w:tcPr>
                <w:p w14:paraId="7B37E951">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426" w:type="dxa"/>
                  <w:tcBorders>
                    <w:top w:val="single" w:color="000000" w:sz="4" w:space="0"/>
                    <w:bottom w:val="single" w:color="000000" w:sz="4" w:space="0"/>
                  </w:tcBorders>
                  <w:shd w:val="clear" w:color="auto" w:fill="auto"/>
                  <w:noWrap w:val="0"/>
                  <w:vAlign w:val="center"/>
                </w:tcPr>
                <w:p w14:paraId="59EBFB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西</w:t>
                  </w:r>
                </w:p>
              </w:tc>
              <w:tc>
                <w:tcPr>
                  <w:tcW w:w="988" w:type="dxa"/>
                  <w:tcBorders>
                    <w:top w:val="single" w:color="000000" w:sz="4" w:space="0"/>
                    <w:bottom w:val="single" w:color="000000" w:sz="4" w:space="0"/>
                  </w:tcBorders>
                  <w:noWrap w:val="0"/>
                  <w:vAlign w:val="center"/>
                </w:tcPr>
                <w:p w14:paraId="53CF73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28</w:t>
                  </w:r>
                </w:p>
              </w:tc>
              <w:tc>
                <w:tcPr>
                  <w:tcW w:w="803" w:type="dxa"/>
                  <w:tcBorders>
                    <w:top w:val="single" w:color="000000" w:sz="4" w:space="0"/>
                    <w:bottom w:val="single" w:color="000000" w:sz="4" w:space="0"/>
                  </w:tcBorders>
                  <w:shd w:val="clear" w:color="auto" w:fill="auto"/>
                  <w:noWrap w:val="0"/>
                  <w:vAlign w:val="center"/>
                </w:tcPr>
                <w:p w14:paraId="61332F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西</w:t>
                  </w:r>
                </w:p>
              </w:tc>
              <w:tc>
                <w:tcPr>
                  <w:tcW w:w="1285" w:type="dxa"/>
                  <w:tcBorders>
                    <w:top w:val="single" w:color="000000" w:sz="4" w:space="0"/>
                    <w:bottom w:val="single" w:color="000000" w:sz="4" w:space="0"/>
                  </w:tcBorders>
                  <w:noWrap w:val="0"/>
                  <w:vAlign w:val="center"/>
                </w:tcPr>
                <w:p w14:paraId="4C0DF1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43.8 </w:t>
                  </w:r>
                </w:p>
              </w:tc>
              <w:tc>
                <w:tcPr>
                  <w:tcW w:w="587" w:type="dxa"/>
                  <w:vMerge w:val="continue"/>
                  <w:noWrap w:val="0"/>
                  <w:vAlign w:val="center"/>
                </w:tcPr>
                <w:p w14:paraId="60E4E4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894" w:type="dxa"/>
                  <w:vMerge w:val="continue"/>
                  <w:noWrap w:val="0"/>
                  <w:vAlign w:val="center"/>
                </w:tcPr>
                <w:p w14:paraId="0193D5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27" w:type="dxa"/>
                  <w:vMerge w:val="continue"/>
                  <w:noWrap w:val="0"/>
                  <w:vAlign w:val="center"/>
                </w:tcPr>
                <w:p w14:paraId="220682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33" w:type="dxa"/>
                  <w:vMerge w:val="continue"/>
                  <w:noWrap w:val="0"/>
                  <w:vAlign w:val="center"/>
                </w:tcPr>
                <w:p w14:paraId="0D6B14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34" w:type="dxa"/>
                  <w:vMerge w:val="continue"/>
                  <w:noWrap w:val="0"/>
                  <w:vAlign w:val="center"/>
                </w:tcPr>
                <w:p w14:paraId="65B821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CB33C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27" w:type="dxa"/>
                  <w:vMerge w:val="continue"/>
                  <w:tcBorders>
                    <w:bottom w:val="single" w:color="000000" w:sz="4" w:space="0"/>
                  </w:tcBorders>
                  <w:noWrap w:val="0"/>
                  <w:vAlign w:val="center"/>
                </w:tcPr>
                <w:p w14:paraId="360F65DE">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rightChars="0" w:hanging="425" w:firstLineChars="0"/>
                    <w:jc w:val="center"/>
                    <w:textAlignment w:val="center"/>
                    <w:rPr>
                      <w:rFonts w:hint="default" w:ascii="Times New Roman" w:hAnsi="Times New Roman" w:eastAsia="宋体" w:cs="Times New Roman"/>
                      <w:i w:val="0"/>
                      <w:iCs w:val="0"/>
                      <w:color w:val="auto"/>
                      <w:kern w:val="0"/>
                      <w:sz w:val="21"/>
                      <w:szCs w:val="21"/>
                      <w:lang w:val="en-US" w:eastAsia="zh-CN" w:bidi="ar"/>
                    </w:rPr>
                  </w:pPr>
                </w:p>
              </w:tc>
              <w:tc>
                <w:tcPr>
                  <w:tcW w:w="636" w:type="dxa"/>
                  <w:vMerge w:val="continue"/>
                  <w:noWrap w:val="0"/>
                  <w:vAlign w:val="center"/>
                </w:tcPr>
                <w:p w14:paraId="48E8D4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03" w:type="dxa"/>
                  <w:vMerge w:val="continue"/>
                  <w:tcBorders>
                    <w:bottom w:val="single" w:color="000000" w:sz="4" w:space="0"/>
                  </w:tcBorders>
                  <w:noWrap w:val="0"/>
                  <w:vAlign w:val="center"/>
                </w:tcPr>
                <w:p w14:paraId="4272BB6D">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olor w:val="000000"/>
                      <w:sz w:val="21"/>
                      <w:szCs w:val="21"/>
                    </w:rPr>
                  </w:pPr>
                </w:p>
              </w:tc>
              <w:tc>
                <w:tcPr>
                  <w:tcW w:w="865" w:type="dxa"/>
                  <w:vMerge w:val="continue"/>
                  <w:tcBorders>
                    <w:bottom w:val="single" w:color="000000" w:sz="4" w:space="0"/>
                  </w:tcBorders>
                  <w:noWrap w:val="0"/>
                  <w:vAlign w:val="center"/>
                </w:tcPr>
                <w:p w14:paraId="7A8F55E0">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olor w:val="000000"/>
                      <w:sz w:val="21"/>
                      <w:szCs w:val="22"/>
                    </w:rPr>
                  </w:pPr>
                </w:p>
              </w:tc>
              <w:tc>
                <w:tcPr>
                  <w:tcW w:w="596" w:type="dxa"/>
                  <w:vMerge w:val="continue"/>
                  <w:tcBorders>
                    <w:bottom w:val="single" w:color="000000" w:sz="4" w:space="0"/>
                  </w:tcBorders>
                  <w:noWrap w:val="0"/>
                  <w:vAlign w:val="center"/>
                </w:tcPr>
                <w:p w14:paraId="225F3FF9">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olor w:val="000000"/>
                      <w:sz w:val="21"/>
                      <w:szCs w:val="21"/>
                    </w:rPr>
                  </w:pPr>
                </w:p>
              </w:tc>
              <w:tc>
                <w:tcPr>
                  <w:tcW w:w="1044" w:type="dxa"/>
                  <w:vMerge w:val="continue"/>
                  <w:tcBorders>
                    <w:bottom w:val="single" w:color="000000" w:sz="4" w:space="0"/>
                  </w:tcBorders>
                  <w:noWrap w:val="0"/>
                  <w:vAlign w:val="center"/>
                </w:tcPr>
                <w:p w14:paraId="28A718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36" w:type="dxa"/>
                  <w:vMerge w:val="continue"/>
                  <w:noWrap w:val="0"/>
                  <w:vAlign w:val="center"/>
                </w:tcPr>
                <w:p w14:paraId="5ED498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499" w:type="dxa"/>
                  <w:vMerge w:val="continue"/>
                  <w:tcBorders>
                    <w:bottom w:val="single" w:color="000000" w:sz="4" w:space="0"/>
                  </w:tcBorders>
                  <w:noWrap w:val="0"/>
                  <w:vAlign w:val="center"/>
                </w:tcPr>
                <w:p w14:paraId="1E06C332">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498" w:type="dxa"/>
                  <w:vMerge w:val="continue"/>
                  <w:tcBorders>
                    <w:bottom w:val="single" w:color="000000" w:sz="4" w:space="0"/>
                  </w:tcBorders>
                  <w:noWrap w:val="0"/>
                  <w:vAlign w:val="center"/>
                </w:tcPr>
                <w:p w14:paraId="4C1D9810">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398" w:type="dxa"/>
                  <w:vMerge w:val="continue"/>
                  <w:tcBorders>
                    <w:bottom w:val="single" w:color="000000" w:sz="4" w:space="0"/>
                  </w:tcBorders>
                  <w:noWrap w:val="0"/>
                  <w:vAlign w:val="center"/>
                </w:tcPr>
                <w:p w14:paraId="1FF56A93">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426" w:type="dxa"/>
                  <w:tcBorders>
                    <w:top w:val="single" w:color="000000" w:sz="4" w:space="0"/>
                    <w:bottom w:val="single" w:color="000000" w:sz="4" w:space="0"/>
                  </w:tcBorders>
                  <w:shd w:val="clear" w:color="auto" w:fill="auto"/>
                  <w:noWrap w:val="0"/>
                  <w:vAlign w:val="center"/>
                </w:tcPr>
                <w:p w14:paraId="266C31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北</w:t>
                  </w:r>
                </w:p>
              </w:tc>
              <w:tc>
                <w:tcPr>
                  <w:tcW w:w="988" w:type="dxa"/>
                  <w:tcBorders>
                    <w:top w:val="single" w:color="000000" w:sz="4" w:space="0"/>
                    <w:bottom w:val="single" w:color="000000" w:sz="4" w:space="0"/>
                  </w:tcBorders>
                  <w:noWrap w:val="0"/>
                  <w:vAlign w:val="center"/>
                </w:tcPr>
                <w:p w14:paraId="0454B9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8</w:t>
                  </w:r>
                </w:p>
              </w:tc>
              <w:tc>
                <w:tcPr>
                  <w:tcW w:w="803" w:type="dxa"/>
                  <w:tcBorders>
                    <w:top w:val="single" w:color="000000" w:sz="4" w:space="0"/>
                    <w:bottom w:val="single" w:color="000000" w:sz="4" w:space="0"/>
                  </w:tcBorders>
                  <w:shd w:val="clear" w:color="auto" w:fill="auto"/>
                  <w:noWrap w:val="0"/>
                  <w:vAlign w:val="center"/>
                </w:tcPr>
                <w:p w14:paraId="534BBF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北</w:t>
                  </w:r>
                </w:p>
              </w:tc>
              <w:tc>
                <w:tcPr>
                  <w:tcW w:w="1285" w:type="dxa"/>
                  <w:tcBorders>
                    <w:top w:val="single" w:color="000000" w:sz="4" w:space="0"/>
                    <w:bottom w:val="single" w:color="000000" w:sz="4" w:space="0"/>
                  </w:tcBorders>
                  <w:noWrap w:val="0"/>
                  <w:vAlign w:val="center"/>
                </w:tcPr>
                <w:p w14:paraId="7314EC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46.7 </w:t>
                  </w:r>
                </w:p>
              </w:tc>
              <w:tc>
                <w:tcPr>
                  <w:tcW w:w="587" w:type="dxa"/>
                  <w:vMerge w:val="continue"/>
                  <w:noWrap w:val="0"/>
                  <w:vAlign w:val="center"/>
                </w:tcPr>
                <w:p w14:paraId="041C0B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894" w:type="dxa"/>
                  <w:vMerge w:val="continue"/>
                  <w:noWrap w:val="0"/>
                  <w:vAlign w:val="center"/>
                </w:tcPr>
                <w:p w14:paraId="301E78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27" w:type="dxa"/>
                  <w:vMerge w:val="continue"/>
                  <w:noWrap w:val="0"/>
                  <w:vAlign w:val="center"/>
                </w:tcPr>
                <w:p w14:paraId="7B691C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33" w:type="dxa"/>
                  <w:vMerge w:val="continue"/>
                  <w:noWrap w:val="0"/>
                  <w:vAlign w:val="center"/>
                </w:tcPr>
                <w:p w14:paraId="5D32C9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34" w:type="dxa"/>
                  <w:vMerge w:val="continue"/>
                  <w:noWrap w:val="0"/>
                  <w:vAlign w:val="center"/>
                </w:tcPr>
                <w:p w14:paraId="107F87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B2618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2" w:hRule="atLeast"/>
                <w:jc w:val="center"/>
              </w:trPr>
              <w:tc>
                <w:tcPr>
                  <w:tcW w:w="427" w:type="dxa"/>
                  <w:vMerge w:val="restart"/>
                  <w:tcBorders>
                    <w:top w:val="single" w:color="000000" w:sz="4" w:space="0"/>
                    <w:bottom w:val="single" w:color="000000" w:sz="4" w:space="0"/>
                  </w:tcBorders>
                  <w:noWrap w:val="0"/>
                  <w:vAlign w:val="center"/>
                </w:tcPr>
                <w:p w14:paraId="68CEC651">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rightChars="0" w:hanging="425" w:firstLineChars="0"/>
                    <w:jc w:val="center"/>
                    <w:textAlignment w:val="center"/>
                    <w:rPr>
                      <w:rFonts w:hint="default" w:ascii="Times New Roman" w:hAnsi="Times New Roman" w:eastAsia="宋体" w:cs="Times New Roman"/>
                      <w:i w:val="0"/>
                      <w:iCs w:val="0"/>
                      <w:color w:val="auto"/>
                      <w:kern w:val="0"/>
                      <w:sz w:val="21"/>
                      <w:szCs w:val="21"/>
                      <w:lang w:val="en-US" w:eastAsia="zh-CN" w:bidi="ar"/>
                    </w:rPr>
                  </w:pPr>
                  <w:r>
                    <w:rPr>
                      <w:rFonts w:hint="eastAsia" w:ascii="Times New Roman" w:hAnsi="Times New Roman" w:eastAsia="宋体" w:cs="Times New Roman"/>
                      <w:i w:val="0"/>
                      <w:iCs w:val="0"/>
                      <w:color w:val="auto"/>
                      <w:kern w:val="0"/>
                      <w:sz w:val="21"/>
                      <w:szCs w:val="21"/>
                      <w:lang w:val="en-US" w:eastAsia="zh-CN" w:bidi="ar"/>
                    </w:rPr>
                    <w:t>3</w:t>
                  </w:r>
                </w:p>
              </w:tc>
              <w:tc>
                <w:tcPr>
                  <w:tcW w:w="636" w:type="dxa"/>
                  <w:vMerge w:val="continue"/>
                  <w:noWrap w:val="0"/>
                  <w:vAlign w:val="center"/>
                </w:tcPr>
                <w:p w14:paraId="020893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03" w:type="dxa"/>
                  <w:vMerge w:val="restart"/>
                  <w:tcBorders>
                    <w:top w:val="single" w:color="000000" w:sz="4" w:space="0"/>
                    <w:bottom w:val="single" w:color="000000" w:sz="4" w:space="0"/>
                  </w:tcBorders>
                  <w:noWrap w:val="0"/>
                  <w:vAlign w:val="center"/>
                </w:tcPr>
                <w:p w14:paraId="2272A931">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olor w:val="000000"/>
                      <w:sz w:val="21"/>
                      <w:szCs w:val="21"/>
                    </w:rPr>
                    <w:t>负20冰箱</w:t>
                  </w:r>
                </w:p>
              </w:tc>
              <w:tc>
                <w:tcPr>
                  <w:tcW w:w="865" w:type="dxa"/>
                  <w:vMerge w:val="restart"/>
                  <w:tcBorders>
                    <w:top w:val="single" w:color="000000" w:sz="4" w:space="0"/>
                    <w:bottom w:val="single" w:color="000000" w:sz="4" w:space="0"/>
                  </w:tcBorders>
                  <w:noWrap w:val="0"/>
                  <w:vAlign w:val="center"/>
                </w:tcPr>
                <w:p w14:paraId="305BEF36">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olor w:val="000000"/>
                      <w:sz w:val="21"/>
                      <w:szCs w:val="22"/>
                    </w:rPr>
                    <w:t>DW-30L278</w:t>
                  </w:r>
                </w:p>
              </w:tc>
              <w:tc>
                <w:tcPr>
                  <w:tcW w:w="596" w:type="dxa"/>
                  <w:vMerge w:val="restart"/>
                  <w:tcBorders>
                    <w:top w:val="single" w:color="000000" w:sz="4" w:space="0"/>
                    <w:bottom w:val="single" w:color="000000" w:sz="4" w:space="0"/>
                  </w:tcBorders>
                  <w:noWrap w:val="0"/>
                  <w:vAlign w:val="center"/>
                </w:tcPr>
                <w:p w14:paraId="725AE201">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olor w:val="000000"/>
                      <w:sz w:val="21"/>
                      <w:szCs w:val="21"/>
                    </w:rPr>
                    <w:t>4</w:t>
                  </w:r>
                </w:p>
              </w:tc>
              <w:tc>
                <w:tcPr>
                  <w:tcW w:w="1044" w:type="dxa"/>
                  <w:vMerge w:val="restart"/>
                  <w:tcBorders>
                    <w:top w:val="single" w:color="000000" w:sz="4" w:space="0"/>
                    <w:bottom w:val="single" w:color="000000" w:sz="4" w:space="0"/>
                  </w:tcBorders>
                  <w:noWrap w:val="0"/>
                  <w:vAlign w:val="center"/>
                </w:tcPr>
                <w:p w14:paraId="1E5C2A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 </w:t>
                  </w:r>
                  <w:r>
                    <w:rPr>
                      <w:rFonts w:hint="eastAsia" w:cs="Times New Roman"/>
                      <w:i w:val="0"/>
                      <w:iCs w:val="0"/>
                      <w:color w:val="auto"/>
                      <w:kern w:val="0"/>
                      <w:sz w:val="21"/>
                      <w:szCs w:val="21"/>
                      <w:u w:val="none"/>
                      <w:lang w:val="en-US" w:eastAsia="zh-CN" w:bidi="ar"/>
                    </w:rPr>
                    <w:t>70</w:t>
                  </w:r>
                </w:p>
              </w:tc>
              <w:tc>
                <w:tcPr>
                  <w:tcW w:w="636" w:type="dxa"/>
                  <w:vMerge w:val="continue"/>
                  <w:noWrap w:val="0"/>
                  <w:vAlign w:val="center"/>
                </w:tcPr>
                <w:p w14:paraId="0B833F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499" w:type="dxa"/>
                  <w:vMerge w:val="restart"/>
                  <w:tcBorders>
                    <w:top w:val="single" w:color="000000" w:sz="4" w:space="0"/>
                    <w:bottom w:val="single" w:color="000000" w:sz="4" w:space="0"/>
                  </w:tcBorders>
                  <w:noWrap w:val="0"/>
                  <w:vAlign w:val="center"/>
                </w:tcPr>
                <w:p w14:paraId="0CBC0163">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-19</w:t>
                  </w:r>
                </w:p>
              </w:tc>
              <w:tc>
                <w:tcPr>
                  <w:tcW w:w="498" w:type="dxa"/>
                  <w:vMerge w:val="restart"/>
                  <w:tcBorders>
                    <w:top w:val="single" w:color="000000" w:sz="4" w:space="0"/>
                    <w:bottom w:val="single" w:color="000000" w:sz="4" w:space="0"/>
                  </w:tcBorders>
                  <w:noWrap w:val="0"/>
                  <w:vAlign w:val="center"/>
                </w:tcPr>
                <w:p w14:paraId="3AED1333">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35</w:t>
                  </w:r>
                </w:p>
              </w:tc>
              <w:tc>
                <w:tcPr>
                  <w:tcW w:w="398" w:type="dxa"/>
                  <w:vMerge w:val="restart"/>
                  <w:tcBorders>
                    <w:top w:val="single" w:color="000000" w:sz="4" w:space="0"/>
                    <w:bottom w:val="single" w:color="000000" w:sz="4" w:space="0"/>
                  </w:tcBorders>
                  <w:noWrap w:val="0"/>
                  <w:vAlign w:val="center"/>
                </w:tcPr>
                <w:p w14:paraId="41F7A8B0">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w:t>
                  </w:r>
                </w:p>
              </w:tc>
              <w:tc>
                <w:tcPr>
                  <w:tcW w:w="426" w:type="dxa"/>
                  <w:tcBorders>
                    <w:top w:val="single" w:color="000000" w:sz="4" w:space="0"/>
                    <w:bottom w:val="single" w:color="000000" w:sz="4" w:space="0"/>
                  </w:tcBorders>
                  <w:shd w:val="clear" w:color="auto" w:fill="auto"/>
                  <w:noWrap w:val="0"/>
                  <w:vAlign w:val="center"/>
                </w:tcPr>
                <w:p w14:paraId="0E8B31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988" w:type="dxa"/>
                  <w:tcBorders>
                    <w:top w:val="single" w:color="000000" w:sz="4" w:space="0"/>
                    <w:bottom w:val="single" w:color="000000" w:sz="4" w:space="0"/>
                  </w:tcBorders>
                  <w:noWrap w:val="0"/>
                  <w:vAlign w:val="center"/>
                </w:tcPr>
                <w:p w14:paraId="2FE4E4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13</w:t>
                  </w:r>
                </w:p>
              </w:tc>
              <w:tc>
                <w:tcPr>
                  <w:tcW w:w="803" w:type="dxa"/>
                  <w:tcBorders>
                    <w:top w:val="single" w:color="000000" w:sz="4" w:space="0"/>
                    <w:bottom w:val="single" w:color="000000" w:sz="4" w:space="0"/>
                  </w:tcBorders>
                  <w:shd w:val="clear" w:color="auto" w:fill="auto"/>
                  <w:noWrap w:val="0"/>
                  <w:vAlign w:val="center"/>
                </w:tcPr>
                <w:p w14:paraId="07846B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1285" w:type="dxa"/>
                  <w:tcBorders>
                    <w:top w:val="single" w:color="000000" w:sz="4" w:space="0"/>
                    <w:bottom w:val="single" w:color="000000" w:sz="4" w:space="0"/>
                  </w:tcBorders>
                  <w:noWrap w:val="0"/>
                  <w:vAlign w:val="center"/>
                </w:tcPr>
                <w:p w14:paraId="610ECD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48.0 </w:t>
                  </w:r>
                </w:p>
              </w:tc>
              <w:tc>
                <w:tcPr>
                  <w:tcW w:w="587" w:type="dxa"/>
                  <w:vMerge w:val="continue"/>
                  <w:noWrap w:val="0"/>
                  <w:vAlign w:val="center"/>
                </w:tcPr>
                <w:p w14:paraId="6684AE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94" w:type="dxa"/>
                  <w:vMerge w:val="continue"/>
                  <w:noWrap w:val="0"/>
                  <w:vAlign w:val="center"/>
                </w:tcPr>
                <w:p w14:paraId="6A4C5B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27" w:type="dxa"/>
                  <w:vMerge w:val="continue"/>
                  <w:noWrap w:val="0"/>
                  <w:vAlign w:val="center"/>
                </w:tcPr>
                <w:p w14:paraId="10E621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33" w:type="dxa"/>
                  <w:vMerge w:val="continue"/>
                  <w:noWrap w:val="0"/>
                  <w:vAlign w:val="center"/>
                </w:tcPr>
                <w:p w14:paraId="09202B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34" w:type="dxa"/>
                  <w:vMerge w:val="continue"/>
                  <w:noWrap w:val="0"/>
                  <w:vAlign w:val="center"/>
                </w:tcPr>
                <w:p w14:paraId="26439C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ED9AC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7" w:type="dxa"/>
                  <w:vMerge w:val="continue"/>
                  <w:tcBorders>
                    <w:top w:val="single" w:color="000000" w:sz="4" w:space="0"/>
                    <w:bottom w:val="single" w:color="000000" w:sz="4" w:space="0"/>
                  </w:tcBorders>
                  <w:noWrap w:val="0"/>
                  <w:vAlign w:val="center"/>
                </w:tcPr>
                <w:p w14:paraId="55FC339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rightChars="0" w:hanging="425" w:firstLineChars="0"/>
                    <w:jc w:val="center"/>
                    <w:textAlignment w:val="center"/>
                    <w:rPr>
                      <w:rFonts w:hint="default" w:ascii="Times New Roman" w:hAnsi="Times New Roman" w:eastAsia="宋体" w:cs="Times New Roman"/>
                      <w:i w:val="0"/>
                      <w:iCs w:val="0"/>
                      <w:color w:val="auto"/>
                      <w:kern w:val="0"/>
                      <w:sz w:val="21"/>
                      <w:szCs w:val="21"/>
                      <w:lang w:val="en-US" w:eastAsia="zh-CN" w:bidi="ar"/>
                    </w:rPr>
                  </w:pPr>
                </w:p>
              </w:tc>
              <w:tc>
                <w:tcPr>
                  <w:tcW w:w="636" w:type="dxa"/>
                  <w:vMerge w:val="continue"/>
                  <w:noWrap w:val="0"/>
                  <w:vAlign w:val="center"/>
                </w:tcPr>
                <w:p w14:paraId="3F1274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03" w:type="dxa"/>
                  <w:vMerge w:val="continue"/>
                  <w:tcBorders>
                    <w:top w:val="single" w:color="000000" w:sz="4" w:space="0"/>
                    <w:bottom w:val="single" w:color="000000" w:sz="4" w:space="0"/>
                  </w:tcBorders>
                  <w:noWrap w:val="0"/>
                  <w:vAlign w:val="center"/>
                </w:tcPr>
                <w:p w14:paraId="2F07C3F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lang w:val="en-US" w:eastAsia="zh-CN"/>
                    </w:rPr>
                  </w:pPr>
                </w:p>
              </w:tc>
              <w:tc>
                <w:tcPr>
                  <w:tcW w:w="865" w:type="dxa"/>
                  <w:vMerge w:val="continue"/>
                  <w:tcBorders>
                    <w:top w:val="single" w:color="000000" w:sz="4" w:space="0"/>
                    <w:bottom w:val="single" w:color="000000" w:sz="4" w:space="0"/>
                  </w:tcBorders>
                  <w:noWrap w:val="0"/>
                  <w:vAlign w:val="center"/>
                </w:tcPr>
                <w:p w14:paraId="207A4F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596" w:type="dxa"/>
                  <w:vMerge w:val="continue"/>
                  <w:tcBorders>
                    <w:top w:val="single" w:color="000000" w:sz="4" w:space="0"/>
                    <w:bottom w:val="single" w:color="000000" w:sz="4" w:space="0"/>
                  </w:tcBorders>
                  <w:noWrap w:val="0"/>
                  <w:vAlign w:val="center"/>
                </w:tcPr>
                <w:p w14:paraId="32E9ED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044" w:type="dxa"/>
                  <w:vMerge w:val="continue"/>
                  <w:tcBorders>
                    <w:top w:val="single" w:color="000000" w:sz="4" w:space="0"/>
                    <w:bottom w:val="single" w:color="000000" w:sz="4" w:space="0"/>
                  </w:tcBorders>
                  <w:noWrap w:val="0"/>
                  <w:vAlign w:val="center"/>
                </w:tcPr>
                <w:p w14:paraId="706288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636" w:type="dxa"/>
                  <w:vMerge w:val="continue"/>
                  <w:noWrap w:val="0"/>
                  <w:vAlign w:val="center"/>
                </w:tcPr>
                <w:p w14:paraId="3E1860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499" w:type="dxa"/>
                  <w:vMerge w:val="continue"/>
                  <w:tcBorders>
                    <w:top w:val="single" w:color="000000" w:sz="4" w:space="0"/>
                    <w:bottom w:val="single" w:color="000000" w:sz="4" w:space="0"/>
                  </w:tcBorders>
                  <w:noWrap w:val="0"/>
                  <w:vAlign w:val="center"/>
                </w:tcPr>
                <w:p w14:paraId="72C7019F">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498" w:type="dxa"/>
                  <w:vMerge w:val="continue"/>
                  <w:tcBorders>
                    <w:top w:val="single" w:color="000000" w:sz="4" w:space="0"/>
                    <w:bottom w:val="single" w:color="000000" w:sz="4" w:space="0"/>
                  </w:tcBorders>
                  <w:noWrap w:val="0"/>
                  <w:vAlign w:val="center"/>
                </w:tcPr>
                <w:p w14:paraId="130975D9">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398" w:type="dxa"/>
                  <w:vMerge w:val="continue"/>
                  <w:tcBorders>
                    <w:top w:val="single" w:color="000000" w:sz="4" w:space="0"/>
                    <w:bottom w:val="single" w:color="000000" w:sz="4" w:space="0"/>
                  </w:tcBorders>
                  <w:noWrap w:val="0"/>
                  <w:vAlign w:val="center"/>
                </w:tcPr>
                <w:p w14:paraId="24660C17">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426" w:type="dxa"/>
                  <w:tcBorders>
                    <w:top w:val="single" w:color="000000" w:sz="4" w:space="0"/>
                    <w:bottom w:val="single" w:color="000000" w:sz="4" w:space="0"/>
                  </w:tcBorders>
                  <w:shd w:val="clear" w:color="auto" w:fill="auto"/>
                  <w:noWrap w:val="0"/>
                  <w:vAlign w:val="center"/>
                </w:tcPr>
                <w:p w14:paraId="24B025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988" w:type="dxa"/>
                  <w:tcBorders>
                    <w:top w:val="single" w:color="000000" w:sz="4" w:space="0"/>
                    <w:bottom w:val="single" w:color="000000" w:sz="4" w:space="0"/>
                  </w:tcBorders>
                  <w:noWrap w:val="0"/>
                  <w:vAlign w:val="center"/>
                </w:tcPr>
                <w:p w14:paraId="5C6330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34</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803" w:type="dxa"/>
                  <w:tcBorders>
                    <w:top w:val="single" w:color="000000" w:sz="4" w:space="0"/>
                    <w:bottom w:val="single" w:color="000000" w:sz="4" w:space="0"/>
                  </w:tcBorders>
                  <w:shd w:val="clear" w:color="auto" w:fill="auto"/>
                  <w:noWrap w:val="0"/>
                  <w:vAlign w:val="center"/>
                </w:tcPr>
                <w:p w14:paraId="4AF7CC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1285" w:type="dxa"/>
                  <w:tcBorders>
                    <w:top w:val="single" w:color="000000" w:sz="4" w:space="0"/>
                    <w:bottom w:val="single" w:color="000000" w:sz="4" w:space="0"/>
                  </w:tcBorders>
                  <w:noWrap w:val="0"/>
                  <w:vAlign w:val="center"/>
                </w:tcPr>
                <w:p w14:paraId="5C728D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46.7 </w:t>
                  </w:r>
                </w:p>
              </w:tc>
              <w:tc>
                <w:tcPr>
                  <w:tcW w:w="587" w:type="dxa"/>
                  <w:vMerge w:val="continue"/>
                  <w:noWrap w:val="0"/>
                  <w:vAlign w:val="center"/>
                </w:tcPr>
                <w:p w14:paraId="57524F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94" w:type="dxa"/>
                  <w:vMerge w:val="continue"/>
                  <w:noWrap w:val="0"/>
                  <w:vAlign w:val="center"/>
                </w:tcPr>
                <w:p w14:paraId="393409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27" w:type="dxa"/>
                  <w:vMerge w:val="continue"/>
                  <w:noWrap w:val="0"/>
                  <w:vAlign w:val="center"/>
                </w:tcPr>
                <w:p w14:paraId="2A58EB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33" w:type="dxa"/>
                  <w:vMerge w:val="continue"/>
                  <w:noWrap w:val="0"/>
                  <w:vAlign w:val="center"/>
                </w:tcPr>
                <w:p w14:paraId="0FB8B4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34" w:type="dxa"/>
                  <w:vMerge w:val="continue"/>
                  <w:noWrap w:val="0"/>
                  <w:vAlign w:val="center"/>
                </w:tcPr>
                <w:p w14:paraId="41D4AE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3460D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7" w:type="dxa"/>
                  <w:vMerge w:val="continue"/>
                  <w:tcBorders>
                    <w:top w:val="single" w:color="000000" w:sz="4" w:space="0"/>
                    <w:bottom w:val="single" w:color="000000" w:sz="4" w:space="0"/>
                  </w:tcBorders>
                  <w:noWrap w:val="0"/>
                  <w:vAlign w:val="center"/>
                </w:tcPr>
                <w:p w14:paraId="409B0A71">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rightChars="0" w:hanging="425" w:firstLineChars="0"/>
                    <w:jc w:val="center"/>
                    <w:textAlignment w:val="center"/>
                    <w:rPr>
                      <w:rFonts w:hint="default" w:ascii="Times New Roman" w:hAnsi="Times New Roman" w:eastAsia="宋体" w:cs="Times New Roman"/>
                      <w:i w:val="0"/>
                      <w:iCs w:val="0"/>
                      <w:color w:val="auto"/>
                      <w:kern w:val="0"/>
                      <w:sz w:val="21"/>
                      <w:szCs w:val="21"/>
                      <w:lang w:val="en-US" w:eastAsia="zh-CN" w:bidi="ar"/>
                    </w:rPr>
                  </w:pPr>
                </w:p>
              </w:tc>
              <w:tc>
                <w:tcPr>
                  <w:tcW w:w="636" w:type="dxa"/>
                  <w:vMerge w:val="continue"/>
                  <w:noWrap w:val="0"/>
                  <w:vAlign w:val="center"/>
                </w:tcPr>
                <w:p w14:paraId="488BC5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03" w:type="dxa"/>
                  <w:vMerge w:val="continue"/>
                  <w:tcBorders>
                    <w:top w:val="single" w:color="000000" w:sz="4" w:space="0"/>
                    <w:bottom w:val="single" w:color="000000" w:sz="4" w:space="0"/>
                  </w:tcBorders>
                  <w:noWrap w:val="0"/>
                  <w:vAlign w:val="center"/>
                </w:tcPr>
                <w:p w14:paraId="4ADE38B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lang w:val="en-US" w:eastAsia="zh-CN"/>
                    </w:rPr>
                  </w:pPr>
                </w:p>
              </w:tc>
              <w:tc>
                <w:tcPr>
                  <w:tcW w:w="865" w:type="dxa"/>
                  <w:vMerge w:val="continue"/>
                  <w:tcBorders>
                    <w:top w:val="single" w:color="000000" w:sz="4" w:space="0"/>
                    <w:bottom w:val="single" w:color="000000" w:sz="4" w:space="0"/>
                  </w:tcBorders>
                  <w:noWrap w:val="0"/>
                  <w:vAlign w:val="center"/>
                </w:tcPr>
                <w:p w14:paraId="67B671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596" w:type="dxa"/>
                  <w:vMerge w:val="continue"/>
                  <w:tcBorders>
                    <w:top w:val="single" w:color="000000" w:sz="4" w:space="0"/>
                    <w:bottom w:val="single" w:color="000000" w:sz="4" w:space="0"/>
                  </w:tcBorders>
                  <w:noWrap w:val="0"/>
                  <w:vAlign w:val="center"/>
                </w:tcPr>
                <w:p w14:paraId="2B781D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044" w:type="dxa"/>
                  <w:vMerge w:val="continue"/>
                  <w:tcBorders>
                    <w:top w:val="single" w:color="000000" w:sz="4" w:space="0"/>
                    <w:bottom w:val="single" w:color="000000" w:sz="4" w:space="0"/>
                  </w:tcBorders>
                  <w:noWrap w:val="0"/>
                  <w:vAlign w:val="center"/>
                </w:tcPr>
                <w:p w14:paraId="66B541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636" w:type="dxa"/>
                  <w:vMerge w:val="continue"/>
                  <w:noWrap w:val="0"/>
                  <w:vAlign w:val="center"/>
                </w:tcPr>
                <w:p w14:paraId="21ACE6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499" w:type="dxa"/>
                  <w:vMerge w:val="continue"/>
                  <w:tcBorders>
                    <w:top w:val="single" w:color="000000" w:sz="4" w:space="0"/>
                    <w:bottom w:val="single" w:color="000000" w:sz="4" w:space="0"/>
                  </w:tcBorders>
                  <w:noWrap w:val="0"/>
                  <w:vAlign w:val="center"/>
                </w:tcPr>
                <w:p w14:paraId="4EF67374">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498" w:type="dxa"/>
                  <w:vMerge w:val="continue"/>
                  <w:tcBorders>
                    <w:top w:val="single" w:color="000000" w:sz="4" w:space="0"/>
                    <w:bottom w:val="single" w:color="000000" w:sz="4" w:space="0"/>
                  </w:tcBorders>
                  <w:noWrap w:val="0"/>
                  <w:vAlign w:val="center"/>
                </w:tcPr>
                <w:p w14:paraId="4DAEAC56">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398" w:type="dxa"/>
                  <w:vMerge w:val="continue"/>
                  <w:tcBorders>
                    <w:top w:val="single" w:color="000000" w:sz="4" w:space="0"/>
                    <w:bottom w:val="single" w:color="000000" w:sz="4" w:space="0"/>
                  </w:tcBorders>
                  <w:noWrap w:val="0"/>
                  <w:vAlign w:val="center"/>
                </w:tcPr>
                <w:p w14:paraId="608FFBAD">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426" w:type="dxa"/>
                  <w:tcBorders>
                    <w:top w:val="single" w:color="000000" w:sz="4" w:space="0"/>
                    <w:bottom w:val="single" w:color="000000" w:sz="4" w:space="0"/>
                  </w:tcBorders>
                  <w:shd w:val="clear" w:color="auto" w:fill="auto"/>
                  <w:noWrap w:val="0"/>
                  <w:vAlign w:val="center"/>
                </w:tcPr>
                <w:p w14:paraId="11B2A1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988" w:type="dxa"/>
                  <w:tcBorders>
                    <w:top w:val="single" w:color="000000" w:sz="4" w:space="0"/>
                    <w:bottom w:val="single" w:color="000000" w:sz="4" w:space="0"/>
                  </w:tcBorders>
                  <w:noWrap w:val="0"/>
                  <w:vAlign w:val="center"/>
                </w:tcPr>
                <w:p w14:paraId="03A162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27</w:t>
                  </w:r>
                </w:p>
              </w:tc>
              <w:tc>
                <w:tcPr>
                  <w:tcW w:w="803" w:type="dxa"/>
                  <w:tcBorders>
                    <w:top w:val="single" w:color="000000" w:sz="4" w:space="0"/>
                    <w:bottom w:val="single" w:color="000000" w:sz="4" w:space="0"/>
                  </w:tcBorders>
                  <w:shd w:val="clear" w:color="auto" w:fill="auto"/>
                  <w:noWrap w:val="0"/>
                  <w:vAlign w:val="center"/>
                </w:tcPr>
                <w:p w14:paraId="12D379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1285" w:type="dxa"/>
                  <w:tcBorders>
                    <w:top w:val="single" w:color="000000" w:sz="4" w:space="0"/>
                    <w:bottom w:val="single" w:color="000000" w:sz="4" w:space="0"/>
                  </w:tcBorders>
                  <w:noWrap w:val="0"/>
                  <w:vAlign w:val="center"/>
                </w:tcPr>
                <w:p w14:paraId="33AC85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46.8 </w:t>
                  </w:r>
                </w:p>
              </w:tc>
              <w:tc>
                <w:tcPr>
                  <w:tcW w:w="587" w:type="dxa"/>
                  <w:vMerge w:val="continue"/>
                  <w:noWrap w:val="0"/>
                  <w:vAlign w:val="center"/>
                </w:tcPr>
                <w:p w14:paraId="7C172B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94" w:type="dxa"/>
                  <w:vMerge w:val="continue"/>
                  <w:noWrap w:val="0"/>
                  <w:vAlign w:val="center"/>
                </w:tcPr>
                <w:p w14:paraId="1EF2F7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27" w:type="dxa"/>
                  <w:vMerge w:val="continue"/>
                  <w:tcBorders>
                    <w:bottom w:val="single" w:color="auto" w:sz="4" w:space="0"/>
                  </w:tcBorders>
                  <w:noWrap w:val="0"/>
                  <w:vAlign w:val="center"/>
                </w:tcPr>
                <w:p w14:paraId="16E4A8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33" w:type="dxa"/>
                  <w:vMerge w:val="continue"/>
                  <w:tcBorders>
                    <w:bottom w:val="single" w:color="auto" w:sz="4" w:space="0"/>
                  </w:tcBorders>
                  <w:noWrap w:val="0"/>
                  <w:vAlign w:val="center"/>
                </w:tcPr>
                <w:p w14:paraId="7AD320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34" w:type="dxa"/>
                  <w:vMerge w:val="continue"/>
                  <w:tcBorders>
                    <w:bottom w:val="single" w:color="auto" w:sz="4" w:space="0"/>
                  </w:tcBorders>
                  <w:noWrap w:val="0"/>
                  <w:vAlign w:val="center"/>
                </w:tcPr>
                <w:p w14:paraId="1A6EB8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5448B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27" w:type="dxa"/>
                  <w:vMerge w:val="continue"/>
                  <w:tcBorders>
                    <w:top w:val="single" w:color="000000" w:sz="4" w:space="0"/>
                    <w:bottom w:val="single" w:color="000000" w:sz="4" w:space="0"/>
                  </w:tcBorders>
                  <w:noWrap w:val="0"/>
                  <w:vAlign w:val="center"/>
                </w:tcPr>
                <w:p w14:paraId="381C6F7D">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rightChars="0" w:hanging="425" w:firstLineChars="0"/>
                    <w:jc w:val="center"/>
                    <w:textAlignment w:val="center"/>
                    <w:rPr>
                      <w:rFonts w:hint="default" w:ascii="Times New Roman" w:hAnsi="Times New Roman" w:eastAsia="宋体" w:cs="Times New Roman"/>
                      <w:i w:val="0"/>
                      <w:iCs w:val="0"/>
                      <w:color w:val="auto"/>
                      <w:kern w:val="0"/>
                      <w:sz w:val="21"/>
                      <w:szCs w:val="21"/>
                      <w:lang w:val="en-US" w:eastAsia="zh-CN" w:bidi="ar"/>
                    </w:rPr>
                  </w:pPr>
                </w:p>
              </w:tc>
              <w:tc>
                <w:tcPr>
                  <w:tcW w:w="636" w:type="dxa"/>
                  <w:vMerge w:val="continue"/>
                  <w:noWrap w:val="0"/>
                  <w:vAlign w:val="center"/>
                </w:tcPr>
                <w:p w14:paraId="6AA097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03" w:type="dxa"/>
                  <w:vMerge w:val="continue"/>
                  <w:tcBorders>
                    <w:top w:val="single" w:color="000000" w:sz="4" w:space="0"/>
                    <w:bottom w:val="single" w:color="000000" w:sz="4" w:space="0"/>
                  </w:tcBorders>
                  <w:noWrap w:val="0"/>
                  <w:vAlign w:val="center"/>
                </w:tcPr>
                <w:p w14:paraId="31F8834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lang w:val="en-US" w:eastAsia="zh-CN"/>
                    </w:rPr>
                  </w:pPr>
                </w:p>
              </w:tc>
              <w:tc>
                <w:tcPr>
                  <w:tcW w:w="865" w:type="dxa"/>
                  <w:vMerge w:val="continue"/>
                  <w:tcBorders>
                    <w:top w:val="single" w:color="000000" w:sz="4" w:space="0"/>
                    <w:bottom w:val="single" w:color="000000" w:sz="4" w:space="0"/>
                  </w:tcBorders>
                  <w:noWrap w:val="0"/>
                  <w:vAlign w:val="center"/>
                </w:tcPr>
                <w:p w14:paraId="2B3D1A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596" w:type="dxa"/>
                  <w:vMerge w:val="continue"/>
                  <w:tcBorders>
                    <w:top w:val="single" w:color="000000" w:sz="4" w:space="0"/>
                    <w:bottom w:val="single" w:color="000000" w:sz="4" w:space="0"/>
                  </w:tcBorders>
                  <w:noWrap w:val="0"/>
                  <w:vAlign w:val="center"/>
                </w:tcPr>
                <w:p w14:paraId="6DFA7C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044" w:type="dxa"/>
                  <w:vMerge w:val="continue"/>
                  <w:tcBorders>
                    <w:top w:val="single" w:color="000000" w:sz="4" w:space="0"/>
                    <w:bottom w:val="single" w:color="000000" w:sz="4" w:space="0"/>
                  </w:tcBorders>
                  <w:noWrap w:val="0"/>
                  <w:vAlign w:val="center"/>
                </w:tcPr>
                <w:p w14:paraId="386694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636" w:type="dxa"/>
                  <w:vMerge w:val="continue"/>
                  <w:noWrap w:val="0"/>
                  <w:vAlign w:val="center"/>
                </w:tcPr>
                <w:p w14:paraId="66FF61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499" w:type="dxa"/>
                  <w:vMerge w:val="continue"/>
                  <w:tcBorders>
                    <w:top w:val="single" w:color="000000" w:sz="4" w:space="0"/>
                    <w:bottom w:val="single" w:color="000000" w:sz="4" w:space="0"/>
                  </w:tcBorders>
                  <w:noWrap w:val="0"/>
                  <w:vAlign w:val="center"/>
                </w:tcPr>
                <w:p w14:paraId="61E8CEBC">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498" w:type="dxa"/>
                  <w:vMerge w:val="continue"/>
                  <w:tcBorders>
                    <w:top w:val="single" w:color="000000" w:sz="4" w:space="0"/>
                    <w:bottom w:val="single" w:color="000000" w:sz="4" w:space="0"/>
                  </w:tcBorders>
                  <w:noWrap w:val="0"/>
                  <w:vAlign w:val="center"/>
                </w:tcPr>
                <w:p w14:paraId="4AFAE7A2">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398" w:type="dxa"/>
                  <w:vMerge w:val="continue"/>
                  <w:tcBorders>
                    <w:top w:val="single" w:color="000000" w:sz="4" w:space="0"/>
                    <w:bottom w:val="single" w:color="000000" w:sz="4" w:space="0"/>
                  </w:tcBorders>
                  <w:noWrap w:val="0"/>
                  <w:vAlign w:val="center"/>
                </w:tcPr>
                <w:p w14:paraId="00DB2D53">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426" w:type="dxa"/>
                  <w:tcBorders>
                    <w:top w:val="single" w:color="000000" w:sz="4" w:space="0"/>
                    <w:bottom w:val="single" w:color="000000" w:sz="4" w:space="0"/>
                  </w:tcBorders>
                  <w:shd w:val="clear" w:color="auto" w:fill="auto"/>
                  <w:noWrap w:val="0"/>
                  <w:vAlign w:val="center"/>
                </w:tcPr>
                <w:p w14:paraId="0F513A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988" w:type="dxa"/>
                  <w:tcBorders>
                    <w:top w:val="single" w:color="000000" w:sz="4" w:space="0"/>
                    <w:bottom w:val="single" w:color="000000" w:sz="4" w:space="0"/>
                  </w:tcBorders>
                  <w:noWrap w:val="0"/>
                  <w:vAlign w:val="center"/>
                </w:tcPr>
                <w:p w14:paraId="459684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13</w:t>
                  </w:r>
                </w:p>
              </w:tc>
              <w:tc>
                <w:tcPr>
                  <w:tcW w:w="803" w:type="dxa"/>
                  <w:tcBorders>
                    <w:top w:val="single" w:color="000000" w:sz="4" w:space="0"/>
                    <w:bottom w:val="single" w:color="000000" w:sz="4" w:space="0"/>
                  </w:tcBorders>
                  <w:shd w:val="clear" w:color="auto" w:fill="auto"/>
                  <w:noWrap w:val="0"/>
                  <w:vAlign w:val="center"/>
                </w:tcPr>
                <w:p w14:paraId="5813D0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1285" w:type="dxa"/>
                  <w:tcBorders>
                    <w:top w:val="single" w:color="000000" w:sz="4" w:space="0"/>
                    <w:bottom w:val="single" w:color="000000" w:sz="4" w:space="0"/>
                  </w:tcBorders>
                  <w:noWrap w:val="0"/>
                  <w:vAlign w:val="center"/>
                </w:tcPr>
                <w:p w14:paraId="06A3B3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48.0 </w:t>
                  </w:r>
                </w:p>
              </w:tc>
              <w:tc>
                <w:tcPr>
                  <w:tcW w:w="587" w:type="dxa"/>
                  <w:vMerge w:val="continue"/>
                  <w:noWrap w:val="0"/>
                  <w:vAlign w:val="center"/>
                </w:tcPr>
                <w:p w14:paraId="1C3EC8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94" w:type="dxa"/>
                  <w:vMerge w:val="continue"/>
                  <w:noWrap w:val="0"/>
                  <w:vAlign w:val="center"/>
                </w:tcPr>
                <w:p w14:paraId="36C54E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27" w:type="dxa"/>
                  <w:vMerge w:val="restart"/>
                  <w:tcBorders>
                    <w:top w:val="single" w:color="auto" w:sz="4" w:space="0"/>
                  </w:tcBorders>
                  <w:noWrap w:val="0"/>
                  <w:vAlign w:val="center"/>
                </w:tcPr>
                <w:p w14:paraId="3DDD32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西</w:t>
                  </w:r>
                </w:p>
              </w:tc>
              <w:tc>
                <w:tcPr>
                  <w:tcW w:w="933" w:type="dxa"/>
                  <w:vMerge w:val="restart"/>
                  <w:tcBorders>
                    <w:top w:val="single" w:color="auto" w:sz="4" w:space="0"/>
                  </w:tcBorders>
                  <w:noWrap w:val="0"/>
                  <w:vAlign w:val="center"/>
                </w:tcPr>
                <w:p w14:paraId="7937E3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53.0 </w:t>
                  </w:r>
                </w:p>
              </w:tc>
              <w:tc>
                <w:tcPr>
                  <w:tcW w:w="634" w:type="dxa"/>
                  <w:vMerge w:val="restart"/>
                  <w:tcBorders>
                    <w:top w:val="single" w:color="auto" w:sz="4" w:space="0"/>
                  </w:tcBorders>
                  <w:noWrap w:val="0"/>
                  <w:vAlign w:val="center"/>
                </w:tcPr>
                <w:p w14:paraId="5AA7196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sz w:val="21"/>
                      <w:szCs w:val="21"/>
                      <w:highlight w:val="none"/>
                      <w:u w:val="none"/>
                      <w:lang w:val="en-US" w:eastAsia="zh-CN"/>
                    </w:rPr>
                    <w:t>1</w:t>
                  </w:r>
                </w:p>
              </w:tc>
            </w:tr>
            <w:tr w14:paraId="217130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27" w:type="dxa"/>
                  <w:vMerge w:val="restart"/>
                  <w:tcBorders>
                    <w:top w:val="single" w:color="000000" w:sz="4" w:space="0"/>
                  </w:tcBorders>
                  <w:noWrap w:val="0"/>
                  <w:vAlign w:val="center"/>
                </w:tcPr>
                <w:p w14:paraId="5BF150DC">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rightChars="0" w:hanging="425" w:firstLineChars="0"/>
                    <w:jc w:val="center"/>
                    <w:textAlignment w:val="center"/>
                    <w:rPr>
                      <w:rFonts w:hint="default" w:ascii="Times New Roman" w:hAnsi="Times New Roman" w:eastAsia="宋体" w:cs="Times New Roman"/>
                      <w:i w:val="0"/>
                      <w:iCs w:val="0"/>
                      <w:color w:val="auto"/>
                      <w:kern w:val="0"/>
                      <w:sz w:val="21"/>
                      <w:szCs w:val="21"/>
                      <w:lang w:val="en-US" w:eastAsia="zh-CN" w:bidi="ar"/>
                    </w:rPr>
                  </w:pPr>
                  <w:r>
                    <w:rPr>
                      <w:rFonts w:hint="eastAsia" w:ascii="Times New Roman" w:hAnsi="Times New Roman" w:eastAsia="宋体" w:cs="Times New Roman"/>
                      <w:i w:val="0"/>
                      <w:iCs w:val="0"/>
                      <w:color w:val="auto"/>
                      <w:kern w:val="0"/>
                      <w:sz w:val="21"/>
                      <w:szCs w:val="21"/>
                      <w:lang w:val="en-US" w:eastAsia="zh-CN" w:bidi="ar"/>
                    </w:rPr>
                    <w:t>4</w:t>
                  </w:r>
                </w:p>
              </w:tc>
              <w:tc>
                <w:tcPr>
                  <w:tcW w:w="636" w:type="dxa"/>
                  <w:vMerge w:val="continue"/>
                  <w:noWrap w:val="0"/>
                  <w:vAlign w:val="center"/>
                </w:tcPr>
                <w:p w14:paraId="2BD411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03" w:type="dxa"/>
                  <w:vMerge w:val="restart"/>
                  <w:tcBorders>
                    <w:top w:val="single" w:color="000000" w:sz="4" w:space="0"/>
                  </w:tcBorders>
                  <w:noWrap w:val="0"/>
                  <w:vAlign w:val="center"/>
                </w:tcPr>
                <w:p w14:paraId="54EE70E4">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olor w:val="000000"/>
                      <w:sz w:val="21"/>
                      <w:szCs w:val="21"/>
                    </w:rPr>
                    <w:t>离心机</w:t>
                  </w:r>
                </w:p>
              </w:tc>
              <w:tc>
                <w:tcPr>
                  <w:tcW w:w="865" w:type="dxa"/>
                  <w:vMerge w:val="restart"/>
                  <w:tcBorders>
                    <w:top w:val="single" w:color="000000" w:sz="4" w:space="0"/>
                  </w:tcBorders>
                  <w:noWrap w:val="0"/>
                  <w:vAlign w:val="center"/>
                </w:tcPr>
                <w:p w14:paraId="6338CA55">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olor w:val="000000"/>
                      <w:sz w:val="21"/>
                      <w:szCs w:val="22"/>
                    </w:rPr>
                    <w:t>5810R</w:t>
                  </w:r>
                </w:p>
              </w:tc>
              <w:tc>
                <w:tcPr>
                  <w:tcW w:w="596" w:type="dxa"/>
                  <w:vMerge w:val="restart"/>
                  <w:tcBorders>
                    <w:top w:val="single" w:color="000000" w:sz="4" w:space="0"/>
                  </w:tcBorders>
                  <w:noWrap w:val="0"/>
                  <w:vAlign w:val="center"/>
                </w:tcPr>
                <w:p w14:paraId="25476212">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olor w:val="000000"/>
                      <w:sz w:val="21"/>
                      <w:szCs w:val="21"/>
                    </w:rPr>
                    <w:t>1</w:t>
                  </w:r>
                </w:p>
              </w:tc>
              <w:tc>
                <w:tcPr>
                  <w:tcW w:w="1044" w:type="dxa"/>
                  <w:vMerge w:val="restart"/>
                  <w:tcBorders>
                    <w:top w:val="single" w:color="000000" w:sz="4" w:space="0"/>
                  </w:tcBorders>
                  <w:noWrap w:val="0"/>
                  <w:vAlign w:val="center"/>
                </w:tcPr>
                <w:p w14:paraId="3F3F40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70</w:t>
                  </w:r>
                </w:p>
              </w:tc>
              <w:tc>
                <w:tcPr>
                  <w:tcW w:w="636" w:type="dxa"/>
                  <w:vMerge w:val="continue"/>
                  <w:noWrap w:val="0"/>
                  <w:vAlign w:val="center"/>
                </w:tcPr>
                <w:p w14:paraId="7092FD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499" w:type="dxa"/>
                  <w:vMerge w:val="restart"/>
                  <w:tcBorders>
                    <w:top w:val="single" w:color="000000" w:sz="4" w:space="0"/>
                  </w:tcBorders>
                  <w:noWrap w:val="0"/>
                  <w:vAlign w:val="center"/>
                </w:tcPr>
                <w:p w14:paraId="436E1C06">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13</w:t>
                  </w:r>
                </w:p>
              </w:tc>
              <w:tc>
                <w:tcPr>
                  <w:tcW w:w="498" w:type="dxa"/>
                  <w:vMerge w:val="restart"/>
                  <w:tcBorders>
                    <w:top w:val="single" w:color="000000" w:sz="4" w:space="0"/>
                  </w:tcBorders>
                  <w:noWrap w:val="0"/>
                  <w:vAlign w:val="center"/>
                </w:tcPr>
                <w:p w14:paraId="3B736E6A">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49</w:t>
                  </w:r>
                </w:p>
              </w:tc>
              <w:tc>
                <w:tcPr>
                  <w:tcW w:w="398" w:type="dxa"/>
                  <w:vMerge w:val="restart"/>
                  <w:tcBorders>
                    <w:top w:val="single" w:color="000000" w:sz="4" w:space="0"/>
                  </w:tcBorders>
                  <w:noWrap w:val="0"/>
                  <w:vAlign w:val="center"/>
                </w:tcPr>
                <w:p w14:paraId="76FF5E07">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w:t>
                  </w:r>
                </w:p>
              </w:tc>
              <w:tc>
                <w:tcPr>
                  <w:tcW w:w="426" w:type="dxa"/>
                  <w:tcBorders>
                    <w:top w:val="single" w:color="000000" w:sz="4" w:space="0"/>
                    <w:bottom w:val="single" w:color="000000" w:sz="4" w:space="0"/>
                  </w:tcBorders>
                  <w:shd w:val="clear" w:color="auto" w:fill="auto"/>
                  <w:noWrap w:val="0"/>
                  <w:vAlign w:val="center"/>
                </w:tcPr>
                <w:p w14:paraId="201838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988" w:type="dxa"/>
                  <w:tcBorders>
                    <w:top w:val="single" w:color="000000" w:sz="4" w:space="0"/>
                    <w:bottom w:val="single" w:color="000000" w:sz="4" w:space="0"/>
                  </w:tcBorders>
                  <w:noWrap w:val="0"/>
                  <w:vAlign w:val="center"/>
                </w:tcPr>
                <w:p w14:paraId="7FBA84C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39</w:t>
                  </w:r>
                </w:p>
              </w:tc>
              <w:tc>
                <w:tcPr>
                  <w:tcW w:w="803" w:type="dxa"/>
                  <w:tcBorders>
                    <w:top w:val="single" w:color="000000" w:sz="4" w:space="0"/>
                    <w:bottom w:val="single" w:color="000000" w:sz="4" w:space="0"/>
                  </w:tcBorders>
                  <w:shd w:val="clear" w:color="auto" w:fill="auto"/>
                  <w:noWrap w:val="0"/>
                  <w:vAlign w:val="center"/>
                </w:tcPr>
                <w:p w14:paraId="6F11B1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1285" w:type="dxa"/>
                  <w:tcBorders>
                    <w:top w:val="single" w:color="000000" w:sz="4" w:space="0"/>
                    <w:bottom w:val="single" w:color="000000" w:sz="4" w:space="0"/>
                  </w:tcBorders>
                  <w:noWrap w:val="0"/>
                  <w:vAlign w:val="center"/>
                </w:tcPr>
                <w:p w14:paraId="6F3F48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40.6 </w:t>
                  </w:r>
                </w:p>
              </w:tc>
              <w:tc>
                <w:tcPr>
                  <w:tcW w:w="587" w:type="dxa"/>
                  <w:vMerge w:val="continue"/>
                  <w:noWrap w:val="0"/>
                  <w:vAlign w:val="center"/>
                </w:tcPr>
                <w:p w14:paraId="777E02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94" w:type="dxa"/>
                  <w:vMerge w:val="continue"/>
                  <w:noWrap w:val="0"/>
                  <w:vAlign w:val="center"/>
                </w:tcPr>
                <w:p w14:paraId="55DF8B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27" w:type="dxa"/>
                  <w:vMerge w:val="continue"/>
                  <w:noWrap w:val="0"/>
                  <w:vAlign w:val="center"/>
                </w:tcPr>
                <w:p w14:paraId="5AE15D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33" w:type="dxa"/>
                  <w:vMerge w:val="continue"/>
                  <w:noWrap w:val="0"/>
                  <w:vAlign w:val="center"/>
                </w:tcPr>
                <w:p w14:paraId="673D3A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34" w:type="dxa"/>
                  <w:vMerge w:val="continue"/>
                  <w:noWrap w:val="0"/>
                  <w:vAlign w:val="center"/>
                </w:tcPr>
                <w:p w14:paraId="77B161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C6D22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27" w:type="dxa"/>
                  <w:vMerge w:val="continue"/>
                  <w:noWrap w:val="0"/>
                  <w:vAlign w:val="center"/>
                </w:tcPr>
                <w:p w14:paraId="3D63E95A">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rightChars="0" w:hanging="425" w:firstLineChars="0"/>
                    <w:jc w:val="center"/>
                    <w:textAlignment w:val="center"/>
                    <w:rPr>
                      <w:rFonts w:hint="eastAsia" w:ascii="Times New Roman" w:hAnsi="Times New Roman" w:eastAsia="宋体" w:cs="Times New Roman"/>
                      <w:i w:val="0"/>
                      <w:iCs w:val="0"/>
                      <w:color w:val="auto"/>
                      <w:kern w:val="0"/>
                      <w:sz w:val="21"/>
                      <w:szCs w:val="21"/>
                      <w:lang w:val="en-US" w:eastAsia="zh-CN" w:bidi="ar"/>
                    </w:rPr>
                  </w:pPr>
                </w:p>
              </w:tc>
              <w:tc>
                <w:tcPr>
                  <w:tcW w:w="636" w:type="dxa"/>
                  <w:vMerge w:val="continue"/>
                  <w:noWrap w:val="0"/>
                  <w:vAlign w:val="center"/>
                </w:tcPr>
                <w:p w14:paraId="312DF4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03" w:type="dxa"/>
                  <w:vMerge w:val="continue"/>
                  <w:noWrap w:val="0"/>
                  <w:vAlign w:val="center"/>
                </w:tcPr>
                <w:p w14:paraId="0C9AE6D6">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olor w:val="000000"/>
                      <w:sz w:val="21"/>
                      <w:szCs w:val="21"/>
                    </w:rPr>
                  </w:pPr>
                </w:p>
              </w:tc>
              <w:tc>
                <w:tcPr>
                  <w:tcW w:w="865" w:type="dxa"/>
                  <w:vMerge w:val="continue"/>
                  <w:noWrap w:val="0"/>
                  <w:vAlign w:val="center"/>
                </w:tcPr>
                <w:p w14:paraId="3ABD35E4">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olor w:val="000000"/>
                      <w:sz w:val="21"/>
                      <w:szCs w:val="22"/>
                    </w:rPr>
                  </w:pPr>
                </w:p>
              </w:tc>
              <w:tc>
                <w:tcPr>
                  <w:tcW w:w="596" w:type="dxa"/>
                  <w:vMerge w:val="continue"/>
                  <w:noWrap w:val="0"/>
                  <w:vAlign w:val="center"/>
                </w:tcPr>
                <w:p w14:paraId="132F7B89">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olor w:val="000000"/>
                      <w:sz w:val="21"/>
                      <w:szCs w:val="21"/>
                    </w:rPr>
                  </w:pPr>
                </w:p>
              </w:tc>
              <w:tc>
                <w:tcPr>
                  <w:tcW w:w="1044" w:type="dxa"/>
                  <w:vMerge w:val="continue"/>
                  <w:noWrap w:val="0"/>
                  <w:vAlign w:val="center"/>
                </w:tcPr>
                <w:p w14:paraId="11C2C7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cs="Times New Roman"/>
                      <w:i w:val="0"/>
                      <w:iCs w:val="0"/>
                      <w:color w:val="auto"/>
                      <w:sz w:val="21"/>
                      <w:szCs w:val="21"/>
                      <w:highlight w:val="none"/>
                      <w:u w:val="none"/>
                      <w:lang w:val="en-US" w:eastAsia="zh-CN"/>
                    </w:rPr>
                  </w:pPr>
                </w:p>
              </w:tc>
              <w:tc>
                <w:tcPr>
                  <w:tcW w:w="636" w:type="dxa"/>
                  <w:vMerge w:val="continue"/>
                  <w:noWrap w:val="0"/>
                  <w:vAlign w:val="center"/>
                </w:tcPr>
                <w:p w14:paraId="51FC41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499" w:type="dxa"/>
                  <w:vMerge w:val="continue"/>
                  <w:noWrap w:val="0"/>
                  <w:vAlign w:val="center"/>
                </w:tcPr>
                <w:p w14:paraId="12D72042">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498" w:type="dxa"/>
                  <w:vMerge w:val="continue"/>
                  <w:noWrap w:val="0"/>
                  <w:vAlign w:val="center"/>
                </w:tcPr>
                <w:p w14:paraId="5F328115">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398" w:type="dxa"/>
                  <w:vMerge w:val="continue"/>
                  <w:noWrap w:val="0"/>
                  <w:vAlign w:val="center"/>
                </w:tcPr>
                <w:p w14:paraId="34A76BFA">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426" w:type="dxa"/>
                  <w:tcBorders>
                    <w:top w:val="single" w:color="000000" w:sz="4" w:space="0"/>
                    <w:bottom w:val="single" w:color="000000" w:sz="4" w:space="0"/>
                  </w:tcBorders>
                  <w:shd w:val="clear" w:color="auto" w:fill="auto"/>
                  <w:noWrap w:val="0"/>
                  <w:vAlign w:val="center"/>
                </w:tcPr>
                <w:p w14:paraId="711C3A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988" w:type="dxa"/>
                  <w:tcBorders>
                    <w:top w:val="single" w:color="000000" w:sz="4" w:space="0"/>
                    <w:bottom w:val="single" w:color="000000" w:sz="4" w:space="0"/>
                  </w:tcBorders>
                  <w:noWrap w:val="0"/>
                  <w:vAlign w:val="center"/>
                </w:tcPr>
                <w:p w14:paraId="150E61A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29</w:t>
                  </w:r>
                </w:p>
              </w:tc>
              <w:tc>
                <w:tcPr>
                  <w:tcW w:w="803" w:type="dxa"/>
                  <w:tcBorders>
                    <w:top w:val="single" w:color="000000" w:sz="4" w:space="0"/>
                    <w:bottom w:val="single" w:color="000000" w:sz="4" w:space="0"/>
                  </w:tcBorders>
                  <w:shd w:val="clear" w:color="auto" w:fill="auto"/>
                  <w:noWrap w:val="0"/>
                  <w:vAlign w:val="center"/>
                </w:tcPr>
                <w:p w14:paraId="41E833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1285" w:type="dxa"/>
                  <w:tcBorders>
                    <w:top w:val="single" w:color="000000" w:sz="4" w:space="0"/>
                    <w:bottom w:val="single" w:color="000000" w:sz="4" w:space="0"/>
                  </w:tcBorders>
                  <w:noWrap w:val="0"/>
                  <w:vAlign w:val="center"/>
                </w:tcPr>
                <w:p w14:paraId="6DF912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40.8 </w:t>
                  </w:r>
                </w:p>
              </w:tc>
              <w:tc>
                <w:tcPr>
                  <w:tcW w:w="587" w:type="dxa"/>
                  <w:vMerge w:val="continue"/>
                  <w:noWrap w:val="0"/>
                  <w:vAlign w:val="center"/>
                </w:tcPr>
                <w:p w14:paraId="2F7334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94" w:type="dxa"/>
                  <w:vMerge w:val="continue"/>
                  <w:noWrap w:val="0"/>
                  <w:vAlign w:val="center"/>
                </w:tcPr>
                <w:p w14:paraId="12AC43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27" w:type="dxa"/>
                  <w:vMerge w:val="continue"/>
                  <w:noWrap w:val="0"/>
                  <w:vAlign w:val="center"/>
                </w:tcPr>
                <w:p w14:paraId="198EF9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33" w:type="dxa"/>
                  <w:vMerge w:val="continue"/>
                  <w:noWrap w:val="0"/>
                  <w:vAlign w:val="center"/>
                </w:tcPr>
                <w:p w14:paraId="2851DC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34" w:type="dxa"/>
                  <w:vMerge w:val="continue"/>
                  <w:noWrap w:val="0"/>
                  <w:vAlign w:val="center"/>
                </w:tcPr>
                <w:p w14:paraId="2AAE26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0A333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27" w:type="dxa"/>
                  <w:vMerge w:val="continue"/>
                  <w:noWrap w:val="0"/>
                  <w:vAlign w:val="center"/>
                </w:tcPr>
                <w:p w14:paraId="3570342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rightChars="0" w:hanging="425" w:firstLineChars="0"/>
                    <w:jc w:val="center"/>
                    <w:textAlignment w:val="center"/>
                    <w:rPr>
                      <w:rFonts w:hint="eastAsia" w:ascii="Times New Roman" w:hAnsi="Times New Roman" w:eastAsia="宋体" w:cs="Times New Roman"/>
                      <w:i w:val="0"/>
                      <w:iCs w:val="0"/>
                      <w:color w:val="auto"/>
                      <w:kern w:val="0"/>
                      <w:sz w:val="21"/>
                      <w:szCs w:val="21"/>
                      <w:lang w:val="en-US" w:eastAsia="zh-CN" w:bidi="ar"/>
                    </w:rPr>
                  </w:pPr>
                </w:p>
              </w:tc>
              <w:tc>
                <w:tcPr>
                  <w:tcW w:w="636" w:type="dxa"/>
                  <w:vMerge w:val="continue"/>
                  <w:noWrap w:val="0"/>
                  <w:vAlign w:val="center"/>
                </w:tcPr>
                <w:p w14:paraId="21109B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03" w:type="dxa"/>
                  <w:vMerge w:val="continue"/>
                  <w:noWrap w:val="0"/>
                  <w:vAlign w:val="center"/>
                </w:tcPr>
                <w:p w14:paraId="58C3B581">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olor w:val="000000"/>
                      <w:sz w:val="21"/>
                      <w:szCs w:val="21"/>
                    </w:rPr>
                  </w:pPr>
                </w:p>
              </w:tc>
              <w:tc>
                <w:tcPr>
                  <w:tcW w:w="865" w:type="dxa"/>
                  <w:vMerge w:val="continue"/>
                  <w:noWrap w:val="0"/>
                  <w:vAlign w:val="center"/>
                </w:tcPr>
                <w:p w14:paraId="1C8FCFBC">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olor w:val="000000"/>
                      <w:sz w:val="21"/>
                      <w:szCs w:val="22"/>
                    </w:rPr>
                  </w:pPr>
                </w:p>
              </w:tc>
              <w:tc>
                <w:tcPr>
                  <w:tcW w:w="596" w:type="dxa"/>
                  <w:vMerge w:val="continue"/>
                  <w:noWrap w:val="0"/>
                  <w:vAlign w:val="center"/>
                </w:tcPr>
                <w:p w14:paraId="5600E806">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olor w:val="000000"/>
                      <w:sz w:val="21"/>
                      <w:szCs w:val="21"/>
                    </w:rPr>
                  </w:pPr>
                </w:p>
              </w:tc>
              <w:tc>
                <w:tcPr>
                  <w:tcW w:w="1044" w:type="dxa"/>
                  <w:vMerge w:val="continue"/>
                  <w:noWrap w:val="0"/>
                  <w:vAlign w:val="center"/>
                </w:tcPr>
                <w:p w14:paraId="469AFE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cs="Times New Roman"/>
                      <w:i w:val="0"/>
                      <w:iCs w:val="0"/>
                      <w:color w:val="auto"/>
                      <w:sz w:val="21"/>
                      <w:szCs w:val="21"/>
                      <w:highlight w:val="none"/>
                      <w:u w:val="none"/>
                      <w:lang w:val="en-US" w:eastAsia="zh-CN"/>
                    </w:rPr>
                  </w:pPr>
                </w:p>
              </w:tc>
              <w:tc>
                <w:tcPr>
                  <w:tcW w:w="636" w:type="dxa"/>
                  <w:vMerge w:val="continue"/>
                  <w:noWrap w:val="0"/>
                  <w:vAlign w:val="center"/>
                </w:tcPr>
                <w:p w14:paraId="32FC30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499" w:type="dxa"/>
                  <w:vMerge w:val="continue"/>
                  <w:noWrap w:val="0"/>
                  <w:vAlign w:val="center"/>
                </w:tcPr>
                <w:p w14:paraId="180B208C">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498" w:type="dxa"/>
                  <w:vMerge w:val="continue"/>
                  <w:noWrap w:val="0"/>
                  <w:vAlign w:val="center"/>
                </w:tcPr>
                <w:p w14:paraId="6CA35A69">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398" w:type="dxa"/>
                  <w:vMerge w:val="continue"/>
                  <w:noWrap w:val="0"/>
                  <w:vAlign w:val="center"/>
                </w:tcPr>
                <w:p w14:paraId="67381CDA">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426" w:type="dxa"/>
                  <w:tcBorders>
                    <w:top w:val="single" w:color="000000" w:sz="4" w:space="0"/>
                    <w:bottom w:val="single" w:color="000000" w:sz="4" w:space="0"/>
                  </w:tcBorders>
                  <w:shd w:val="clear" w:color="auto" w:fill="auto"/>
                  <w:noWrap w:val="0"/>
                  <w:vAlign w:val="center"/>
                </w:tcPr>
                <w:p w14:paraId="71214A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988" w:type="dxa"/>
                  <w:tcBorders>
                    <w:top w:val="single" w:color="000000" w:sz="4" w:space="0"/>
                    <w:bottom w:val="single" w:color="000000" w:sz="4" w:space="0"/>
                  </w:tcBorders>
                  <w:noWrap w:val="0"/>
                  <w:vAlign w:val="center"/>
                </w:tcPr>
                <w:p w14:paraId="2252CD8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803" w:type="dxa"/>
                  <w:tcBorders>
                    <w:top w:val="single" w:color="000000" w:sz="4" w:space="0"/>
                    <w:bottom w:val="single" w:color="000000" w:sz="4" w:space="0"/>
                  </w:tcBorders>
                  <w:shd w:val="clear" w:color="auto" w:fill="auto"/>
                  <w:noWrap w:val="0"/>
                  <w:vAlign w:val="center"/>
                </w:tcPr>
                <w:p w14:paraId="538F25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1285" w:type="dxa"/>
                  <w:tcBorders>
                    <w:top w:val="single" w:color="000000" w:sz="4" w:space="0"/>
                    <w:bottom w:val="single" w:color="000000" w:sz="4" w:space="0"/>
                  </w:tcBorders>
                  <w:noWrap w:val="0"/>
                  <w:vAlign w:val="center"/>
                </w:tcPr>
                <w:p w14:paraId="046161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46.3 </w:t>
                  </w:r>
                </w:p>
              </w:tc>
              <w:tc>
                <w:tcPr>
                  <w:tcW w:w="587" w:type="dxa"/>
                  <w:vMerge w:val="continue"/>
                  <w:noWrap w:val="0"/>
                  <w:vAlign w:val="center"/>
                </w:tcPr>
                <w:p w14:paraId="78DB11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94" w:type="dxa"/>
                  <w:vMerge w:val="continue"/>
                  <w:noWrap w:val="0"/>
                  <w:vAlign w:val="center"/>
                </w:tcPr>
                <w:p w14:paraId="5C6FB6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27" w:type="dxa"/>
                  <w:vMerge w:val="continue"/>
                  <w:noWrap w:val="0"/>
                  <w:vAlign w:val="center"/>
                </w:tcPr>
                <w:p w14:paraId="321265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33" w:type="dxa"/>
                  <w:vMerge w:val="continue"/>
                  <w:noWrap w:val="0"/>
                  <w:vAlign w:val="center"/>
                </w:tcPr>
                <w:p w14:paraId="1FA0B2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34" w:type="dxa"/>
                  <w:vMerge w:val="continue"/>
                  <w:noWrap w:val="0"/>
                  <w:vAlign w:val="center"/>
                </w:tcPr>
                <w:p w14:paraId="2FB0AC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73F78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27" w:type="dxa"/>
                  <w:vMerge w:val="continue"/>
                  <w:tcBorders>
                    <w:bottom w:val="single" w:color="000000" w:sz="4" w:space="0"/>
                  </w:tcBorders>
                  <w:noWrap w:val="0"/>
                  <w:vAlign w:val="center"/>
                </w:tcPr>
                <w:p w14:paraId="16B7E951">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rightChars="0" w:hanging="425" w:firstLineChars="0"/>
                    <w:jc w:val="center"/>
                    <w:textAlignment w:val="center"/>
                    <w:rPr>
                      <w:rFonts w:hint="eastAsia" w:ascii="Times New Roman" w:hAnsi="Times New Roman" w:eastAsia="宋体" w:cs="Times New Roman"/>
                      <w:i w:val="0"/>
                      <w:iCs w:val="0"/>
                      <w:color w:val="auto"/>
                      <w:kern w:val="0"/>
                      <w:sz w:val="21"/>
                      <w:szCs w:val="21"/>
                      <w:lang w:val="en-US" w:eastAsia="zh-CN" w:bidi="ar"/>
                    </w:rPr>
                  </w:pPr>
                </w:p>
              </w:tc>
              <w:tc>
                <w:tcPr>
                  <w:tcW w:w="636" w:type="dxa"/>
                  <w:vMerge w:val="continue"/>
                  <w:noWrap w:val="0"/>
                  <w:vAlign w:val="center"/>
                </w:tcPr>
                <w:p w14:paraId="3803E5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03" w:type="dxa"/>
                  <w:vMerge w:val="continue"/>
                  <w:tcBorders>
                    <w:bottom w:val="single" w:color="000000" w:sz="4" w:space="0"/>
                  </w:tcBorders>
                  <w:noWrap w:val="0"/>
                  <w:vAlign w:val="center"/>
                </w:tcPr>
                <w:p w14:paraId="5E05E4E2">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olor w:val="000000"/>
                      <w:sz w:val="21"/>
                      <w:szCs w:val="21"/>
                    </w:rPr>
                  </w:pPr>
                </w:p>
              </w:tc>
              <w:tc>
                <w:tcPr>
                  <w:tcW w:w="865" w:type="dxa"/>
                  <w:vMerge w:val="continue"/>
                  <w:tcBorders>
                    <w:bottom w:val="single" w:color="000000" w:sz="4" w:space="0"/>
                  </w:tcBorders>
                  <w:noWrap w:val="0"/>
                  <w:vAlign w:val="center"/>
                </w:tcPr>
                <w:p w14:paraId="2474DB3F">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olor w:val="000000"/>
                      <w:sz w:val="21"/>
                      <w:szCs w:val="22"/>
                    </w:rPr>
                  </w:pPr>
                </w:p>
              </w:tc>
              <w:tc>
                <w:tcPr>
                  <w:tcW w:w="596" w:type="dxa"/>
                  <w:vMerge w:val="continue"/>
                  <w:tcBorders>
                    <w:bottom w:val="single" w:color="000000" w:sz="4" w:space="0"/>
                  </w:tcBorders>
                  <w:noWrap w:val="0"/>
                  <w:vAlign w:val="center"/>
                </w:tcPr>
                <w:p w14:paraId="28B3EAA2">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olor w:val="000000"/>
                      <w:sz w:val="21"/>
                      <w:szCs w:val="21"/>
                    </w:rPr>
                  </w:pPr>
                </w:p>
              </w:tc>
              <w:tc>
                <w:tcPr>
                  <w:tcW w:w="1044" w:type="dxa"/>
                  <w:vMerge w:val="continue"/>
                  <w:tcBorders>
                    <w:bottom w:val="single" w:color="000000" w:sz="4" w:space="0"/>
                  </w:tcBorders>
                  <w:noWrap w:val="0"/>
                  <w:vAlign w:val="center"/>
                </w:tcPr>
                <w:p w14:paraId="1F6DFF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cs="Times New Roman"/>
                      <w:i w:val="0"/>
                      <w:iCs w:val="0"/>
                      <w:color w:val="auto"/>
                      <w:sz w:val="21"/>
                      <w:szCs w:val="21"/>
                      <w:highlight w:val="none"/>
                      <w:u w:val="none"/>
                      <w:lang w:val="en-US" w:eastAsia="zh-CN"/>
                    </w:rPr>
                  </w:pPr>
                </w:p>
              </w:tc>
              <w:tc>
                <w:tcPr>
                  <w:tcW w:w="636" w:type="dxa"/>
                  <w:vMerge w:val="continue"/>
                  <w:noWrap w:val="0"/>
                  <w:vAlign w:val="center"/>
                </w:tcPr>
                <w:p w14:paraId="69105F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499" w:type="dxa"/>
                  <w:vMerge w:val="continue"/>
                  <w:tcBorders>
                    <w:bottom w:val="single" w:color="000000" w:sz="4" w:space="0"/>
                  </w:tcBorders>
                  <w:noWrap w:val="0"/>
                  <w:vAlign w:val="center"/>
                </w:tcPr>
                <w:p w14:paraId="5E47717B">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498" w:type="dxa"/>
                  <w:vMerge w:val="continue"/>
                  <w:tcBorders>
                    <w:bottom w:val="single" w:color="000000" w:sz="4" w:space="0"/>
                  </w:tcBorders>
                  <w:noWrap w:val="0"/>
                  <w:vAlign w:val="center"/>
                </w:tcPr>
                <w:p w14:paraId="472D9D69">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398" w:type="dxa"/>
                  <w:vMerge w:val="continue"/>
                  <w:tcBorders>
                    <w:bottom w:val="single" w:color="000000" w:sz="4" w:space="0"/>
                  </w:tcBorders>
                  <w:noWrap w:val="0"/>
                  <w:vAlign w:val="center"/>
                </w:tcPr>
                <w:p w14:paraId="7B4EA2AD">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426" w:type="dxa"/>
                  <w:tcBorders>
                    <w:top w:val="single" w:color="000000" w:sz="4" w:space="0"/>
                    <w:bottom w:val="single" w:color="000000" w:sz="4" w:space="0"/>
                  </w:tcBorders>
                  <w:shd w:val="clear" w:color="auto" w:fill="auto"/>
                  <w:noWrap w:val="0"/>
                  <w:vAlign w:val="center"/>
                </w:tcPr>
                <w:p w14:paraId="6D85D0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988" w:type="dxa"/>
                  <w:tcBorders>
                    <w:top w:val="single" w:color="000000" w:sz="4" w:space="0"/>
                    <w:bottom w:val="single" w:color="000000" w:sz="4" w:space="0"/>
                  </w:tcBorders>
                  <w:noWrap w:val="0"/>
                  <w:vAlign w:val="center"/>
                </w:tcPr>
                <w:p w14:paraId="39F2F18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16</w:t>
                  </w:r>
                </w:p>
              </w:tc>
              <w:tc>
                <w:tcPr>
                  <w:tcW w:w="803" w:type="dxa"/>
                  <w:tcBorders>
                    <w:top w:val="single" w:color="000000" w:sz="4" w:space="0"/>
                    <w:bottom w:val="single" w:color="000000" w:sz="4" w:space="0"/>
                  </w:tcBorders>
                  <w:shd w:val="clear" w:color="auto" w:fill="auto"/>
                  <w:noWrap w:val="0"/>
                  <w:vAlign w:val="center"/>
                </w:tcPr>
                <w:p w14:paraId="24DBDA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1285" w:type="dxa"/>
                  <w:tcBorders>
                    <w:top w:val="single" w:color="000000" w:sz="4" w:space="0"/>
                    <w:bottom w:val="single" w:color="000000" w:sz="4" w:space="0"/>
                  </w:tcBorders>
                  <w:noWrap w:val="0"/>
                  <w:vAlign w:val="center"/>
                </w:tcPr>
                <w:p w14:paraId="08D3B7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41.5 </w:t>
                  </w:r>
                </w:p>
              </w:tc>
              <w:tc>
                <w:tcPr>
                  <w:tcW w:w="587" w:type="dxa"/>
                  <w:vMerge w:val="continue"/>
                  <w:noWrap w:val="0"/>
                  <w:vAlign w:val="center"/>
                </w:tcPr>
                <w:p w14:paraId="616FFE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94" w:type="dxa"/>
                  <w:vMerge w:val="continue"/>
                  <w:noWrap w:val="0"/>
                  <w:vAlign w:val="center"/>
                </w:tcPr>
                <w:p w14:paraId="253773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27" w:type="dxa"/>
                  <w:vMerge w:val="continue"/>
                  <w:noWrap w:val="0"/>
                  <w:vAlign w:val="center"/>
                </w:tcPr>
                <w:p w14:paraId="4DB66D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33" w:type="dxa"/>
                  <w:vMerge w:val="continue"/>
                  <w:noWrap w:val="0"/>
                  <w:vAlign w:val="center"/>
                </w:tcPr>
                <w:p w14:paraId="19F384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34" w:type="dxa"/>
                  <w:vMerge w:val="continue"/>
                  <w:noWrap w:val="0"/>
                  <w:vAlign w:val="center"/>
                </w:tcPr>
                <w:p w14:paraId="764C37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2C283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27" w:type="dxa"/>
                  <w:vMerge w:val="restart"/>
                  <w:tcBorders>
                    <w:top w:val="single" w:color="000000" w:sz="4" w:space="0"/>
                  </w:tcBorders>
                  <w:noWrap w:val="0"/>
                  <w:vAlign w:val="center"/>
                </w:tcPr>
                <w:p w14:paraId="6D1D50B5">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rightChars="0" w:hanging="425" w:firstLineChars="0"/>
                    <w:jc w:val="center"/>
                    <w:textAlignment w:val="center"/>
                    <w:rPr>
                      <w:rFonts w:hint="default" w:ascii="Times New Roman" w:hAnsi="Times New Roman" w:eastAsia="宋体" w:cs="Times New Roman"/>
                      <w:i w:val="0"/>
                      <w:iCs w:val="0"/>
                      <w:color w:val="auto"/>
                      <w:kern w:val="0"/>
                      <w:sz w:val="21"/>
                      <w:szCs w:val="21"/>
                      <w:lang w:val="en-US" w:eastAsia="zh-CN" w:bidi="ar"/>
                    </w:rPr>
                  </w:pPr>
                  <w:r>
                    <w:rPr>
                      <w:rFonts w:hint="eastAsia" w:ascii="Times New Roman" w:hAnsi="Times New Roman" w:eastAsia="宋体" w:cs="Times New Roman"/>
                      <w:i w:val="0"/>
                      <w:iCs w:val="0"/>
                      <w:color w:val="auto"/>
                      <w:kern w:val="0"/>
                      <w:sz w:val="21"/>
                      <w:szCs w:val="21"/>
                      <w:lang w:val="en-US" w:eastAsia="zh-CN" w:bidi="ar"/>
                    </w:rPr>
                    <w:t>5</w:t>
                  </w:r>
                </w:p>
              </w:tc>
              <w:tc>
                <w:tcPr>
                  <w:tcW w:w="636" w:type="dxa"/>
                  <w:vMerge w:val="continue"/>
                  <w:noWrap w:val="0"/>
                  <w:vAlign w:val="center"/>
                </w:tcPr>
                <w:p w14:paraId="150C7B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03" w:type="dxa"/>
                  <w:vMerge w:val="restart"/>
                  <w:tcBorders>
                    <w:top w:val="single" w:color="000000" w:sz="4" w:space="0"/>
                  </w:tcBorders>
                  <w:noWrap w:val="0"/>
                  <w:vAlign w:val="center"/>
                </w:tcPr>
                <w:p w14:paraId="37769331">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olor w:val="000000"/>
                      <w:sz w:val="21"/>
                      <w:szCs w:val="21"/>
                    </w:rPr>
                    <w:t>通风橱</w:t>
                  </w:r>
                </w:p>
              </w:tc>
              <w:tc>
                <w:tcPr>
                  <w:tcW w:w="865" w:type="dxa"/>
                  <w:vMerge w:val="restart"/>
                  <w:tcBorders>
                    <w:top w:val="single" w:color="000000" w:sz="4" w:space="0"/>
                  </w:tcBorders>
                  <w:noWrap w:val="0"/>
                  <w:vAlign w:val="center"/>
                </w:tcPr>
                <w:p w14:paraId="22ACEF33">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olor w:val="000000"/>
                      <w:sz w:val="21"/>
                      <w:szCs w:val="22"/>
                    </w:rPr>
                    <w:t>L</w:t>
                  </w:r>
                  <w:r>
                    <w:rPr>
                      <w:rFonts w:hint="eastAsia" w:ascii="Times New Roman" w:hAnsi="Times New Roman" w:eastAsia="宋体"/>
                      <w:color w:val="000000"/>
                      <w:sz w:val="21"/>
                      <w:szCs w:val="22"/>
                    </w:rPr>
                    <w:t>ocal</w:t>
                  </w:r>
                </w:p>
              </w:tc>
              <w:tc>
                <w:tcPr>
                  <w:tcW w:w="596" w:type="dxa"/>
                  <w:vMerge w:val="restart"/>
                  <w:tcBorders>
                    <w:top w:val="single" w:color="000000" w:sz="4" w:space="0"/>
                  </w:tcBorders>
                  <w:noWrap w:val="0"/>
                  <w:vAlign w:val="center"/>
                </w:tcPr>
                <w:p w14:paraId="00BCA094">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olor w:val="000000"/>
                      <w:sz w:val="21"/>
                      <w:szCs w:val="21"/>
                    </w:rPr>
                    <w:t>1</w:t>
                  </w:r>
                </w:p>
              </w:tc>
              <w:tc>
                <w:tcPr>
                  <w:tcW w:w="1044" w:type="dxa"/>
                  <w:vMerge w:val="restart"/>
                  <w:tcBorders>
                    <w:top w:val="single" w:color="000000" w:sz="4" w:space="0"/>
                  </w:tcBorders>
                  <w:noWrap w:val="0"/>
                  <w:vAlign w:val="center"/>
                </w:tcPr>
                <w:p w14:paraId="46116A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75</w:t>
                  </w:r>
                </w:p>
              </w:tc>
              <w:tc>
                <w:tcPr>
                  <w:tcW w:w="636" w:type="dxa"/>
                  <w:vMerge w:val="continue"/>
                  <w:noWrap w:val="0"/>
                  <w:vAlign w:val="center"/>
                </w:tcPr>
                <w:p w14:paraId="780950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499" w:type="dxa"/>
                  <w:vMerge w:val="restart"/>
                  <w:tcBorders>
                    <w:top w:val="single" w:color="000000" w:sz="4" w:space="0"/>
                  </w:tcBorders>
                  <w:noWrap w:val="0"/>
                  <w:vAlign w:val="center"/>
                </w:tcPr>
                <w:p w14:paraId="2BBDA6B7">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17</w:t>
                  </w:r>
                </w:p>
              </w:tc>
              <w:tc>
                <w:tcPr>
                  <w:tcW w:w="498" w:type="dxa"/>
                  <w:vMerge w:val="restart"/>
                  <w:tcBorders>
                    <w:top w:val="single" w:color="000000" w:sz="4" w:space="0"/>
                  </w:tcBorders>
                  <w:noWrap w:val="0"/>
                  <w:vAlign w:val="center"/>
                </w:tcPr>
                <w:p w14:paraId="365F5C5E">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44</w:t>
                  </w:r>
                </w:p>
              </w:tc>
              <w:tc>
                <w:tcPr>
                  <w:tcW w:w="398" w:type="dxa"/>
                  <w:vMerge w:val="restart"/>
                  <w:tcBorders>
                    <w:top w:val="single" w:color="000000" w:sz="4" w:space="0"/>
                  </w:tcBorders>
                  <w:noWrap w:val="0"/>
                  <w:vAlign w:val="center"/>
                </w:tcPr>
                <w:p w14:paraId="0FF8579C">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w:t>
                  </w:r>
                </w:p>
              </w:tc>
              <w:tc>
                <w:tcPr>
                  <w:tcW w:w="426" w:type="dxa"/>
                  <w:tcBorders>
                    <w:top w:val="single" w:color="000000" w:sz="4" w:space="0"/>
                    <w:bottom w:val="single" w:color="000000" w:sz="4" w:space="0"/>
                  </w:tcBorders>
                  <w:shd w:val="clear" w:color="auto" w:fill="auto"/>
                  <w:noWrap w:val="0"/>
                  <w:vAlign w:val="center"/>
                </w:tcPr>
                <w:p w14:paraId="03C4F6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988" w:type="dxa"/>
                  <w:tcBorders>
                    <w:top w:val="single" w:color="000000" w:sz="4" w:space="0"/>
                    <w:bottom w:val="single" w:color="000000" w:sz="4" w:space="0"/>
                  </w:tcBorders>
                  <w:noWrap w:val="0"/>
                  <w:vAlign w:val="center"/>
                </w:tcPr>
                <w:p w14:paraId="07440CC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34</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803" w:type="dxa"/>
                  <w:tcBorders>
                    <w:top w:val="single" w:color="000000" w:sz="4" w:space="0"/>
                    <w:bottom w:val="single" w:color="000000" w:sz="4" w:space="0"/>
                  </w:tcBorders>
                  <w:shd w:val="clear" w:color="auto" w:fill="auto"/>
                  <w:noWrap w:val="0"/>
                  <w:vAlign w:val="center"/>
                </w:tcPr>
                <w:p w14:paraId="0C30A6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1285" w:type="dxa"/>
                  <w:tcBorders>
                    <w:top w:val="single" w:color="000000" w:sz="4" w:space="0"/>
                    <w:bottom w:val="single" w:color="000000" w:sz="4" w:space="0"/>
                  </w:tcBorders>
                  <w:noWrap w:val="0"/>
                  <w:vAlign w:val="center"/>
                </w:tcPr>
                <w:p w14:paraId="5F6296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45.7 </w:t>
                  </w:r>
                </w:p>
              </w:tc>
              <w:tc>
                <w:tcPr>
                  <w:tcW w:w="587" w:type="dxa"/>
                  <w:vMerge w:val="continue"/>
                  <w:noWrap w:val="0"/>
                  <w:vAlign w:val="center"/>
                </w:tcPr>
                <w:p w14:paraId="79ACF5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94" w:type="dxa"/>
                  <w:vMerge w:val="continue"/>
                  <w:noWrap w:val="0"/>
                  <w:vAlign w:val="center"/>
                </w:tcPr>
                <w:p w14:paraId="6E6BE6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27" w:type="dxa"/>
                  <w:vMerge w:val="continue"/>
                  <w:noWrap w:val="0"/>
                  <w:vAlign w:val="center"/>
                </w:tcPr>
                <w:p w14:paraId="22FCB0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33" w:type="dxa"/>
                  <w:vMerge w:val="continue"/>
                  <w:tcBorders>
                    <w:bottom w:val="single" w:color="auto" w:sz="4" w:space="0"/>
                  </w:tcBorders>
                  <w:noWrap w:val="0"/>
                  <w:vAlign w:val="center"/>
                </w:tcPr>
                <w:p w14:paraId="53C7D3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34" w:type="dxa"/>
                  <w:vMerge w:val="continue"/>
                  <w:noWrap w:val="0"/>
                  <w:vAlign w:val="center"/>
                </w:tcPr>
                <w:p w14:paraId="52B149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E8A22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27" w:type="dxa"/>
                  <w:vMerge w:val="continue"/>
                  <w:noWrap w:val="0"/>
                  <w:vAlign w:val="center"/>
                </w:tcPr>
                <w:p w14:paraId="3700C366">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rightChars="0" w:hanging="425" w:firstLineChars="0"/>
                    <w:jc w:val="center"/>
                    <w:textAlignment w:val="center"/>
                    <w:rPr>
                      <w:rFonts w:hint="eastAsia" w:ascii="Times New Roman" w:hAnsi="Times New Roman" w:eastAsia="宋体" w:cs="Times New Roman"/>
                      <w:i w:val="0"/>
                      <w:iCs w:val="0"/>
                      <w:color w:val="auto"/>
                      <w:kern w:val="0"/>
                      <w:sz w:val="21"/>
                      <w:szCs w:val="21"/>
                      <w:lang w:val="en-US" w:eastAsia="zh-CN" w:bidi="ar"/>
                    </w:rPr>
                  </w:pPr>
                </w:p>
              </w:tc>
              <w:tc>
                <w:tcPr>
                  <w:tcW w:w="636" w:type="dxa"/>
                  <w:vMerge w:val="continue"/>
                  <w:noWrap w:val="0"/>
                  <w:vAlign w:val="center"/>
                </w:tcPr>
                <w:p w14:paraId="22FD40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03" w:type="dxa"/>
                  <w:vMerge w:val="continue"/>
                  <w:noWrap w:val="0"/>
                  <w:vAlign w:val="center"/>
                </w:tcPr>
                <w:p w14:paraId="12C52FF5">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olor w:val="000000"/>
                      <w:sz w:val="21"/>
                      <w:szCs w:val="21"/>
                    </w:rPr>
                  </w:pPr>
                </w:p>
              </w:tc>
              <w:tc>
                <w:tcPr>
                  <w:tcW w:w="865" w:type="dxa"/>
                  <w:vMerge w:val="continue"/>
                  <w:noWrap w:val="0"/>
                  <w:vAlign w:val="center"/>
                </w:tcPr>
                <w:p w14:paraId="429FC230">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olor w:val="000000"/>
                      <w:sz w:val="21"/>
                      <w:szCs w:val="22"/>
                    </w:rPr>
                  </w:pPr>
                </w:p>
              </w:tc>
              <w:tc>
                <w:tcPr>
                  <w:tcW w:w="596" w:type="dxa"/>
                  <w:vMerge w:val="continue"/>
                  <w:noWrap w:val="0"/>
                  <w:vAlign w:val="center"/>
                </w:tcPr>
                <w:p w14:paraId="43FE8AB7">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olor w:val="000000"/>
                      <w:sz w:val="21"/>
                      <w:szCs w:val="21"/>
                    </w:rPr>
                  </w:pPr>
                </w:p>
              </w:tc>
              <w:tc>
                <w:tcPr>
                  <w:tcW w:w="1044" w:type="dxa"/>
                  <w:vMerge w:val="continue"/>
                  <w:noWrap w:val="0"/>
                  <w:vAlign w:val="center"/>
                </w:tcPr>
                <w:p w14:paraId="58DD41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cs="Times New Roman"/>
                      <w:i w:val="0"/>
                      <w:iCs w:val="0"/>
                      <w:color w:val="auto"/>
                      <w:sz w:val="21"/>
                      <w:szCs w:val="21"/>
                      <w:highlight w:val="none"/>
                      <w:u w:val="none"/>
                      <w:lang w:val="en-US" w:eastAsia="zh-CN"/>
                    </w:rPr>
                  </w:pPr>
                </w:p>
              </w:tc>
              <w:tc>
                <w:tcPr>
                  <w:tcW w:w="636" w:type="dxa"/>
                  <w:vMerge w:val="continue"/>
                  <w:noWrap w:val="0"/>
                  <w:vAlign w:val="center"/>
                </w:tcPr>
                <w:p w14:paraId="6875D4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499" w:type="dxa"/>
                  <w:vMerge w:val="continue"/>
                  <w:noWrap w:val="0"/>
                  <w:vAlign w:val="center"/>
                </w:tcPr>
                <w:p w14:paraId="7A407213">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498" w:type="dxa"/>
                  <w:vMerge w:val="continue"/>
                  <w:noWrap w:val="0"/>
                  <w:vAlign w:val="center"/>
                </w:tcPr>
                <w:p w14:paraId="6DA96927">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398" w:type="dxa"/>
                  <w:vMerge w:val="continue"/>
                  <w:noWrap w:val="0"/>
                  <w:vAlign w:val="center"/>
                </w:tcPr>
                <w:p w14:paraId="6979CF89">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426" w:type="dxa"/>
                  <w:tcBorders>
                    <w:top w:val="single" w:color="000000" w:sz="4" w:space="0"/>
                    <w:bottom w:val="single" w:color="000000" w:sz="4" w:space="0"/>
                  </w:tcBorders>
                  <w:shd w:val="clear" w:color="auto" w:fill="auto"/>
                  <w:noWrap w:val="0"/>
                  <w:vAlign w:val="center"/>
                </w:tcPr>
                <w:p w14:paraId="5789A1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988" w:type="dxa"/>
                  <w:tcBorders>
                    <w:top w:val="single" w:color="000000" w:sz="4" w:space="0"/>
                    <w:bottom w:val="single" w:color="000000" w:sz="4" w:space="0"/>
                  </w:tcBorders>
                  <w:noWrap w:val="0"/>
                  <w:vAlign w:val="center"/>
                </w:tcPr>
                <w:p w14:paraId="2D6BA9F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42</w:t>
                  </w:r>
                </w:p>
              </w:tc>
              <w:tc>
                <w:tcPr>
                  <w:tcW w:w="803" w:type="dxa"/>
                  <w:tcBorders>
                    <w:top w:val="single" w:color="000000" w:sz="4" w:space="0"/>
                    <w:bottom w:val="single" w:color="000000" w:sz="4" w:space="0"/>
                  </w:tcBorders>
                  <w:shd w:val="clear" w:color="auto" w:fill="auto"/>
                  <w:noWrap w:val="0"/>
                  <w:vAlign w:val="center"/>
                </w:tcPr>
                <w:p w14:paraId="10234C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1285" w:type="dxa"/>
                  <w:tcBorders>
                    <w:top w:val="single" w:color="000000" w:sz="4" w:space="0"/>
                    <w:bottom w:val="single" w:color="000000" w:sz="4" w:space="0"/>
                  </w:tcBorders>
                  <w:noWrap w:val="0"/>
                  <w:vAlign w:val="center"/>
                </w:tcPr>
                <w:p w14:paraId="4E3BD1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45.6 </w:t>
                  </w:r>
                </w:p>
              </w:tc>
              <w:tc>
                <w:tcPr>
                  <w:tcW w:w="587" w:type="dxa"/>
                  <w:vMerge w:val="continue"/>
                  <w:noWrap w:val="0"/>
                  <w:vAlign w:val="center"/>
                </w:tcPr>
                <w:p w14:paraId="3551BD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94" w:type="dxa"/>
                  <w:vMerge w:val="continue"/>
                  <w:noWrap w:val="0"/>
                  <w:vAlign w:val="center"/>
                </w:tcPr>
                <w:p w14:paraId="5187D9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27" w:type="dxa"/>
                  <w:vMerge w:val="continue"/>
                  <w:tcBorders>
                    <w:bottom w:val="single" w:color="auto" w:sz="4" w:space="0"/>
                  </w:tcBorders>
                  <w:noWrap w:val="0"/>
                  <w:vAlign w:val="center"/>
                </w:tcPr>
                <w:p w14:paraId="5D900D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33" w:type="dxa"/>
                  <w:tcBorders>
                    <w:top w:val="single" w:color="auto" w:sz="4" w:space="0"/>
                    <w:bottom w:val="single" w:color="auto" w:sz="4" w:space="0"/>
                  </w:tcBorders>
                  <w:noWrap w:val="0"/>
                  <w:vAlign w:val="center"/>
                </w:tcPr>
                <w:p w14:paraId="0A4FA3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34" w:type="dxa"/>
                  <w:vMerge w:val="continue"/>
                  <w:tcBorders>
                    <w:bottom w:val="single" w:color="auto" w:sz="4" w:space="0"/>
                  </w:tcBorders>
                  <w:noWrap w:val="0"/>
                  <w:vAlign w:val="center"/>
                </w:tcPr>
                <w:p w14:paraId="7ED51D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FED60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27" w:type="dxa"/>
                  <w:vMerge w:val="continue"/>
                  <w:noWrap w:val="0"/>
                  <w:vAlign w:val="center"/>
                </w:tcPr>
                <w:p w14:paraId="598F8A63">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rightChars="0" w:hanging="425" w:firstLineChars="0"/>
                    <w:jc w:val="center"/>
                    <w:textAlignment w:val="center"/>
                    <w:rPr>
                      <w:rFonts w:hint="eastAsia" w:ascii="Times New Roman" w:hAnsi="Times New Roman" w:eastAsia="宋体" w:cs="Times New Roman"/>
                      <w:i w:val="0"/>
                      <w:iCs w:val="0"/>
                      <w:color w:val="auto"/>
                      <w:kern w:val="0"/>
                      <w:sz w:val="21"/>
                      <w:szCs w:val="21"/>
                      <w:lang w:val="en-US" w:eastAsia="zh-CN" w:bidi="ar"/>
                    </w:rPr>
                  </w:pPr>
                </w:p>
              </w:tc>
              <w:tc>
                <w:tcPr>
                  <w:tcW w:w="636" w:type="dxa"/>
                  <w:vMerge w:val="continue"/>
                  <w:noWrap w:val="0"/>
                  <w:vAlign w:val="center"/>
                </w:tcPr>
                <w:p w14:paraId="527E0A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03" w:type="dxa"/>
                  <w:vMerge w:val="continue"/>
                  <w:noWrap w:val="0"/>
                  <w:vAlign w:val="center"/>
                </w:tcPr>
                <w:p w14:paraId="1C034EBC">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olor w:val="000000"/>
                      <w:sz w:val="21"/>
                      <w:szCs w:val="21"/>
                    </w:rPr>
                  </w:pPr>
                </w:p>
              </w:tc>
              <w:tc>
                <w:tcPr>
                  <w:tcW w:w="865" w:type="dxa"/>
                  <w:vMerge w:val="continue"/>
                  <w:noWrap w:val="0"/>
                  <w:vAlign w:val="center"/>
                </w:tcPr>
                <w:p w14:paraId="2C24D94F">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olor w:val="000000"/>
                      <w:sz w:val="21"/>
                      <w:szCs w:val="22"/>
                    </w:rPr>
                  </w:pPr>
                </w:p>
              </w:tc>
              <w:tc>
                <w:tcPr>
                  <w:tcW w:w="596" w:type="dxa"/>
                  <w:vMerge w:val="continue"/>
                  <w:noWrap w:val="0"/>
                  <w:vAlign w:val="center"/>
                </w:tcPr>
                <w:p w14:paraId="75FC116F">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olor w:val="000000"/>
                      <w:sz w:val="21"/>
                      <w:szCs w:val="21"/>
                    </w:rPr>
                  </w:pPr>
                </w:p>
              </w:tc>
              <w:tc>
                <w:tcPr>
                  <w:tcW w:w="1044" w:type="dxa"/>
                  <w:vMerge w:val="continue"/>
                  <w:noWrap w:val="0"/>
                  <w:vAlign w:val="center"/>
                </w:tcPr>
                <w:p w14:paraId="457DD1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cs="Times New Roman"/>
                      <w:i w:val="0"/>
                      <w:iCs w:val="0"/>
                      <w:color w:val="auto"/>
                      <w:sz w:val="21"/>
                      <w:szCs w:val="21"/>
                      <w:highlight w:val="none"/>
                      <w:u w:val="none"/>
                      <w:lang w:val="en-US" w:eastAsia="zh-CN"/>
                    </w:rPr>
                  </w:pPr>
                </w:p>
              </w:tc>
              <w:tc>
                <w:tcPr>
                  <w:tcW w:w="636" w:type="dxa"/>
                  <w:vMerge w:val="continue"/>
                  <w:noWrap w:val="0"/>
                  <w:vAlign w:val="center"/>
                </w:tcPr>
                <w:p w14:paraId="1A59D6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499" w:type="dxa"/>
                  <w:vMerge w:val="continue"/>
                  <w:noWrap w:val="0"/>
                  <w:vAlign w:val="center"/>
                </w:tcPr>
                <w:p w14:paraId="4F03B005">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498" w:type="dxa"/>
                  <w:vMerge w:val="continue"/>
                  <w:noWrap w:val="0"/>
                  <w:vAlign w:val="center"/>
                </w:tcPr>
                <w:p w14:paraId="4EE1961A">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398" w:type="dxa"/>
                  <w:vMerge w:val="continue"/>
                  <w:noWrap w:val="0"/>
                  <w:vAlign w:val="center"/>
                </w:tcPr>
                <w:p w14:paraId="49293041">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426" w:type="dxa"/>
                  <w:tcBorders>
                    <w:top w:val="single" w:color="000000" w:sz="4" w:space="0"/>
                    <w:bottom w:val="single" w:color="000000" w:sz="4" w:space="0"/>
                  </w:tcBorders>
                  <w:shd w:val="clear" w:color="auto" w:fill="auto"/>
                  <w:noWrap w:val="0"/>
                  <w:vAlign w:val="center"/>
                </w:tcPr>
                <w:p w14:paraId="518BCE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988" w:type="dxa"/>
                  <w:tcBorders>
                    <w:top w:val="single" w:color="000000" w:sz="4" w:space="0"/>
                    <w:bottom w:val="single" w:color="000000" w:sz="4" w:space="0"/>
                  </w:tcBorders>
                  <w:noWrap w:val="0"/>
                  <w:vAlign w:val="center"/>
                </w:tcPr>
                <w:p w14:paraId="324E7B6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803" w:type="dxa"/>
                  <w:tcBorders>
                    <w:top w:val="single" w:color="000000" w:sz="4" w:space="0"/>
                    <w:bottom w:val="single" w:color="000000" w:sz="4" w:space="0"/>
                  </w:tcBorders>
                  <w:shd w:val="clear" w:color="auto" w:fill="auto"/>
                  <w:noWrap w:val="0"/>
                  <w:vAlign w:val="center"/>
                </w:tcPr>
                <w:p w14:paraId="2276DA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1285" w:type="dxa"/>
                  <w:tcBorders>
                    <w:top w:val="single" w:color="000000" w:sz="4" w:space="0"/>
                    <w:bottom w:val="single" w:color="000000" w:sz="4" w:space="0"/>
                  </w:tcBorders>
                  <w:noWrap w:val="0"/>
                  <w:vAlign w:val="center"/>
                </w:tcPr>
                <w:p w14:paraId="73F659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52.8 </w:t>
                  </w:r>
                </w:p>
              </w:tc>
              <w:tc>
                <w:tcPr>
                  <w:tcW w:w="587" w:type="dxa"/>
                  <w:vMerge w:val="continue"/>
                  <w:noWrap w:val="0"/>
                  <w:vAlign w:val="center"/>
                </w:tcPr>
                <w:p w14:paraId="70E319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94" w:type="dxa"/>
                  <w:vMerge w:val="continue"/>
                  <w:noWrap w:val="0"/>
                  <w:vAlign w:val="center"/>
                </w:tcPr>
                <w:p w14:paraId="1BF3CE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27" w:type="dxa"/>
                  <w:vMerge w:val="restart"/>
                  <w:tcBorders>
                    <w:top w:val="single" w:color="auto" w:sz="4" w:space="0"/>
                  </w:tcBorders>
                  <w:noWrap w:val="0"/>
                  <w:vAlign w:val="center"/>
                </w:tcPr>
                <w:p w14:paraId="7B77C1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北</w:t>
                  </w:r>
                </w:p>
              </w:tc>
              <w:tc>
                <w:tcPr>
                  <w:tcW w:w="933" w:type="dxa"/>
                  <w:vMerge w:val="restart"/>
                  <w:tcBorders>
                    <w:top w:val="single" w:color="auto" w:sz="4" w:space="0"/>
                    <w:bottom w:val="single" w:color="auto" w:sz="4" w:space="0"/>
                  </w:tcBorders>
                  <w:noWrap w:val="0"/>
                  <w:vAlign w:val="center"/>
                </w:tcPr>
                <w:p w14:paraId="1DA9D4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54.5 </w:t>
                  </w:r>
                </w:p>
              </w:tc>
              <w:tc>
                <w:tcPr>
                  <w:tcW w:w="634" w:type="dxa"/>
                  <w:vMerge w:val="restart"/>
                  <w:tcBorders>
                    <w:top w:val="single" w:color="auto" w:sz="4" w:space="0"/>
                  </w:tcBorders>
                  <w:noWrap w:val="0"/>
                  <w:vAlign w:val="center"/>
                </w:tcPr>
                <w:p w14:paraId="74CD0F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sz w:val="21"/>
                      <w:szCs w:val="21"/>
                      <w:highlight w:val="none"/>
                      <w:u w:val="none"/>
                      <w:lang w:val="en-US" w:eastAsia="zh-CN"/>
                    </w:rPr>
                    <w:t>1</w:t>
                  </w:r>
                </w:p>
              </w:tc>
            </w:tr>
            <w:tr w14:paraId="1A9914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27" w:type="dxa"/>
                  <w:vMerge w:val="continue"/>
                  <w:tcBorders>
                    <w:bottom w:val="single" w:color="000000" w:sz="4" w:space="0"/>
                  </w:tcBorders>
                  <w:noWrap w:val="0"/>
                  <w:vAlign w:val="center"/>
                </w:tcPr>
                <w:p w14:paraId="286B291F">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rightChars="0" w:hanging="425" w:firstLineChars="0"/>
                    <w:jc w:val="center"/>
                    <w:textAlignment w:val="center"/>
                    <w:rPr>
                      <w:rFonts w:hint="eastAsia" w:ascii="Times New Roman" w:hAnsi="Times New Roman" w:eastAsia="宋体" w:cs="Times New Roman"/>
                      <w:i w:val="0"/>
                      <w:iCs w:val="0"/>
                      <w:color w:val="auto"/>
                      <w:kern w:val="0"/>
                      <w:sz w:val="21"/>
                      <w:szCs w:val="21"/>
                      <w:lang w:val="en-US" w:eastAsia="zh-CN" w:bidi="ar"/>
                    </w:rPr>
                  </w:pPr>
                </w:p>
              </w:tc>
              <w:tc>
                <w:tcPr>
                  <w:tcW w:w="636" w:type="dxa"/>
                  <w:vMerge w:val="continue"/>
                  <w:noWrap w:val="0"/>
                  <w:vAlign w:val="center"/>
                </w:tcPr>
                <w:p w14:paraId="3A3F88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03" w:type="dxa"/>
                  <w:vMerge w:val="continue"/>
                  <w:tcBorders>
                    <w:bottom w:val="single" w:color="000000" w:sz="4" w:space="0"/>
                  </w:tcBorders>
                  <w:noWrap w:val="0"/>
                  <w:vAlign w:val="center"/>
                </w:tcPr>
                <w:p w14:paraId="67EABE60">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olor w:val="000000"/>
                      <w:sz w:val="21"/>
                      <w:szCs w:val="21"/>
                    </w:rPr>
                  </w:pPr>
                </w:p>
              </w:tc>
              <w:tc>
                <w:tcPr>
                  <w:tcW w:w="865" w:type="dxa"/>
                  <w:vMerge w:val="continue"/>
                  <w:tcBorders>
                    <w:bottom w:val="single" w:color="000000" w:sz="4" w:space="0"/>
                  </w:tcBorders>
                  <w:noWrap w:val="0"/>
                  <w:vAlign w:val="center"/>
                </w:tcPr>
                <w:p w14:paraId="1A9EBFB0">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olor w:val="000000"/>
                      <w:sz w:val="21"/>
                      <w:szCs w:val="22"/>
                    </w:rPr>
                  </w:pPr>
                </w:p>
              </w:tc>
              <w:tc>
                <w:tcPr>
                  <w:tcW w:w="596" w:type="dxa"/>
                  <w:vMerge w:val="continue"/>
                  <w:tcBorders>
                    <w:bottom w:val="single" w:color="000000" w:sz="4" w:space="0"/>
                  </w:tcBorders>
                  <w:noWrap w:val="0"/>
                  <w:vAlign w:val="center"/>
                </w:tcPr>
                <w:p w14:paraId="27E6644C">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olor w:val="000000"/>
                      <w:sz w:val="21"/>
                      <w:szCs w:val="21"/>
                    </w:rPr>
                  </w:pPr>
                </w:p>
              </w:tc>
              <w:tc>
                <w:tcPr>
                  <w:tcW w:w="1044" w:type="dxa"/>
                  <w:vMerge w:val="continue"/>
                  <w:tcBorders>
                    <w:bottom w:val="single" w:color="000000" w:sz="4" w:space="0"/>
                  </w:tcBorders>
                  <w:noWrap w:val="0"/>
                  <w:vAlign w:val="center"/>
                </w:tcPr>
                <w:p w14:paraId="7815F4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cs="Times New Roman"/>
                      <w:i w:val="0"/>
                      <w:iCs w:val="0"/>
                      <w:color w:val="auto"/>
                      <w:sz w:val="21"/>
                      <w:szCs w:val="21"/>
                      <w:highlight w:val="none"/>
                      <w:u w:val="none"/>
                      <w:lang w:val="en-US" w:eastAsia="zh-CN"/>
                    </w:rPr>
                  </w:pPr>
                </w:p>
              </w:tc>
              <w:tc>
                <w:tcPr>
                  <w:tcW w:w="636" w:type="dxa"/>
                  <w:vMerge w:val="continue"/>
                  <w:noWrap w:val="0"/>
                  <w:vAlign w:val="center"/>
                </w:tcPr>
                <w:p w14:paraId="467AD2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499" w:type="dxa"/>
                  <w:vMerge w:val="continue"/>
                  <w:tcBorders>
                    <w:bottom w:val="single" w:color="000000" w:sz="4" w:space="0"/>
                  </w:tcBorders>
                  <w:noWrap w:val="0"/>
                  <w:vAlign w:val="center"/>
                </w:tcPr>
                <w:p w14:paraId="268BB058">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498" w:type="dxa"/>
                  <w:vMerge w:val="continue"/>
                  <w:tcBorders>
                    <w:bottom w:val="single" w:color="000000" w:sz="4" w:space="0"/>
                  </w:tcBorders>
                  <w:noWrap w:val="0"/>
                  <w:vAlign w:val="center"/>
                </w:tcPr>
                <w:p w14:paraId="165450AF">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398" w:type="dxa"/>
                  <w:vMerge w:val="continue"/>
                  <w:tcBorders>
                    <w:bottom w:val="single" w:color="000000" w:sz="4" w:space="0"/>
                  </w:tcBorders>
                  <w:noWrap w:val="0"/>
                  <w:vAlign w:val="center"/>
                </w:tcPr>
                <w:p w14:paraId="4AB1A08D">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c>
                <w:tcPr>
                  <w:tcW w:w="426" w:type="dxa"/>
                  <w:tcBorders>
                    <w:top w:val="single" w:color="000000" w:sz="4" w:space="0"/>
                    <w:bottom w:val="single" w:color="000000" w:sz="4" w:space="0"/>
                  </w:tcBorders>
                  <w:shd w:val="clear" w:color="auto" w:fill="auto"/>
                  <w:noWrap w:val="0"/>
                  <w:vAlign w:val="center"/>
                </w:tcPr>
                <w:p w14:paraId="4C3BA3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988" w:type="dxa"/>
                  <w:tcBorders>
                    <w:top w:val="single" w:color="000000" w:sz="4" w:space="0"/>
                    <w:bottom w:val="single" w:color="000000" w:sz="4" w:space="0"/>
                  </w:tcBorders>
                  <w:noWrap w:val="0"/>
                  <w:vAlign w:val="center"/>
                </w:tcPr>
                <w:p w14:paraId="043E0E7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8</w:t>
                  </w:r>
                </w:p>
              </w:tc>
              <w:tc>
                <w:tcPr>
                  <w:tcW w:w="803" w:type="dxa"/>
                  <w:tcBorders>
                    <w:top w:val="single" w:color="000000" w:sz="4" w:space="0"/>
                    <w:bottom w:val="single" w:color="000000" w:sz="4" w:space="0"/>
                  </w:tcBorders>
                  <w:shd w:val="clear" w:color="auto" w:fill="auto"/>
                  <w:noWrap w:val="0"/>
                  <w:vAlign w:val="center"/>
                </w:tcPr>
                <w:p w14:paraId="24711E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1285" w:type="dxa"/>
                  <w:tcBorders>
                    <w:top w:val="single" w:color="000000" w:sz="4" w:space="0"/>
                    <w:bottom w:val="single" w:color="000000" w:sz="4" w:space="0"/>
                  </w:tcBorders>
                  <w:noWrap w:val="0"/>
                  <w:vAlign w:val="center"/>
                </w:tcPr>
                <w:p w14:paraId="7547D4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48.7 </w:t>
                  </w:r>
                </w:p>
              </w:tc>
              <w:tc>
                <w:tcPr>
                  <w:tcW w:w="587" w:type="dxa"/>
                  <w:vMerge w:val="continue"/>
                  <w:noWrap w:val="0"/>
                  <w:vAlign w:val="center"/>
                </w:tcPr>
                <w:p w14:paraId="726B38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94" w:type="dxa"/>
                  <w:vMerge w:val="continue"/>
                  <w:noWrap w:val="0"/>
                  <w:vAlign w:val="center"/>
                </w:tcPr>
                <w:p w14:paraId="255FD8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27" w:type="dxa"/>
                  <w:vMerge w:val="continue"/>
                  <w:tcBorders>
                    <w:top w:val="single" w:color="auto" w:sz="4" w:space="0"/>
                    <w:bottom w:val="single" w:color="auto" w:sz="4" w:space="0"/>
                  </w:tcBorders>
                  <w:noWrap w:val="0"/>
                  <w:vAlign w:val="center"/>
                </w:tcPr>
                <w:p w14:paraId="5678BA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33" w:type="dxa"/>
                  <w:vMerge w:val="continue"/>
                  <w:tcBorders>
                    <w:top w:val="single" w:color="auto" w:sz="4" w:space="0"/>
                    <w:bottom w:val="single" w:color="auto" w:sz="4" w:space="0"/>
                  </w:tcBorders>
                  <w:noWrap w:val="0"/>
                  <w:vAlign w:val="center"/>
                </w:tcPr>
                <w:p w14:paraId="4697B3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34" w:type="dxa"/>
                  <w:vMerge w:val="continue"/>
                  <w:noWrap w:val="0"/>
                  <w:vAlign w:val="center"/>
                </w:tcPr>
                <w:p w14:paraId="6377AC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D76E6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4" w:hRule="atLeast"/>
                <w:jc w:val="center"/>
              </w:trPr>
              <w:tc>
                <w:tcPr>
                  <w:tcW w:w="427" w:type="dxa"/>
                  <w:vMerge w:val="restart"/>
                  <w:tcBorders>
                    <w:top w:val="single" w:color="000000" w:sz="4" w:space="0"/>
                  </w:tcBorders>
                  <w:noWrap w:val="0"/>
                  <w:vAlign w:val="center"/>
                </w:tcPr>
                <w:p w14:paraId="28FCB1D0">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rightChars="0" w:hanging="425" w:firstLineChars="0"/>
                    <w:jc w:val="center"/>
                    <w:textAlignment w:val="center"/>
                    <w:rPr>
                      <w:rFonts w:hint="default" w:ascii="Times New Roman" w:hAnsi="Times New Roman" w:eastAsia="宋体" w:cs="Times New Roman"/>
                      <w:i w:val="0"/>
                      <w:iCs w:val="0"/>
                      <w:color w:val="auto"/>
                      <w:kern w:val="0"/>
                      <w:sz w:val="21"/>
                      <w:szCs w:val="21"/>
                      <w:lang w:val="en-US" w:eastAsia="zh-CN" w:bidi="ar"/>
                    </w:rPr>
                  </w:pPr>
                  <w:r>
                    <w:rPr>
                      <w:rFonts w:hint="eastAsia" w:ascii="Times New Roman" w:hAnsi="Times New Roman" w:eastAsia="宋体" w:cs="Times New Roman"/>
                      <w:i w:val="0"/>
                      <w:iCs w:val="0"/>
                      <w:color w:val="auto"/>
                      <w:kern w:val="0"/>
                      <w:sz w:val="21"/>
                      <w:szCs w:val="21"/>
                      <w:lang w:val="en-US" w:eastAsia="zh-CN" w:bidi="ar"/>
                    </w:rPr>
                    <w:t>6</w:t>
                  </w:r>
                </w:p>
              </w:tc>
              <w:tc>
                <w:tcPr>
                  <w:tcW w:w="636" w:type="dxa"/>
                  <w:vMerge w:val="continue"/>
                  <w:noWrap w:val="0"/>
                  <w:vAlign w:val="center"/>
                </w:tcPr>
                <w:p w14:paraId="4410B8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03" w:type="dxa"/>
                  <w:vMerge w:val="restart"/>
                  <w:tcBorders>
                    <w:top w:val="single" w:color="000000" w:sz="4" w:space="0"/>
                  </w:tcBorders>
                  <w:noWrap w:val="0"/>
                  <w:vAlign w:val="center"/>
                </w:tcPr>
                <w:p w14:paraId="3C762468">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olor w:val="000000"/>
                      <w:sz w:val="21"/>
                      <w:szCs w:val="21"/>
                    </w:rPr>
                    <w:t>生物安全柜</w:t>
                  </w:r>
                </w:p>
              </w:tc>
              <w:tc>
                <w:tcPr>
                  <w:tcW w:w="865" w:type="dxa"/>
                  <w:vMerge w:val="restart"/>
                  <w:tcBorders>
                    <w:top w:val="single" w:color="000000" w:sz="4" w:space="0"/>
                  </w:tcBorders>
                  <w:noWrap w:val="0"/>
                  <w:vAlign w:val="center"/>
                </w:tcPr>
                <w:p w14:paraId="3F9FA0C3">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olor w:val="000000"/>
                      <w:sz w:val="21"/>
                      <w:szCs w:val="22"/>
                    </w:rPr>
                    <w:t>1004IIA2</w:t>
                  </w:r>
                </w:p>
              </w:tc>
              <w:tc>
                <w:tcPr>
                  <w:tcW w:w="596" w:type="dxa"/>
                  <w:vMerge w:val="restart"/>
                  <w:tcBorders>
                    <w:top w:val="single" w:color="000000" w:sz="4" w:space="0"/>
                  </w:tcBorders>
                  <w:noWrap w:val="0"/>
                  <w:vAlign w:val="center"/>
                </w:tcPr>
                <w:p w14:paraId="79E96DCF">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olor w:val="000000"/>
                      <w:sz w:val="21"/>
                      <w:szCs w:val="21"/>
                    </w:rPr>
                    <w:t>4</w:t>
                  </w:r>
                </w:p>
              </w:tc>
              <w:tc>
                <w:tcPr>
                  <w:tcW w:w="1044" w:type="dxa"/>
                  <w:vMerge w:val="restart"/>
                  <w:tcBorders>
                    <w:top w:val="single" w:color="000000" w:sz="4" w:space="0"/>
                  </w:tcBorders>
                  <w:noWrap w:val="0"/>
                  <w:vAlign w:val="center"/>
                </w:tcPr>
                <w:p w14:paraId="52744A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70</w:t>
                  </w:r>
                </w:p>
              </w:tc>
              <w:tc>
                <w:tcPr>
                  <w:tcW w:w="636" w:type="dxa"/>
                  <w:vMerge w:val="continue"/>
                  <w:noWrap w:val="0"/>
                  <w:vAlign w:val="center"/>
                </w:tcPr>
                <w:p w14:paraId="36C226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499" w:type="dxa"/>
                  <w:vMerge w:val="restart"/>
                  <w:tcBorders>
                    <w:top w:val="single" w:color="000000" w:sz="4" w:space="0"/>
                  </w:tcBorders>
                  <w:noWrap w:val="0"/>
                  <w:vAlign w:val="center"/>
                </w:tcPr>
                <w:p w14:paraId="1D148EB1">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16</w:t>
                  </w:r>
                </w:p>
              </w:tc>
              <w:tc>
                <w:tcPr>
                  <w:tcW w:w="498" w:type="dxa"/>
                  <w:vMerge w:val="restart"/>
                  <w:tcBorders>
                    <w:top w:val="single" w:color="000000" w:sz="4" w:space="0"/>
                  </w:tcBorders>
                  <w:noWrap w:val="0"/>
                  <w:vAlign w:val="center"/>
                </w:tcPr>
                <w:p w14:paraId="1610CD16">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35</w:t>
                  </w:r>
                </w:p>
              </w:tc>
              <w:tc>
                <w:tcPr>
                  <w:tcW w:w="398" w:type="dxa"/>
                  <w:vMerge w:val="restart"/>
                  <w:tcBorders>
                    <w:top w:val="single" w:color="000000" w:sz="4" w:space="0"/>
                  </w:tcBorders>
                  <w:noWrap w:val="0"/>
                  <w:vAlign w:val="center"/>
                </w:tcPr>
                <w:p w14:paraId="50F18461">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w:t>
                  </w:r>
                </w:p>
              </w:tc>
              <w:tc>
                <w:tcPr>
                  <w:tcW w:w="426" w:type="dxa"/>
                  <w:tcBorders>
                    <w:top w:val="single" w:color="000000" w:sz="4" w:space="0"/>
                    <w:bottom w:val="single" w:color="000000" w:sz="4" w:space="0"/>
                  </w:tcBorders>
                  <w:shd w:val="clear" w:color="auto" w:fill="auto"/>
                  <w:noWrap w:val="0"/>
                  <w:vAlign w:val="center"/>
                </w:tcPr>
                <w:p w14:paraId="2CA232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988" w:type="dxa"/>
                  <w:tcBorders>
                    <w:top w:val="single" w:color="000000" w:sz="4" w:space="0"/>
                    <w:bottom w:val="single" w:color="000000" w:sz="4" w:space="0"/>
                  </w:tcBorders>
                  <w:noWrap w:val="0"/>
                  <w:vAlign w:val="center"/>
                </w:tcPr>
                <w:p w14:paraId="45E124A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30</w:t>
                  </w:r>
                </w:p>
              </w:tc>
              <w:tc>
                <w:tcPr>
                  <w:tcW w:w="803" w:type="dxa"/>
                  <w:tcBorders>
                    <w:top w:val="single" w:color="000000" w:sz="4" w:space="0"/>
                    <w:bottom w:val="single" w:color="000000" w:sz="4" w:space="0"/>
                  </w:tcBorders>
                  <w:shd w:val="clear" w:color="auto" w:fill="auto"/>
                  <w:noWrap w:val="0"/>
                  <w:vAlign w:val="center"/>
                </w:tcPr>
                <w:p w14:paraId="7F1259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1285" w:type="dxa"/>
                  <w:tcBorders>
                    <w:top w:val="single" w:color="000000" w:sz="4" w:space="0"/>
                    <w:bottom w:val="single" w:color="000000" w:sz="4" w:space="0"/>
                  </w:tcBorders>
                  <w:noWrap w:val="0"/>
                  <w:vAlign w:val="center"/>
                </w:tcPr>
                <w:p w14:paraId="02A331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46.8 </w:t>
                  </w:r>
                </w:p>
              </w:tc>
              <w:tc>
                <w:tcPr>
                  <w:tcW w:w="587" w:type="dxa"/>
                  <w:vMerge w:val="continue"/>
                  <w:noWrap w:val="0"/>
                  <w:vAlign w:val="center"/>
                </w:tcPr>
                <w:p w14:paraId="67A0DA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94" w:type="dxa"/>
                  <w:vMerge w:val="continue"/>
                  <w:noWrap w:val="0"/>
                  <w:vAlign w:val="center"/>
                </w:tcPr>
                <w:p w14:paraId="24594C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27" w:type="dxa"/>
                  <w:vMerge w:val="continue"/>
                  <w:tcBorders>
                    <w:top w:val="single" w:color="auto" w:sz="4" w:space="0"/>
                    <w:bottom w:val="single" w:color="auto" w:sz="4" w:space="0"/>
                  </w:tcBorders>
                  <w:noWrap w:val="0"/>
                  <w:vAlign w:val="center"/>
                </w:tcPr>
                <w:p w14:paraId="1AEB9A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33" w:type="dxa"/>
                  <w:vMerge w:val="continue"/>
                  <w:tcBorders>
                    <w:top w:val="single" w:color="auto" w:sz="4" w:space="0"/>
                    <w:bottom w:val="single" w:color="auto" w:sz="4" w:space="0"/>
                  </w:tcBorders>
                  <w:noWrap w:val="0"/>
                  <w:vAlign w:val="center"/>
                </w:tcPr>
                <w:p w14:paraId="4F8824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34" w:type="dxa"/>
                  <w:vMerge w:val="continue"/>
                  <w:noWrap w:val="0"/>
                  <w:vAlign w:val="center"/>
                </w:tcPr>
                <w:p w14:paraId="4F0A8E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D9744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27" w:type="dxa"/>
                  <w:vMerge w:val="continue"/>
                  <w:noWrap w:val="0"/>
                  <w:vAlign w:val="center"/>
                </w:tcPr>
                <w:p w14:paraId="5AB2B6A2">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rightChars="0" w:hanging="425" w:firstLineChars="0"/>
                    <w:jc w:val="center"/>
                    <w:textAlignment w:val="center"/>
                    <w:rPr>
                      <w:rFonts w:hint="eastAsia" w:ascii="Times New Roman" w:hAnsi="Times New Roman" w:eastAsia="宋体" w:cs="Times New Roman"/>
                      <w:i w:val="0"/>
                      <w:iCs w:val="0"/>
                      <w:color w:val="auto"/>
                      <w:kern w:val="0"/>
                      <w:sz w:val="21"/>
                      <w:szCs w:val="21"/>
                      <w:lang w:val="en-US" w:eastAsia="zh-CN" w:bidi="ar"/>
                    </w:rPr>
                  </w:pPr>
                </w:p>
              </w:tc>
              <w:tc>
                <w:tcPr>
                  <w:tcW w:w="636" w:type="dxa"/>
                  <w:vMerge w:val="continue"/>
                  <w:noWrap w:val="0"/>
                  <w:vAlign w:val="center"/>
                </w:tcPr>
                <w:p w14:paraId="32FA05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03" w:type="dxa"/>
                  <w:vMerge w:val="continue"/>
                  <w:noWrap w:val="0"/>
                  <w:vAlign w:val="center"/>
                </w:tcPr>
                <w:p w14:paraId="25D5D2AC">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olor w:val="000000"/>
                      <w:sz w:val="21"/>
                      <w:szCs w:val="21"/>
                    </w:rPr>
                  </w:pPr>
                </w:p>
              </w:tc>
              <w:tc>
                <w:tcPr>
                  <w:tcW w:w="865" w:type="dxa"/>
                  <w:vMerge w:val="continue"/>
                  <w:noWrap w:val="0"/>
                  <w:vAlign w:val="center"/>
                </w:tcPr>
                <w:p w14:paraId="3D89B3ED">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olor w:val="000000"/>
                      <w:sz w:val="21"/>
                      <w:szCs w:val="22"/>
                    </w:rPr>
                  </w:pPr>
                </w:p>
              </w:tc>
              <w:tc>
                <w:tcPr>
                  <w:tcW w:w="596" w:type="dxa"/>
                  <w:vMerge w:val="continue"/>
                  <w:noWrap w:val="0"/>
                  <w:vAlign w:val="center"/>
                </w:tcPr>
                <w:p w14:paraId="7E2BF5AA">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olor w:val="000000"/>
                      <w:sz w:val="21"/>
                      <w:szCs w:val="21"/>
                    </w:rPr>
                  </w:pPr>
                </w:p>
              </w:tc>
              <w:tc>
                <w:tcPr>
                  <w:tcW w:w="1044" w:type="dxa"/>
                  <w:vMerge w:val="continue"/>
                  <w:noWrap w:val="0"/>
                  <w:vAlign w:val="center"/>
                </w:tcPr>
                <w:p w14:paraId="534EFA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cs="Times New Roman"/>
                      <w:i w:val="0"/>
                      <w:iCs w:val="0"/>
                      <w:color w:val="auto"/>
                      <w:sz w:val="21"/>
                      <w:szCs w:val="21"/>
                      <w:highlight w:val="none"/>
                      <w:u w:val="none"/>
                      <w:lang w:val="en-US" w:eastAsia="zh-CN"/>
                    </w:rPr>
                  </w:pPr>
                </w:p>
              </w:tc>
              <w:tc>
                <w:tcPr>
                  <w:tcW w:w="636" w:type="dxa"/>
                  <w:vMerge w:val="continue"/>
                  <w:noWrap w:val="0"/>
                  <w:vAlign w:val="center"/>
                </w:tcPr>
                <w:p w14:paraId="3C0ECD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499" w:type="dxa"/>
                  <w:vMerge w:val="continue"/>
                  <w:noWrap w:val="0"/>
                  <w:vAlign w:val="center"/>
                </w:tcPr>
                <w:p w14:paraId="52013E9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498" w:type="dxa"/>
                  <w:vMerge w:val="continue"/>
                  <w:noWrap w:val="0"/>
                  <w:vAlign w:val="center"/>
                </w:tcPr>
                <w:p w14:paraId="39898C1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398" w:type="dxa"/>
                  <w:vMerge w:val="continue"/>
                  <w:noWrap w:val="0"/>
                  <w:vAlign w:val="center"/>
                </w:tcPr>
                <w:p w14:paraId="3700AA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26" w:type="dxa"/>
                  <w:tcBorders>
                    <w:top w:val="single" w:color="000000" w:sz="4" w:space="0"/>
                    <w:bottom w:val="single" w:color="000000" w:sz="4" w:space="0"/>
                  </w:tcBorders>
                  <w:shd w:val="clear" w:color="auto" w:fill="auto"/>
                  <w:noWrap w:val="0"/>
                  <w:vAlign w:val="center"/>
                </w:tcPr>
                <w:p w14:paraId="69CADA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988" w:type="dxa"/>
                  <w:tcBorders>
                    <w:top w:val="single" w:color="000000" w:sz="4" w:space="0"/>
                    <w:bottom w:val="single" w:color="000000" w:sz="4" w:space="0"/>
                  </w:tcBorders>
                  <w:noWrap w:val="0"/>
                  <w:vAlign w:val="center"/>
                </w:tcPr>
                <w:p w14:paraId="60E7FC9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35</w:t>
                  </w:r>
                </w:p>
              </w:tc>
              <w:tc>
                <w:tcPr>
                  <w:tcW w:w="803" w:type="dxa"/>
                  <w:tcBorders>
                    <w:top w:val="single" w:color="000000" w:sz="4" w:space="0"/>
                    <w:bottom w:val="single" w:color="000000" w:sz="4" w:space="0"/>
                  </w:tcBorders>
                  <w:shd w:val="clear" w:color="auto" w:fill="auto"/>
                  <w:noWrap w:val="0"/>
                  <w:vAlign w:val="center"/>
                </w:tcPr>
                <w:p w14:paraId="002A55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1285" w:type="dxa"/>
                  <w:tcBorders>
                    <w:top w:val="single" w:color="000000" w:sz="4" w:space="0"/>
                    <w:bottom w:val="single" w:color="000000" w:sz="4" w:space="0"/>
                  </w:tcBorders>
                  <w:noWrap w:val="0"/>
                  <w:vAlign w:val="center"/>
                </w:tcPr>
                <w:p w14:paraId="610AA0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46.7 </w:t>
                  </w:r>
                </w:p>
              </w:tc>
              <w:tc>
                <w:tcPr>
                  <w:tcW w:w="587" w:type="dxa"/>
                  <w:vMerge w:val="continue"/>
                  <w:noWrap w:val="0"/>
                  <w:vAlign w:val="center"/>
                </w:tcPr>
                <w:p w14:paraId="4A7A6B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94" w:type="dxa"/>
                  <w:vMerge w:val="continue"/>
                  <w:noWrap w:val="0"/>
                  <w:vAlign w:val="center"/>
                </w:tcPr>
                <w:p w14:paraId="5978B3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27" w:type="dxa"/>
                  <w:vMerge w:val="continue"/>
                  <w:tcBorders>
                    <w:top w:val="single" w:color="auto" w:sz="4" w:space="0"/>
                    <w:bottom w:val="single" w:color="auto" w:sz="4" w:space="0"/>
                  </w:tcBorders>
                  <w:noWrap w:val="0"/>
                  <w:vAlign w:val="center"/>
                </w:tcPr>
                <w:p w14:paraId="1816DB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33" w:type="dxa"/>
                  <w:vMerge w:val="continue"/>
                  <w:tcBorders>
                    <w:top w:val="single" w:color="auto" w:sz="4" w:space="0"/>
                    <w:bottom w:val="single" w:color="auto" w:sz="4" w:space="0"/>
                  </w:tcBorders>
                  <w:noWrap w:val="0"/>
                  <w:vAlign w:val="center"/>
                </w:tcPr>
                <w:p w14:paraId="747650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34" w:type="dxa"/>
                  <w:vMerge w:val="continue"/>
                  <w:noWrap w:val="0"/>
                  <w:vAlign w:val="center"/>
                </w:tcPr>
                <w:p w14:paraId="77253C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FC778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27" w:type="dxa"/>
                  <w:vMerge w:val="continue"/>
                  <w:noWrap w:val="0"/>
                  <w:vAlign w:val="center"/>
                </w:tcPr>
                <w:p w14:paraId="69191F0F">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rightChars="0" w:hanging="425" w:firstLineChars="0"/>
                    <w:jc w:val="center"/>
                    <w:textAlignment w:val="center"/>
                    <w:rPr>
                      <w:rFonts w:hint="eastAsia" w:ascii="Times New Roman" w:hAnsi="Times New Roman" w:eastAsia="宋体" w:cs="Times New Roman"/>
                      <w:i w:val="0"/>
                      <w:iCs w:val="0"/>
                      <w:color w:val="auto"/>
                      <w:kern w:val="0"/>
                      <w:sz w:val="21"/>
                      <w:szCs w:val="21"/>
                      <w:lang w:val="en-US" w:eastAsia="zh-CN" w:bidi="ar"/>
                    </w:rPr>
                  </w:pPr>
                </w:p>
              </w:tc>
              <w:tc>
                <w:tcPr>
                  <w:tcW w:w="636" w:type="dxa"/>
                  <w:vMerge w:val="continue"/>
                  <w:noWrap w:val="0"/>
                  <w:vAlign w:val="center"/>
                </w:tcPr>
                <w:p w14:paraId="789CA9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03" w:type="dxa"/>
                  <w:vMerge w:val="continue"/>
                  <w:noWrap w:val="0"/>
                  <w:vAlign w:val="center"/>
                </w:tcPr>
                <w:p w14:paraId="1BCE4DD3">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olor w:val="000000"/>
                      <w:sz w:val="21"/>
                      <w:szCs w:val="21"/>
                    </w:rPr>
                  </w:pPr>
                </w:p>
              </w:tc>
              <w:tc>
                <w:tcPr>
                  <w:tcW w:w="865" w:type="dxa"/>
                  <w:vMerge w:val="continue"/>
                  <w:noWrap w:val="0"/>
                  <w:vAlign w:val="center"/>
                </w:tcPr>
                <w:p w14:paraId="52545AD2">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olor w:val="000000"/>
                      <w:sz w:val="21"/>
                      <w:szCs w:val="22"/>
                    </w:rPr>
                  </w:pPr>
                </w:p>
              </w:tc>
              <w:tc>
                <w:tcPr>
                  <w:tcW w:w="596" w:type="dxa"/>
                  <w:vMerge w:val="continue"/>
                  <w:noWrap w:val="0"/>
                  <w:vAlign w:val="center"/>
                </w:tcPr>
                <w:p w14:paraId="31663421">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olor w:val="000000"/>
                      <w:sz w:val="21"/>
                      <w:szCs w:val="21"/>
                    </w:rPr>
                  </w:pPr>
                </w:p>
              </w:tc>
              <w:tc>
                <w:tcPr>
                  <w:tcW w:w="1044" w:type="dxa"/>
                  <w:vMerge w:val="continue"/>
                  <w:noWrap w:val="0"/>
                  <w:vAlign w:val="center"/>
                </w:tcPr>
                <w:p w14:paraId="20643A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cs="Times New Roman"/>
                      <w:i w:val="0"/>
                      <w:iCs w:val="0"/>
                      <w:color w:val="auto"/>
                      <w:sz w:val="21"/>
                      <w:szCs w:val="21"/>
                      <w:highlight w:val="none"/>
                      <w:u w:val="none"/>
                      <w:lang w:val="en-US" w:eastAsia="zh-CN"/>
                    </w:rPr>
                  </w:pPr>
                </w:p>
              </w:tc>
              <w:tc>
                <w:tcPr>
                  <w:tcW w:w="636" w:type="dxa"/>
                  <w:vMerge w:val="continue"/>
                  <w:noWrap w:val="0"/>
                  <w:vAlign w:val="center"/>
                </w:tcPr>
                <w:p w14:paraId="742709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499" w:type="dxa"/>
                  <w:vMerge w:val="continue"/>
                  <w:noWrap w:val="0"/>
                  <w:vAlign w:val="center"/>
                </w:tcPr>
                <w:p w14:paraId="5963B80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498" w:type="dxa"/>
                  <w:vMerge w:val="continue"/>
                  <w:noWrap w:val="0"/>
                  <w:vAlign w:val="center"/>
                </w:tcPr>
                <w:p w14:paraId="3ED7D02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398" w:type="dxa"/>
                  <w:vMerge w:val="continue"/>
                  <w:noWrap w:val="0"/>
                  <w:vAlign w:val="center"/>
                </w:tcPr>
                <w:p w14:paraId="75CDAF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26" w:type="dxa"/>
                  <w:tcBorders>
                    <w:top w:val="single" w:color="000000" w:sz="4" w:space="0"/>
                    <w:bottom w:val="single" w:color="000000" w:sz="4" w:space="0"/>
                  </w:tcBorders>
                  <w:shd w:val="clear" w:color="auto" w:fill="auto"/>
                  <w:noWrap w:val="0"/>
                  <w:vAlign w:val="center"/>
                </w:tcPr>
                <w:p w14:paraId="7DC9E3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988" w:type="dxa"/>
                  <w:tcBorders>
                    <w:top w:val="single" w:color="000000" w:sz="4" w:space="0"/>
                    <w:bottom w:val="single" w:color="000000" w:sz="4" w:space="0"/>
                  </w:tcBorders>
                  <w:noWrap w:val="0"/>
                  <w:vAlign w:val="center"/>
                </w:tcPr>
                <w:p w14:paraId="1EA7C79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w:t>
                  </w:r>
                </w:p>
              </w:tc>
              <w:tc>
                <w:tcPr>
                  <w:tcW w:w="803" w:type="dxa"/>
                  <w:tcBorders>
                    <w:top w:val="single" w:color="000000" w:sz="4" w:space="0"/>
                    <w:bottom w:val="single" w:color="000000" w:sz="4" w:space="0"/>
                  </w:tcBorders>
                  <w:shd w:val="clear" w:color="auto" w:fill="auto"/>
                  <w:noWrap w:val="0"/>
                  <w:vAlign w:val="center"/>
                </w:tcPr>
                <w:p w14:paraId="43E772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1285" w:type="dxa"/>
                  <w:tcBorders>
                    <w:top w:val="single" w:color="000000" w:sz="4" w:space="0"/>
                    <w:bottom w:val="single" w:color="000000" w:sz="4" w:space="0"/>
                  </w:tcBorders>
                  <w:noWrap w:val="0"/>
                  <w:vAlign w:val="center"/>
                </w:tcPr>
                <w:p w14:paraId="6B2918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51.2 </w:t>
                  </w:r>
                </w:p>
              </w:tc>
              <w:tc>
                <w:tcPr>
                  <w:tcW w:w="587" w:type="dxa"/>
                  <w:vMerge w:val="continue"/>
                  <w:noWrap w:val="0"/>
                  <w:vAlign w:val="center"/>
                </w:tcPr>
                <w:p w14:paraId="44EE8D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94" w:type="dxa"/>
                  <w:vMerge w:val="continue"/>
                  <w:noWrap w:val="0"/>
                  <w:vAlign w:val="center"/>
                </w:tcPr>
                <w:p w14:paraId="28A8D8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27" w:type="dxa"/>
                  <w:vMerge w:val="continue"/>
                  <w:tcBorders>
                    <w:top w:val="single" w:color="auto" w:sz="4" w:space="0"/>
                    <w:bottom w:val="single" w:color="auto" w:sz="4" w:space="0"/>
                  </w:tcBorders>
                  <w:noWrap w:val="0"/>
                  <w:vAlign w:val="center"/>
                </w:tcPr>
                <w:p w14:paraId="06F85F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33" w:type="dxa"/>
                  <w:vMerge w:val="continue"/>
                  <w:tcBorders>
                    <w:top w:val="single" w:color="auto" w:sz="4" w:space="0"/>
                    <w:bottom w:val="single" w:color="auto" w:sz="4" w:space="0"/>
                  </w:tcBorders>
                  <w:noWrap w:val="0"/>
                  <w:vAlign w:val="center"/>
                </w:tcPr>
                <w:p w14:paraId="425050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34" w:type="dxa"/>
                  <w:vMerge w:val="continue"/>
                  <w:noWrap w:val="0"/>
                  <w:vAlign w:val="center"/>
                </w:tcPr>
                <w:p w14:paraId="33FAC6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A00FF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27" w:type="dxa"/>
                  <w:vMerge w:val="continue"/>
                  <w:tcBorders>
                    <w:bottom w:val="single" w:color="000000" w:sz="4" w:space="0"/>
                  </w:tcBorders>
                  <w:noWrap w:val="0"/>
                  <w:vAlign w:val="center"/>
                </w:tcPr>
                <w:p w14:paraId="2FABB89E">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rightChars="0" w:hanging="425" w:firstLineChars="0"/>
                    <w:jc w:val="center"/>
                    <w:textAlignment w:val="center"/>
                    <w:rPr>
                      <w:rFonts w:hint="eastAsia" w:ascii="Times New Roman" w:hAnsi="Times New Roman" w:eastAsia="宋体" w:cs="Times New Roman"/>
                      <w:i w:val="0"/>
                      <w:iCs w:val="0"/>
                      <w:color w:val="auto"/>
                      <w:kern w:val="0"/>
                      <w:sz w:val="21"/>
                      <w:szCs w:val="21"/>
                      <w:lang w:val="en-US" w:eastAsia="zh-CN" w:bidi="ar"/>
                    </w:rPr>
                  </w:pPr>
                </w:p>
              </w:tc>
              <w:tc>
                <w:tcPr>
                  <w:tcW w:w="636" w:type="dxa"/>
                  <w:vMerge w:val="continue"/>
                  <w:tcBorders>
                    <w:bottom w:val="single" w:color="000000" w:sz="4" w:space="0"/>
                  </w:tcBorders>
                  <w:noWrap w:val="0"/>
                  <w:vAlign w:val="center"/>
                </w:tcPr>
                <w:p w14:paraId="51FE0B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03" w:type="dxa"/>
                  <w:vMerge w:val="continue"/>
                  <w:tcBorders>
                    <w:bottom w:val="single" w:color="000000" w:sz="4" w:space="0"/>
                  </w:tcBorders>
                  <w:noWrap w:val="0"/>
                  <w:vAlign w:val="center"/>
                </w:tcPr>
                <w:p w14:paraId="4E861ABE">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olor w:val="000000"/>
                      <w:sz w:val="21"/>
                      <w:szCs w:val="21"/>
                    </w:rPr>
                  </w:pPr>
                </w:p>
              </w:tc>
              <w:tc>
                <w:tcPr>
                  <w:tcW w:w="865" w:type="dxa"/>
                  <w:vMerge w:val="continue"/>
                  <w:tcBorders>
                    <w:bottom w:val="single" w:color="000000" w:sz="4" w:space="0"/>
                  </w:tcBorders>
                  <w:noWrap w:val="0"/>
                  <w:vAlign w:val="center"/>
                </w:tcPr>
                <w:p w14:paraId="29723642">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olor w:val="000000"/>
                      <w:sz w:val="21"/>
                      <w:szCs w:val="22"/>
                    </w:rPr>
                  </w:pPr>
                </w:p>
              </w:tc>
              <w:tc>
                <w:tcPr>
                  <w:tcW w:w="596" w:type="dxa"/>
                  <w:vMerge w:val="continue"/>
                  <w:tcBorders>
                    <w:bottom w:val="single" w:color="000000" w:sz="4" w:space="0"/>
                  </w:tcBorders>
                  <w:noWrap w:val="0"/>
                  <w:vAlign w:val="center"/>
                </w:tcPr>
                <w:p w14:paraId="3F033DFF">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olor w:val="000000"/>
                      <w:sz w:val="21"/>
                      <w:szCs w:val="21"/>
                    </w:rPr>
                  </w:pPr>
                </w:p>
              </w:tc>
              <w:tc>
                <w:tcPr>
                  <w:tcW w:w="1044" w:type="dxa"/>
                  <w:vMerge w:val="continue"/>
                  <w:tcBorders>
                    <w:bottom w:val="single" w:color="000000" w:sz="4" w:space="0"/>
                  </w:tcBorders>
                  <w:noWrap w:val="0"/>
                  <w:vAlign w:val="center"/>
                </w:tcPr>
                <w:p w14:paraId="6D35B8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cs="Times New Roman"/>
                      <w:i w:val="0"/>
                      <w:iCs w:val="0"/>
                      <w:color w:val="auto"/>
                      <w:sz w:val="21"/>
                      <w:szCs w:val="21"/>
                      <w:highlight w:val="none"/>
                      <w:u w:val="none"/>
                      <w:lang w:val="en-US" w:eastAsia="zh-CN"/>
                    </w:rPr>
                  </w:pPr>
                </w:p>
              </w:tc>
              <w:tc>
                <w:tcPr>
                  <w:tcW w:w="636" w:type="dxa"/>
                  <w:vMerge w:val="continue"/>
                  <w:noWrap w:val="0"/>
                  <w:vAlign w:val="center"/>
                </w:tcPr>
                <w:p w14:paraId="3662FC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499" w:type="dxa"/>
                  <w:vMerge w:val="continue"/>
                  <w:tcBorders>
                    <w:bottom w:val="single" w:color="000000" w:sz="4" w:space="0"/>
                  </w:tcBorders>
                  <w:noWrap w:val="0"/>
                  <w:vAlign w:val="center"/>
                </w:tcPr>
                <w:p w14:paraId="2545B12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498" w:type="dxa"/>
                  <w:vMerge w:val="continue"/>
                  <w:tcBorders>
                    <w:bottom w:val="single" w:color="000000" w:sz="4" w:space="0"/>
                  </w:tcBorders>
                  <w:noWrap w:val="0"/>
                  <w:vAlign w:val="center"/>
                </w:tcPr>
                <w:p w14:paraId="0453FFE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398" w:type="dxa"/>
                  <w:vMerge w:val="continue"/>
                  <w:tcBorders>
                    <w:bottom w:val="single" w:color="000000" w:sz="4" w:space="0"/>
                  </w:tcBorders>
                  <w:noWrap w:val="0"/>
                  <w:vAlign w:val="center"/>
                </w:tcPr>
                <w:p w14:paraId="3DDBD2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26" w:type="dxa"/>
                  <w:tcBorders>
                    <w:top w:val="single" w:color="000000" w:sz="4" w:space="0"/>
                    <w:bottom w:val="single" w:color="000000" w:sz="4" w:space="0"/>
                  </w:tcBorders>
                  <w:shd w:val="clear" w:color="auto" w:fill="auto"/>
                  <w:noWrap w:val="0"/>
                  <w:vAlign w:val="center"/>
                </w:tcPr>
                <w:p w14:paraId="748B8C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988" w:type="dxa"/>
                  <w:tcBorders>
                    <w:top w:val="single" w:color="000000" w:sz="4" w:space="0"/>
                    <w:bottom w:val="single" w:color="000000" w:sz="4" w:space="0"/>
                  </w:tcBorders>
                  <w:noWrap w:val="0"/>
                  <w:vAlign w:val="center"/>
                </w:tcPr>
                <w:p w14:paraId="032F272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w:t>
                  </w:r>
                </w:p>
              </w:tc>
              <w:tc>
                <w:tcPr>
                  <w:tcW w:w="803" w:type="dxa"/>
                  <w:tcBorders>
                    <w:top w:val="single" w:color="000000" w:sz="4" w:space="0"/>
                    <w:bottom w:val="single" w:color="000000" w:sz="4" w:space="0"/>
                  </w:tcBorders>
                  <w:shd w:val="clear" w:color="auto" w:fill="auto"/>
                  <w:noWrap w:val="0"/>
                  <w:vAlign w:val="center"/>
                </w:tcPr>
                <w:p w14:paraId="6360E4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1285" w:type="dxa"/>
                  <w:tcBorders>
                    <w:top w:val="single" w:color="000000" w:sz="4" w:space="0"/>
                    <w:bottom w:val="single" w:color="000000" w:sz="4" w:space="0"/>
                  </w:tcBorders>
                  <w:noWrap w:val="0"/>
                  <w:vAlign w:val="center"/>
                </w:tcPr>
                <w:p w14:paraId="70F87D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52.3 </w:t>
                  </w:r>
                </w:p>
              </w:tc>
              <w:tc>
                <w:tcPr>
                  <w:tcW w:w="587" w:type="dxa"/>
                  <w:vMerge w:val="continue"/>
                  <w:tcBorders>
                    <w:bottom w:val="single" w:color="000000" w:sz="4" w:space="0"/>
                  </w:tcBorders>
                  <w:noWrap w:val="0"/>
                  <w:vAlign w:val="center"/>
                </w:tcPr>
                <w:p w14:paraId="4F6443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94" w:type="dxa"/>
                  <w:vMerge w:val="continue"/>
                  <w:noWrap w:val="0"/>
                  <w:vAlign w:val="center"/>
                </w:tcPr>
                <w:p w14:paraId="3C1909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27" w:type="dxa"/>
                  <w:vMerge w:val="continue"/>
                  <w:tcBorders>
                    <w:top w:val="single" w:color="auto" w:sz="4" w:space="0"/>
                    <w:bottom w:val="single" w:color="auto" w:sz="4" w:space="0"/>
                  </w:tcBorders>
                  <w:noWrap w:val="0"/>
                  <w:vAlign w:val="center"/>
                </w:tcPr>
                <w:p w14:paraId="5B7682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33" w:type="dxa"/>
                  <w:vMerge w:val="continue"/>
                  <w:tcBorders>
                    <w:top w:val="single" w:color="auto" w:sz="4" w:space="0"/>
                    <w:bottom w:val="single" w:color="auto" w:sz="4" w:space="0"/>
                  </w:tcBorders>
                  <w:noWrap w:val="0"/>
                  <w:vAlign w:val="center"/>
                </w:tcPr>
                <w:p w14:paraId="48CEF3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34" w:type="dxa"/>
                  <w:vMerge w:val="continue"/>
                  <w:tcBorders>
                    <w:bottom w:val="single" w:color="auto" w:sz="4" w:space="0"/>
                  </w:tcBorders>
                  <w:noWrap w:val="0"/>
                  <w:vAlign w:val="center"/>
                </w:tcPr>
                <w:p w14:paraId="422E7A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bl>
          <w:p w14:paraId="24181B59">
            <w:pPr>
              <w:pStyle w:val="15"/>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注：选取生产车间西南角为0点，XYZ为设备相对0点位置</w:t>
            </w:r>
          </w:p>
          <w:p w14:paraId="1C9DC001">
            <w:pPr>
              <w:pStyle w:val="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61" w:beforeLines="50" w:beforeAutospacing="0" w:after="0" w:afterAutospacing="0" w:line="240" w:lineRule="auto"/>
              <w:ind w:left="425" w:leftChars="0" w:right="0" w:hanging="425" w:firstLineChars="0"/>
              <w:jc w:val="center"/>
              <w:textAlignment w:val="auto"/>
              <w:rPr>
                <w:rFonts w:hint="default" w:ascii="Times New Roman" w:hAnsi="Times New Roman" w:eastAsia="宋体" w:cs="Calibri"/>
                <w:b/>
                <w:bCs/>
                <w:color w:val="auto"/>
                <w:sz w:val="24"/>
                <w:highlight w:val="none"/>
              </w:rPr>
            </w:pPr>
            <w:r>
              <w:rPr>
                <w:rFonts w:hint="default" w:ascii="Times New Roman" w:hAnsi="Times New Roman" w:eastAsia="宋体" w:cs="Times New Roman"/>
                <w:b/>
                <w:bCs/>
                <w:color w:val="auto"/>
                <w:kern w:val="2"/>
                <w:sz w:val="24"/>
                <w:szCs w:val="24"/>
                <w:highlight w:val="none"/>
                <w:lang w:val="en-US" w:eastAsia="zh-CN" w:bidi="ar-SA"/>
              </w:rPr>
              <w:t>表4-</w:t>
            </w:r>
            <w:r>
              <w:rPr>
                <w:rFonts w:hint="eastAsia" w:ascii="Times New Roman" w:hAnsi="Times New Roman" w:eastAsia="宋体" w:cs="Times New Roman"/>
                <w:b/>
                <w:bCs/>
                <w:color w:val="auto"/>
                <w:kern w:val="2"/>
                <w:sz w:val="24"/>
                <w:szCs w:val="24"/>
                <w:highlight w:val="none"/>
                <w:lang w:val="en-US" w:eastAsia="zh-CN" w:bidi="ar-SA"/>
              </w:rPr>
              <w:t xml:space="preserve">17 </w:t>
            </w:r>
            <w:r>
              <w:rPr>
                <w:rFonts w:hint="default" w:ascii="Times New Roman" w:hAnsi="Times New Roman" w:eastAsia="宋体" w:cs="Calibri"/>
                <w:b/>
                <w:bCs/>
                <w:color w:val="auto"/>
                <w:sz w:val="24"/>
                <w:highlight w:val="none"/>
              </w:rPr>
              <w:t>工业企业噪声源强调查清单（室外声源）</w:t>
            </w:r>
          </w:p>
          <w:tbl>
            <w:tblPr>
              <w:tblStyle w:val="25"/>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Layout w:type="fixed"/>
              <w:tblCellMar>
                <w:top w:w="0" w:type="dxa"/>
                <w:left w:w="108" w:type="dxa"/>
                <w:bottom w:w="0" w:type="dxa"/>
                <w:right w:w="108" w:type="dxa"/>
              </w:tblCellMar>
            </w:tblPr>
            <w:tblGrid>
              <w:gridCol w:w="692"/>
              <w:gridCol w:w="1057"/>
              <w:gridCol w:w="1416"/>
              <w:gridCol w:w="1688"/>
              <w:gridCol w:w="1160"/>
              <w:gridCol w:w="888"/>
              <w:gridCol w:w="939"/>
              <w:gridCol w:w="1617"/>
              <w:gridCol w:w="880"/>
              <w:gridCol w:w="904"/>
              <w:gridCol w:w="1315"/>
              <w:gridCol w:w="1051"/>
            </w:tblGrid>
            <w:tr w14:paraId="53336AB0">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90" w:hRule="atLeast"/>
                <w:jc w:val="center"/>
              </w:trPr>
              <w:tc>
                <w:tcPr>
                  <w:tcW w:w="254" w:type="pct"/>
                  <w:vMerge w:val="restart"/>
                  <w:tcBorders>
                    <w:tl2br w:val="nil"/>
                    <w:tr2bl w:val="nil"/>
                  </w:tcBorders>
                  <w:shd w:val="clear" w:color="auto" w:fill="auto"/>
                  <w:vAlign w:val="center"/>
                </w:tcPr>
                <w:p w14:paraId="383473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kern w:val="0"/>
                      <w:szCs w:val="21"/>
                      <w:highlight w:val="none"/>
                      <w:lang w:bidi="ar"/>
                    </w:rPr>
                    <w:t>序号</w:t>
                  </w:r>
                </w:p>
              </w:tc>
              <w:tc>
                <w:tcPr>
                  <w:tcW w:w="388" w:type="pct"/>
                  <w:vMerge w:val="restart"/>
                  <w:tcBorders>
                    <w:tl2br w:val="nil"/>
                    <w:tr2bl w:val="nil"/>
                  </w:tcBorders>
                  <w:shd w:val="clear" w:color="auto" w:fill="auto"/>
                  <w:vAlign w:val="center"/>
                </w:tcPr>
                <w:p w14:paraId="6A86F2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kern w:val="0"/>
                      <w:szCs w:val="21"/>
                      <w:highlight w:val="none"/>
                      <w:lang w:bidi="ar"/>
                    </w:rPr>
                    <w:t>声源名称</w:t>
                  </w:r>
                </w:p>
              </w:tc>
              <w:tc>
                <w:tcPr>
                  <w:tcW w:w="520" w:type="pct"/>
                  <w:vMerge w:val="restart"/>
                  <w:tcBorders>
                    <w:tl2br w:val="nil"/>
                    <w:tr2bl w:val="nil"/>
                  </w:tcBorders>
                  <w:shd w:val="clear" w:color="auto" w:fill="auto"/>
                  <w:vAlign w:val="center"/>
                </w:tcPr>
                <w:p w14:paraId="218975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kern w:val="0"/>
                      <w:szCs w:val="21"/>
                      <w:highlight w:val="none"/>
                      <w:lang w:bidi="ar"/>
                    </w:rPr>
                    <w:t>型号</w:t>
                  </w:r>
                </w:p>
              </w:tc>
              <w:tc>
                <w:tcPr>
                  <w:tcW w:w="620" w:type="pct"/>
                  <w:vMerge w:val="restart"/>
                  <w:tcBorders>
                    <w:tl2br w:val="nil"/>
                    <w:tr2bl w:val="nil"/>
                  </w:tcBorders>
                  <w:shd w:val="clear" w:color="auto" w:fill="auto"/>
                  <w:vAlign w:val="center"/>
                </w:tcPr>
                <w:p w14:paraId="1F2848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b/>
                      <w:bCs/>
                      <w:color w:val="auto"/>
                      <w:kern w:val="0"/>
                      <w:szCs w:val="21"/>
                      <w:highlight w:val="none"/>
                      <w:lang w:eastAsia="zh-CN" w:bidi="ar"/>
                    </w:rPr>
                  </w:pPr>
                  <w:r>
                    <w:rPr>
                      <w:rFonts w:hint="eastAsia" w:ascii="Times New Roman" w:hAnsi="Times New Roman" w:eastAsia="宋体" w:cs="Times New Roman"/>
                      <w:b/>
                      <w:bCs/>
                      <w:color w:val="auto"/>
                      <w:kern w:val="0"/>
                      <w:szCs w:val="21"/>
                      <w:highlight w:val="none"/>
                      <w:lang w:eastAsia="zh-CN" w:bidi="ar"/>
                    </w:rPr>
                    <w:t>设备数量</w:t>
                  </w:r>
                </w:p>
              </w:tc>
              <w:tc>
                <w:tcPr>
                  <w:tcW w:w="1097" w:type="pct"/>
                  <w:gridSpan w:val="3"/>
                  <w:tcBorders>
                    <w:tl2br w:val="nil"/>
                    <w:tr2bl w:val="nil"/>
                  </w:tcBorders>
                  <w:shd w:val="clear" w:color="auto" w:fill="auto"/>
                  <w:vAlign w:val="center"/>
                </w:tcPr>
                <w:p w14:paraId="5838B0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kern w:val="0"/>
                      <w:szCs w:val="21"/>
                      <w:highlight w:val="none"/>
                      <w:lang w:bidi="ar"/>
                    </w:rPr>
                    <w:t>空间相对位置/m</w:t>
                  </w:r>
                </w:p>
              </w:tc>
              <w:tc>
                <w:tcPr>
                  <w:tcW w:w="1249" w:type="pct"/>
                  <w:gridSpan w:val="3"/>
                  <w:tcBorders>
                    <w:tl2br w:val="nil"/>
                    <w:tr2bl w:val="nil"/>
                  </w:tcBorders>
                  <w:shd w:val="clear" w:color="auto" w:fill="auto"/>
                  <w:vAlign w:val="center"/>
                </w:tcPr>
                <w:p w14:paraId="578971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kern w:val="0"/>
                      <w:szCs w:val="21"/>
                      <w:highlight w:val="none"/>
                      <w:lang w:bidi="ar"/>
                    </w:rPr>
                    <w:t>声源源强</w:t>
                  </w:r>
                </w:p>
              </w:tc>
              <w:tc>
                <w:tcPr>
                  <w:tcW w:w="483" w:type="pct"/>
                  <w:vMerge w:val="restart"/>
                  <w:tcBorders>
                    <w:tl2br w:val="nil"/>
                    <w:tr2bl w:val="nil"/>
                  </w:tcBorders>
                  <w:shd w:val="clear" w:color="auto" w:fill="auto"/>
                  <w:vAlign w:val="center"/>
                </w:tcPr>
                <w:p w14:paraId="044671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kern w:val="0"/>
                      <w:szCs w:val="21"/>
                      <w:highlight w:val="none"/>
                      <w:lang w:bidi="ar"/>
                    </w:rPr>
                    <w:t>声源控制措施</w:t>
                  </w:r>
                </w:p>
              </w:tc>
              <w:tc>
                <w:tcPr>
                  <w:tcW w:w="386" w:type="pct"/>
                  <w:vMerge w:val="restart"/>
                  <w:tcBorders>
                    <w:tl2br w:val="nil"/>
                    <w:tr2bl w:val="nil"/>
                  </w:tcBorders>
                  <w:shd w:val="clear" w:color="auto" w:fill="auto"/>
                  <w:vAlign w:val="center"/>
                </w:tcPr>
                <w:p w14:paraId="285391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kern w:val="0"/>
                      <w:szCs w:val="21"/>
                      <w:highlight w:val="none"/>
                      <w:lang w:bidi="ar"/>
                    </w:rPr>
                    <w:t>运行时段</w:t>
                  </w:r>
                </w:p>
              </w:tc>
            </w:tr>
            <w:tr w14:paraId="0984DB17">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90" w:hRule="atLeast"/>
                <w:jc w:val="center"/>
              </w:trPr>
              <w:tc>
                <w:tcPr>
                  <w:tcW w:w="254" w:type="pct"/>
                  <w:vMerge w:val="continue"/>
                  <w:tcBorders>
                    <w:tl2br w:val="nil"/>
                    <w:tr2bl w:val="nil"/>
                  </w:tcBorders>
                  <w:shd w:val="clear" w:color="auto" w:fill="auto"/>
                  <w:vAlign w:val="center"/>
                </w:tcPr>
                <w:p w14:paraId="1C060F2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p>
              </w:tc>
              <w:tc>
                <w:tcPr>
                  <w:tcW w:w="388" w:type="pct"/>
                  <w:vMerge w:val="continue"/>
                  <w:tcBorders>
                    <w:tl2br w:val="nil"/>
                    <w:tr2bl w:val="nil"/>
                  </w:tcBorders>
                  <w:shd w:val="clear" w:color="auto" w:fill="auto"/>
                  <w:vAlign w:val="center"/>
                </w:tcPr>
                <w:p w14:paraId="5039953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p>
              </w:tc>
              <w:tc>
                <w:tcPr>
                  <w:tcW w:w="520" w:type="pct"/>
                  <w:vMerge w:val="continue"/>
                  <w:tcBorders>
                    <w:tl2br w:val="nil"/>
                    <w:tr2bl w:val="nil"/>
                  </w:tcBorders>
                  <w:shd w:val="clear" w:color="auto" w:fill="auto"/>
                  <w:vAlign w:val="center"/>
                </w:tcPr>
                <w:p w14:paraId="68EC5A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p>
              </w:tc>
              <w:tc>
                <w:tcPr>
                  <w:tcW w:w="620" w:type="pct"/>
                  <w:vMerge w:val="continue"/>
                  <w:tcBorders>
                    <w:tl2br w:val="nil"/>
                    <w:tr2bl w:val="nil"/>
                  </w:tcBorders>
                  <w:shd w:val="clear" w:color="auto" w:fill="auto"/>
                  <w:vAlign w:val="center"/>
                </w:tcPr>
                <w:p w14:paraId="2D75ED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bCs/>
                      <w:color w:val="auto"/>
                      <w:kern w:val="0"/>
                      <w:szCs w:val="21"/>
                      <w:highlight w:val="none"/>
                      <w:lang w:bidi="ar"/>
                    </w:rPr>
                  </w:pPr>
                </w:p>
              </w:tc>
              <w:tc>
                <w:tcPr>
                  <w:tcW w:w="426" w:type="pct"/>
                  <w:tcBorders>
                    <w:tl2br w:val="nil"/>
                    <w:tr2bl w:val="nil"/>
                  </w:tcBorders>
                  <w:shd w:val="clear" w:color="auto" w:fill="auto"/>
                  <w:vAlign w:val="center"/>
                </w:tcPr>
                <w:p w14:paraId="7ADEBA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kern w:val="0"/>
                      <w:szCs w:val="21"/>
                      <w:highlight w:val="none"/>
                      <w:lang w:bidi="ar"/>
                    </w:rPr>
                    <w:t>X</w:t>
                  </w:r>
                </w:p>
              </w:tc>
              <w:tc>
                <w:tcPr>
                  <w:tcW w:w="326" w:type="pct"/>
                  <w:tcBorders>
                    <w:tl2br w:val="nil"/>
                    <w:tr2bl w:val="nil"/>
                  </w:tcBorders>
                  <w:shd w:val="clear" w:color="auto" w:fill="auto"/>
                  <w:vAlign w:val="center"/>
                </w:tcPr>
                <w:p w14:paraId="091123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kern w:val="0"/>
                      <w:szCs w:val="21"/>
                      <w:highlight w:val="none"/>
                      <w:lang w:bidi="ar"/>
                    </w:rPr>
                    <w:t>Y</w:t>
                  </w:r>
                </w:p>
              </w:tc>
              <w:tc>
                <w:tcPr>
                  <w:tcW w:w="345" w:type="pct"/>
                  <w:tcBorders>
                    <w:tl2br w:val="nil"/>
                    <w:tr2bl w:val="nil"/>
                  </w:tcBorders>
                  <w:shd w:val="clear" w:color="auto" w:fill="auto"/>
                  <w:vAlign w:val="center"/>
                </w:tcPr>
                <w:p w14:paraId="3C57C9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kern w:val="0"/>
                      <w:szCs w:val="21"/>
                      <w:highlight w:val="none"/>
                      <w:lang w:bidi="ar"/>
                    </w:rPr>
                    <w:t>Z</w:t>
                  </w:r>
                </w:p>
              </w:tc>
              <w:tc>
                <w:tcPr>
                  <w:tcW w:w="594" w:type="pct"/>
                  <w:tcBorders>
                    <w:tl2br w:val="nil"/>
                    <w:tr2bl w:val="nil"/>
                  </w:tcBorders>
                  <w:shd w:val="clear" w:color="auto" w:fill="auto"/>
                  <w:vAlign w:val="center"/>
                </w:tcPr>
                <w:p w14:paraId="16F07F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kern w:val="0"/>
                      <w:szCs w:val="21"/>
                      <w:highlight w:val="none"/>
                      <w:lang w:bidi="ar"/>
                    </w:rPr>
                    <w:t>声功率级dB(A)</w:t>
                  </w:r>
                </w:p>
              </w:tc>
              <w:tc>
                <w:tcPr>
                  <w:tcW w:w="655" w:type="pct"/>
                  <w:gridSpan w:val="2"/>
                  <w:tcBorders>
                    <w:tl2br w:val="nil"/>
                    <w:tr2bl w:val="nil"/>
                  </w:tcBorders>
                  <w:shd w:val="clear" w:color="auto" w:fill="auto"/>
                  <w:vAlign w:val="center"/>
                </w:tcPr>
                <w:p w14:paraId="01E16E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kern w:val="0"/>
                      <w:szCs w:val="21"/>
                      <w:highlight w:val="none"/>
                      <w:lang w:bidi="ar"/>
                    </w:rPr>
                    <w:t>距厂界距离/m</w:t>
                  </w:r>
                </w:p>
              </w:tc>
              <w:tc>
                <w:tcPr>
                  <w:tcW w:w="483" w:type="pct"/>
                  <w:vMerge w:val="continue"/>
                  <w:tcBorders>
                    <w:tl2br w:val="nil"/>
                    <w:tr2bl w:val="nil"/>
                  </w:tcBorders>
                  <w:shd w:val="clear" w:color="auto" w:fill="auto"/>
                  <w:vAlign w:val="center"/>
                </w:tcPr>
                <w:p w14:paraId="4EE51CD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p>
              </w:tc>
              <w:tc>
                <w:tcPr>
                  <w:tcW w:w="386" w:type="pct"/>
                  <w:vMerge w:val="continue"/>
                  <w:tcBorders>
                    <w:tl2br w:val="nil"/>
                    <w:tr2bl w:val="nil"/>
                  </w:tcBorders>
                  <w:shd w:val="clear" w:color="auto" w:fill="auto"/>
                  <w:vAlign w:val="center"/>
                </w:tcPr>
                <w:p w14:paraId="1D23A14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p>
              </w:tc>
            </w:tr>
            <w:tr w14:paraId="325984C7">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285" w:hRule="atLeast"/>
                <w:jc w:val="center"/>
              </w:trPr>
              <w:tc>
                <w:tcPr>
                  <w:tcW w:w="254" w:type="pct"/>
                  <w:vMerge w:val="restart"/>
                  <w:tcBorders>
                    <w:tl2br w:val="nil"/>
                    <w:tr2bl w:val="nil"/>
                  </w:tcBorders>
                  <w:shd w:val="clear" w:color="auto" w:fill="auto"/>
                  <w:vAlign w:val="center"/>
                </w:tcPr>
                <w:p w14:paraId="5F069E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1</w:t>
                  </w:r>
                </w:p>
              </w:tc>
              <w:tc>
                <w:tcPr>
                  <w:tcW w:w="388" w:type="pct"/>
                  <w:vMerge w:val="restart"/>
                  <w:tcBorders>
                    <w:tl2br w:val="nil"/>
                    <w:tr2bl w:val="nil"/>
                  </w:tcBorders>
                  <w:shd w:val="clear" w:color="auto" w:fill="auto"/>
                  <w:vAlign w:val="center"/>
                </w:tcPr>
                <w:p w14:paraId="22DEA7A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i w:val="0"/>
                      <w:iCs w:val="0"/>
                      <w:color w:val="auto"/>
                      <w:sz w:val="21"/>
                      <w:szCs w:val="21"/>
                      <w:highlight w:val="none"/>
                      <w:u w:val="none"/>
                      <w:lang w:val="en-US" w:eastAsia="zh-CN"/>
                    </w:rPr>
                    <w:t>FQ0</w:t>
                  </w:r>
                  <w:r>
                    <w:rPr>
                      <w:rFonts w:hint="eastAsia" w:cs="Times New Roman"/>
                      <w:i w:val="0"/>
                      <w:iCs w:val="0"/>
                      <w:color w:val="auto"/>
                      <w:sz w:val="21"/>
                      <w:szCs w:val="21"/>
                      <w:highlight w:val="none"/>
                      <w:u w:val="none"/>
                      <w:lang w:val="en-US" w:eastAsia="zh-CN"/>
                    </w:rPr>
                    <w:t>1</w:t>
                  </w:r>
                  <w:r>
                    <w:rPr>
                      <w:rFonts w:hint="eastAsia" w:ascii="Times New Roman" w:hAnsi="Times New Roman" w:eastAsia="宋体" w:cs="Times New Roman"/>
                      <w:i w:val="0"/>
                      <w:iCs w:val="0"/>
                      <w:color w:val="auto"/>
                      <w:sz w:val="21"/>
                      <w:szCs w:val="21"/>
                      <w:highlight w:val="none"/>
                      <w:u w:val="none"/>
                      <w:lang w:val="en-US" w:eastAsia="zh-CN"/>
                    </w:rPr>
                    <w:t>配套风机</w:t>
                  </w:r>
                </w:p>
              </w:tc>
              <w:tc>
                <w:tcPr>
                  <w:tcW w:w="520" w:type="pct"/>
                  <w:vMerge w:val="restart"/>
                  <w:tcBorders>
                    <w:tl2br w:val="nil"/>
                    <w:tr2bl w:val="nil"/>
                  </w:tcBorders>
                  <w:shd w:val="clear" w:color="auto" w:fill="auto"/>
                  <w:vAlign w:val="center"/>
                </w:tcPr>
                <w:p w14:paraId="515DC2B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eastAsia" w:cs="Times New Roman"/>
                      <w:color w:val="auto"/>
                      <w:sz w:val="21"/>
                      <w:szCs w:val="21"/>
                      <w:highlight w:val="none"/>
                      <w:lang w:val="en-US" w:eastAsia="zh-CN"/>
                    </w:rPr>
                    <w:t>2600</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/h</w:t>
                  </w:r>
                </w:p>
              </w:tc>
              <w:tc>
                <w:tcPr>
                  <w:tcW w:w="620" w:type="pct"/>
                  <w:vMerge w:val="restart"/>
                  <w:tcBorders>
                    <w:tl2br w:val="nil"/>
                    <w:tr2bl w:val="nil"/>
                  </w:tcBorders>
                  <w:shd w:val="clear" w:color="auto" w:fill="auto"/>
                  <w:vAlign w:val="center"/>
                </w:tcPr>
                <w:p w14:paraId="7E175C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1</w:t>
                  </w:r>
                </w:p>
              </w:tc>
              <w:tc>
                <w:tcPr>
                  <w:tcW w:w="1160" w:type="dxa"/>
                  <w:vMerge w:val="restart"/>
                  <w:tcBorders>
                    <w:tl2br w:val="nil"/>
                    <w:tr2bl w:val="nil"/>
                  </w:tcBorders>
                  <w:shd w:val="clear" w:color="auto" w:fill="auto"/>
                  <w:vAlign w:val="center"/>
                </w:tcPr>
                <w:p w14:paraId="216E8542">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000000"/>
                      <w:sz w:val="21"/>
                      <w:szCs w:val="21"/>
                      <w:lang w:val="en-US" w:eastAsia="zh-CN"/>
                    </w:rPr>
                    <w:t>4</w:t>
                  </w:r>
                </w:p>
              </w:tc>
              <w:tc>
                <w:tcPr>
                  <w:tcW w:w="888" w:type="dxa"/>
                  <w:vMerge w:val="restart"/>
                  <w:tcBorders>
                    <w:tl2br w:val="nil"/>
                    <w:tr2bl w:val="nil"/>
                  </w:tcBorders>
                  <w:shd w:val="clear" w:color="auto" w:fill="auto"/>
                  <w:vAlign w:val="center"/>
                </w:tcPr>
                <w:p w14:paraId="0A252A5F">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000000"/>
                      <w:sz w:val="21"/>
                      <w:szCs w:val="21"/>
                      <w:lang w:val="en-US" w:eastAsia="zh-CN"/>
                    </w:rPr>
                    <w:t>41</w:t>
                  </w:r>
                </w:p>
              </w:tc>
              <w:tc>
                <w:tcPr>
                  <w:tcW w:w="939" w:type="dxa"/>
                  <w:vMerge w:val="restart"/>
                  <w:tcBorders>
                    <w:tl2br w:val="nil"/>
                    <w:tr2bl w:val="nil"/>
                  </w:tcBorders>
                  <w:shd w:val="clear" w:color="auto" w:fill="auto"/>
                  <w:vAlign w:val="center"/>
                </w:tcPr>
                <w:p w14:paraId="124C11DC">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000000"/>
                      <w:sz w:val="21"/>
                      <w:szCs w:val="21"/>
                      <w:lang w:val="en-US" w:eastAsia="zh-CN"/>
                    </w:rPr>
                    <w:t>4</w:t>
                  </w:r>
                </w:p>
              </w:tc>
              <w:tc>
                <w:tcPr>
                  <w:tcW w:w="594" w:type="pct"/>
                  <w:vMerge w:val="restart"/>
                  <w:tcBorders>
                    <w:tl2br w:val="nil"/>
                    <w:tr2bl w:val="nil"/>
                  </w:tcBorders>
                  <w:shd w:val="clear" w:color="auto" w:fill="auto"/>
                  <w:vAlign w:val="center"/>
                </w:tcPr>
                <w:p w14:paraId="05A4F3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kern w:val="0"/>
                      <w:szCs w:val="21"/>
                      <w:highlight w:val="none"/>
                      <w:lang w:val="en-US" w:eastAsia="zh-CN" w:bidi="ar"/>
                    </w:rPr>
                    <w:t>85</w:t>
                  </w:r>
                </w:p>
              </w:tc>
              <w:tc>
                <w:tcPr>
                  <w:tcW w:w="323" w:type="pct"/>
                  <w:tcBorders>
                    <w:tl2br w:val="nil"/>
                    <w:tr2bl w:val="nil"/>
                  </w:tcBorders>
                  <w:shd w:val="clear" w:color="auto" w:fill="auto"/>
                  <w:vAlign w:val="center"/>
                </w:tcPr>
                <w:p w14:paraId="423020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东</w:t>
                  </w:r>
                </w:p>
              </w:tc>
              <w:tc>
                <w:tcPr>
                  <w:tcW w:w="332" w:type="pct"/>
                  <w:tcBorders>
                    <w:tl2br w:val="nil"/>
                    <w:tr2bl w:val="nil"/>
                  </w:tcBorders>
                  <w:shd w:val="clear" w:color="auto" w:fill="auto"/>
                  <w:vAlign w:val="center"/>
                </w:tcPr>
                <w:p w14:paraId="6A4F43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w:t>
                  </w:r>
                </w:p>
              </w:tc>
              <w:tc>
                <w:tcPr>
                  <w:tcW w:w="483" w:type="pct"/>
                  <w:vMerge w:val="restart"/>
                  <w:tcBorders>
                    <w:tl2br w:val="nil"/>
                    <w:tr2bl w:val="nil"/>
                  </w:tcBorders>
                  <w:shd w:val="clear" w:color="auto" w:fill="auto"/>
                  <w:vAlign w:val="center"/>
                </w:tcPr>
                <w:p w14:paraId="6BFDDA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加装隔声罩、消声器</w:t>
                  </w:r>
                  <w:r>
                    <w:rPr>
                      <w:rFonts w:hint="eastAsia" w:ascii="Times New Roman" w:hAnsi="Times New Roman" w:eastAsia="宋体" w:cs="Times New Roman"/>
                      <w:color w:val="auto"/>
                      <w:kern w:val="0"/>
                      <w:szCs w:val="21"/>
                      <w:highlight w:val="none"/>
                      <w:lang w:eastAsia="zh-CN" w:bidi="ar"/>
                    </w:rPr>
                    <w:t>、</w:t>
                  </w:r>
                  <w:r>
                    <w:rPr>
                      <w:rFonts w:hint="default" w:ascii="Times New Roman" w:hAnsi="Times New Roman" w:eastAsia="宋体" w:cs="Times New Roman"/>
                      <w:i w:val="0"/>
                      <w:iCs w:val="0"/>
                      <w:color w:val="auto"/>
                      <w:sz w:val="21"/>
                      <w:szCs w:val="21"/>
                      <w:highlight w:val="none"/>
                      <w:u w:val="none"/>
                      <w:lang w:val="en-US" w:eastAsia="zh-CN"/>
                    </w:rPr>
                    <w:t>距离衰减</w:t>
                  </w:r>
                </w:p>
              </w:tc>
              <w:tc>
                <w:tcPr>
                  <w:tcW w:w="386" w:type="pct"/>
                  <w:vMerge w:val="restart"/>
                  <w:tcBorders>
                    <w:tl2br w:val="nil"/>
                    <w:tr2bl w:val="nil"/>
                  </w:tcBorders>
                  <w:shd w:val="clear" w:color="auto" w:fill="auto"/>
                  <w:vAlign w:val="center"/>
                </w:tcPr>
                <w:p w14:paraId="0BCD2A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全天</w:t>
                  </w:r>
                </w:p>
              </w:tc>
            </w:tr>
            <w:tr w14:paraId="7E588A04">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287" w:hRule="atLeast"/>
                <w:jc w:val="center"/>
              </w:trPr>
              <w:tc>
                <w:tcPr>
                  <w:tcW w:w="254" w:type="pct"/>
                  <w:vMerge w:val="continue"/>
                  <w:tcBorders>
                    <w:tl2br w:val="nil"/>
                    <w:tr2bl w:val="nil"/>
                  </w:tcBorders>
                  <w:shd w:val="clear" w:color="auto" w:fill="auto"/>
                  <w:vAlign w:val="center"/>
                </w:tcPr>
                <w:p w14:paraId="2C08EBC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388" w:type="pct"/>
                  <w:vMerge w:val="continue"/>
                  <w:tcBorders>
                    <w:tl2br w:val="nil"/>
                    <w:tr2bl w:val="nil"/>
                  </w:tcBorders>
                  <w:shd w:val="clear" w:color="auto" w:fill="auto"/>
                  <w:vAlign w:val="center"/>
                </w:tcPr>
                <w:p w14:paraId="5C5BE23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520" w:type="pct"/>
                  <w:vMerge w:val="continue"/>
                  <w:tcBorders>
                    <w:tl2br w:val="nil"/>
                    <w:tr2bl w:val="nil"/>
                  </w:tcBorders>
                  <w:shd w:val="clear" w:color="auto" w:fill="auto"/>
                  <w:vAlign w:val="center"/>
                </w:tcPr>
                <w:p w14:paraId="553175A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620" w:type="pct"/>
                  <w:vMerge w:val="continue"/>
                  <w:tcBorders>
                    <w:tl2br w:val="nil"/>
                    <w:tr2bl w:val="nil"/>
                  </w:tcBorders>
                  <w:shd w:val="clear" w:color="auto" w:fill="auto"/>
                  <w:vAlign w:val="center"/>
                </w:tcPr>
                <w:p w14:paraId="2C8D29E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426" w:type="pct"/>
                  <w:vMerge w:val="continue"/>
                  <w:tcBorders>
                    <w:tl2br w:val="nil"/>
                    <w:tr2bl w:val="nil"/>
                  </w:tcBorders>
                  <w:shd w:val="clear" w:color="auto" w:fill="auto"/>
                  <w:vAlign w:val="center"/>
                </w:tcPr>
                <w:p w14:paraId="2E25B0E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326" w:type="pct"/>
                  <w:vMerge w:val="continue"/>
                  <w:tcBorders>
                    <w:tl2br w:val="nil"/>
                    <w:tr2bl w:val="nil"/>
                  </w:tcBorders>
                  <w:shd w:val="clear" w:color="auto" w:fill="auto"/>
                  <w:vAlign w:val="center"/>
                </w:tcPr>
                <w:p w14:paraId="3BDE638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345" w:type="pct"/>
                  <w:vMerge w:val="continue"/>
                  <w:tcBorders>
                    <w:tl2br w:val="nil"/>
                    <w:tr2bl w:val="nil"/>
                  </w:tcBorders>
                  <w:shd w:val="clear" w:color="auto" w:fill="auto"/>
                  <w:vAlign w:val="center"/>
                </w:tcPr>
                <w:p w14:paraId="4D50659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594" w:type="pct"/>
                  <w:vMerge w:val="continue"/>
                  <w:tcBorders>
                    <w:tl2br w:val="nil"/>
                    <w:tr2bl w:val="nil"/>
                  </w:tcBorders>
                  <w:shd w:val="clear" w:color="auto" w:fill="auto"/>
                  <w:vAlign w:val="center"/>
                </w:tcPr>
                <w:p w14:paraId="18365E6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323" w:type="pct"/>
                  <w:tcBorders>
                    <w:tl2br w:val="nil"/>
                    <w:tr2bl w:val="nil"/>
                  </w:tcBorders>
                  <w:shd w:val="clear" w:color="auto" w:fill="auto"/>
                  <w:vAlign w:val="center"/>
                </w:tcPr>
                <w:p w14:paraId="2768B7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南</w:t>
                  </w:r>
                </w:p>
              </w:tc>
              <w:tc>
                <w:tcPr>
                  <w:tcW w:w="332" w:type="pct"/>
                  <w:tcBorders>
                    <w:tl2br w:val="nil"/>
                    <w:tr2bl w:val="nil"/>
                  </w:tcBorders>
                  <w:shd w:val="clear" w:color="auto" w:fill="auto"/>
                  <w:vAlign w:val="center"/>
                </w:tcPr>
                <w:p w14:paraId="77BC8C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15</w:t>
                  </w:r>
                </w:p>
              </w:tc>
              <w:tc>
                <w:tcPr>
                  <w:tcW w:w="483" w:type="pct"/>
                  <w:vMerge w:val="continue"/>
                  <w:tcBorders>
                    <w:tl2br w:val="nil"/>
                    <w:tr2bl w:val="nil"/>
                  </w:tcBorders>
                  <w:shd w:val="clear" w:color="auto" w:fill="auto"/>
                  <w:vAlign w:val="center"/>
                </w:tcPr>
                <w:p w14:paraId="2459F7A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386" w:type="pct"/>
                  <w:vMerge w:val="continue"/>
                  <w:tcBorders>
                    <w:tl2br w:val="nil"/>
                    <w:tr2bl w:val="nil"/>
                  </w:tcBorders>
                  <w:shd w:val="clear" w:color="auto" w:fill="auto"/>
                  <w:vAlign w:val="center"/>
                </w:tcPr>
                <w:p w14:paraId="30C015E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r>
            <w:tr w14:paraId="18CCEF9F">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00" w:hRule="atLeast"/>
                <w:jc w:val="center"/>
              </w:trPr>
              <w:tc>
                <w:tcPr>
                  <w:tcW w:w="254" w:type="pct"/>
                  <w:vMerge w:val="continue"/>
                  <w:tcBorders>
                    <w:tl2br w:val="nil"/>
                    <w:tr2bl w:val="nil"/>
                  </w:tcBorders>
                  <w:shd w:val="clear" w:color="auto" w:fill="auto"/>
                  <w:vAlign w:val="center"/>
                </w:tcPr>
                <w:p w14:paraId="58E425F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388" w:type="pct"/>
                  <w:vMerge w:val="continue"/>
                  <w:tcBorders>
                    <w:tl2br w:val="nil"/>
                    <w:tr2bl w:val="nil"/>
                  </w:tcBorders>
                  <w:shd w:val="clear" w:color="auto" w:fill="auto"/>
                  <w:vAlign w:val="center"/>
                </w:tcPr>
                <w:p w14:paraId="0275EF8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520" w:type="pct"/>
                  <w:vMerge w:val="continue"/>
                  <w:tcBorders>
                    <w:tl2br w:val="nil"/>
                    <w:tr2bl w:val="nil"/>
                  </w:tcBorders>
                  <w:shd w:val="clear" w:color="auto" w:fill="auto"/>
                  <w:vAlign w:val="center"/>
                </w:tcPr>
                <w:p w14:paraId="472C86C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620" w:type="pct"/>
                  <w:vMerge w:val="continue"/>
                  <w:tcBorders>
                    <w:tl2br w:val="nil"/>
                    <w:tr2bl w:val="nil"/>
                  </w:tcBorders>
                  <w:shd w:val="clear" w:color="auto" w:fill="auto"/>
                  <w:vAlign w:val="center"/>
                </w:tcPr>
                <w:p w14:paraId="6287EC6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426" w:type="pct"/>
                  <w:vMerge w:val="continue"/>
                  <w:tcBorders>
                    <w:tl2br w:val="nil"/>
                    <w:tr2bl w:val="nil"/>
                  </w:tcBorders>
                  <w:shd w:val="clear" w:color="auto" w:fill="auto"/>
                  <w:vAlign w:val="center"/>
                </w:tcPr>
                <w:p w14:paraId="3B450CB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326" w:type="pct"/>
                  <w:vMerge w:val="continue"/>
                  <w:tcBorders>
                    <w:tl2br w:val="nil"/>
                    <w:tr2bl w:val="nil"/>
                  </w:tcBorders>
                  <w:shd w:val="clear" w:color="auto" w:fill="auto"/>
                  <w:vAlign w:val="center"/>
                </w:tcPr>
                <w:p w14:paraId="217C532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345" w:type="pct"/>
                  <w:vMerge w:val="continue"/>
                  <w:tcBorders>
                    <w:tl2br w:val="nil"/>
                    <w:tr2bl w:val="nil"/>
                  </w:tcBorders>
                  <w:shd w:val="clear" w:color="auto" w:fill="auto"/>
                  <w:vAlign w:val="center"/>
                </w:tcPr>
                <w:p w14:paraId="192E7FC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594" w:type="pct"/>
                  <w:vMerge w:val="continue"/>
                  <w:tcBorders>
                    <w:tl2br w:val="nil"/>
                    <w:tr2bl w:val="nil"/>
                  </w:tcBorders>
                  <w:shd w:val="clear" w:color="auto" w:fill="auto"/>
                  <w:vAlign w:val="center"/>
                </w:tcPr>
                <w:p w14:paraId="13B6C3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323" w:type="pct"/>
                  <w:tcBorders>
                    <w:tl2br w:val="nil"/>
                    <w:tr2bl w:val="nil"/>
                  </w:tcBorders>
                  <w:shd w:val="clear" w:color="auto" w:fill="auto"/>
                  <w:vAlign w:val="center"/>
                </w:tcPr>
                <w:p w14:paraId="1DD333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西</w:t>
                  </w:r>
                </w:p>
              </w:tc>
              <w:tc>
                <w:tcPr>
                  <w:tcW w:w="332" w:type="pct"/>
                  <w:tcBorders>
                    <w:tl2br w:val="nil"/>
                    <w:tr2bl w:val="nil"/>
                  </w:tcBorders>
                  <w:shd w:val="clear" w:color="auto" w:fill="auto"/>
                  <w:vAlign w:val="center"/>
                </w:tcPr>
                <w:p w14:paraId="4F7F18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37</w:t>
                  </w:r>
                </w:p>
              </w:tc>
              <w:tc>
                <w:tcPr>
                  <w:tcW w:w="483" w:type="pct"/>
                  <w:vMerge w:val="continue"/>
                  <w:tcBorders>
                    <w:tl2br w:val="nil"/>
                    <w:tr2bl w:val="nil"/>
                  </w:tcBorders>
                  <w:shd w:val="clear" w:color="auto" w:fill="auto"/>
                  <w:vAlign w:val="center"/>
                </w:tcPr>
                <w:p w14:paraId="791A95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386" w:type="pct"/>
                  <w:vMerge w:val="continue"/>
                  <w:tcBorders>
                    <w:tl2br w:val="nil"/>
                    <w:tr2bl w:val="nil"/>
                  </w:tcBorders>
                  <w:shd w:val="clear" w:color="auto" w:fill="auto"/>
                  <w:vAlign w:val="center"/>
                </w:tcPr>
                <w:p w14:paraId="2D72833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r>
            <w:tr w14:paraId="629569AD">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00" w:hRule="atLeast"/>
                <w:jc w:val="center"/>
              </w:trPr>
              <w:tc>
                <w:tcPr>
                  <w:tcW w:w="254" w:type="pct"/>
                  <w:vMerge w:val="continue"/>
                  <w:tcBorders>
                    <w:tl2br w:val="nil"/>
                    <w:tr2bl w:val="nil"/>
                  </w:tcBorders>
                  <w:shd w:val="clear" w:color="auto" w:fill="auto"/>
                  <w:vAlign w:val="center"/>
                </w:tcPr>
                <w:p w14:paraId="73A6C7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388" w:type="pct"/>
                  <w:vMerge w:val="continue"/>
                  <w:tcBorders>
                    <w:tl2br w:val="nil"/>
                    <w:tr2bl w:val="nil"/>
                  </w:tcBorders>
                  <w:shd w:val="clear" w:color="auto" w:fill="auto"/>
                  <w:vAlign w:val="center"/>
                </w:tcPr>
                <w:p w14:paraId="67EEBB9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520" w:type="pct"/>
                  <w:vMerge w:val="continue"/>
                  <w:tcBorders>
                    <w:tl2br w:val="nil"/>
                    <w:tr2bl w:val="nil"/>
                  </w:tcBorders>
                  <w:shd w:val="clear" w:color="auto" w:fill="auto"/>
                  <w:vAlign w:val="center"/>
                </w:tcPr>
                <w:p w14:paraId="15D61B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620" w:type="pct"/>
                  <w:vMerge w:val="continue"/>
                  <w:tcBorders>
                    <w:tl2br w:val="nil"/>
                    <w:tr2bl w:val="nil"/>
                  </w:tcBorders>
                  <w:shd w:val="clear" w:color="auto" w:fill="auto"/>
                  <w:vAlign w:val="center"/>
                </w:tcPr>
                <w:p w14:paraId="1FB3164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426" w:type="pct"/>
                  <w:vMerge w:val="continue"/>
                  <w:tcBorders>
                    <w:tl2br w:val="nil"/>
                    <w:tr2bl w:val="nil"/>
                  </w:tcBorders>
                  <w:shd w:val="clear" w:color="auto" w:fill="auto"/>
                  <w:vAlign w:val="center"/>
                </w:tcPr>
                <w:p w14:paraId="15615EF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326" w:type="pct"/>
                  <w:vMerge w:val="continue"/>
                  <w:tcBorders>
                    <w:tl2br w:val="nil"/>
                    <w:tr2bl w:val="nil"/>
                  </w:tcBorders>
                  <w:shd w:val="clear" w:color="auto" w:fill="auto"/>
                  <w:vAlign w:val="center"/>
                </w:tcPr>
                <w:p w14:paraId="74FBEC0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345" w:type="pct"/>
                  <w:vMerge w:val="continue"/>
                  <w:tcBorders>
                    <w:tl2br w:val="nil"/>
                    <w:tr2bl w:val="nil"/>
                  </w:tcBorders>
                  <w:shd w:val="clear" w:color="auto" w:fill="auto"/>
                  <w:vAlign w:val="center"/>
                </w:tcPr>
                <w:p w14:paraId="07C016D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594" w:type="pct"/>
                  <w:vMerge w:val="continue"/>
                  <w:tcBorders>
                    <w:tl2br w:val="nil"/>
                    <w:tr2bl w:val="nil"/>
                  </w:tcBorders>
                  <w:shd w:val="clear" w:color="auto" w:fill="auto"/>
                  <w:vAlign w:val="center"/>
                </w:tcPr>
                <w:p w14:paraId="46BB682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323" w:type="pct"/>
                  <w:tcBorders>
                    <w:tl2br w:val="nil"/>
                    <w:tr2bl w:val="nil"/>
                  </w:tcBorders>
                  <w:shd w:val="clear" w:color="auto" w:fill="auto"/>
                  <w:vAlign w:val="center"/>
                </w:tcPr>
                <w:p w14:paraId="7F4951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北</w:t>
                  </w:r>
                </w:p>
              </w:tc>
              <w:tc>
                <w:tcPr>
                  <w:tcW w:w="332" w:type="pct"/>
                  <w:tcBorders>
                    <w:tl2br w:val="nil"/>
                    <w:tr2bl w:val="nil"/>
                  </w:tcBorders>
                  <w:shd w:val="clear" w:color="auto" w:fill="auto"/>
                  <w:vAlign w:val="center"/>
                </w:tcPr>
                <w:p w14:paraId="35D589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35</w:t>
                  </w:r>
                </w:p>
              </w:tc>
              <w:tc>
                <w:tcPr>
                  <w:tcW w:w="483" w:type="pct"/>
                  <w:vMerge w:val="continue"/>
                  <w:tcBorders>
                    <w:tl2br w:val="nil"/>
                    <w:tr2bl w:val="nil"/>
                  </w:tcBorders>
                  <w:shd w:val="clear" w:color="auto" w:fill="auto"/>
                  <w:vAlign w:val="center"/>
                </w:tcPr>
                <w:p w14:paraId="742E769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386" w:type="pct"/>
                  <w:vMerge w:val="continue"/>
                  <w:tcBorders>
                    <w:tl2br w:val="nil"/>
                    <w:tr2bl w:val="nil"/>
                  </w:tcBorders>
                  <w:shd w:val="clear" w:color="auto" w:fill="auto"/>
                  <w:vAlign w:val="center"/>
                </w:tcPr>
                <w:p w14:paraId="3846E93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r>
          </w:tbl>
          <w:p w14:paraId="22931004">
            <w:pPr>
              <w:keepNext w:val="0"/>
              <w:keepLines w:val="0"/>
              <w:suppressLineNumbers w:val="0"/>
              <w:adjustRightInd w:val="0"/>
              <w:snapToGrid w:val="0"/>
              <w:spacing w:before="120" w:beforeLines="50" w:beforeAutospacing="0" w:after="0" w:afterAutospacing="0" w:line="360" w:lineRule="auto"/>
              <w:ind w:left="0" w:right="0" w:firstLine="420" w:firstLineChars="200"/>
              <w:rPr>
                <w:rFonts w:hint="default" w:ascii="Times New Roman" w:hAnsi="Times New Roman" w:eastAsia="宋体"/>
                <w:b/>
                <w:bCs/>
                <w:color w:val="auto"/>
                <w:kern w:val="0"/>
                <w:sz w:val="24"/>
                <w:szCs w:val="24"/>
                <w:highlight w:val="none"/>
              </w:rPr>
            </w:pPr>
            <w:r>
              <w:rPr>
                <w:rFonts w:hint="default" w:ascii="Times New Roman" w:hAnsi="Times New Roman" w:eastAsia="宋体" w:cs="Times New Roman"/>
                <w:color w:val="auto"/>
                <w:szCs w:val="21"/>
                <w:highlight w:val="none"/>
              </w:rPr>
              <w:t>注：选取</w:t>
            </w:r>
            <w:r>
              <w:rPr>
                <w:rFonts w:hint="eastAsia" w:ascii="Times New Roman" w:hAnsi="Times New Roman" w:eastAsia="宋体" w:cs="Times New Roman"/>
                <w:color w:val="auto"/>
                <w:szCs w:val="21"/>
                <w:highlight w:val="none"/>
                <w:lang w:eastAsia="zh-CN"/>
              </w:rPr>
              <w:t>一车间</w:t>
            </w:r>
            <w:r>
              <w:rPr>
                <w:rFonts w:hint="default" w:ascii="Times New Roman" w:hAnsi="Times New Roman" w:eastAsia="宋体" w:cs="Times New Roman"/>
                <w:color w:val="auto"/>
                <w:szCs w:val="21"/>
                <w:highlight w:val="none"/>
              </w:rPr>
              <w:t>西南角为0点，XYZ为设备相对0点位置。</w:t>
            </w:r>
          </w:p>
          <w:p w14:paraId="4EF8DA7E">
            <w:pPr>
              <w:keepNext w:val="0"/>
              <w:keepLines w:val="0"/>
              <w:suppressLineNumbers w:val="0"/>
              <w:adjustRightInd w:val="0"/>
              <w:snapToGrid w:val="0"/>
              <w:spacing w:before="120" w:beforeLines="50" w:beforeAutospacing="0" w:after="0" w:afterAutospacing="0" w:line="360" w:lineRule="auto"/>
              <w:ind w:left="0" w:right="0" w:firstLine="482" w:firstLineChars="200"/>
              <w:rPr>
                <w:rFonts w:hint="default" w:ascii="Times New Roman" w:hAnsi="Times New Roman" w:eastAsia="宋体"/>
                <w:color w:val="auto"/>
                <w:sz w:val="24"/>
                <w:szCs w:val="24"/>
                <w:highlight w:val="none"/>
              </w:rPr>
            </w:pPr>
            <w:r>
              <w:rPr>
                <w:rFonts w:hint="default" w:ascii="Times New Roman" w:hAnsi="Times New Roman" w:eastAsia="宋体"/>
                <w:b/>
                <w:bCs/>
                <w:color w:val="auto"/>
                <w:kern w:val="0"/>
                <w:sz w:val="24"/>
                <w:szCs w:val="24"/>
                <w:highlight w:val="none"/>
              </w:rPr>
              <w:t>（2）厂界达标情况分析</w:t>
            </w:r>
          </w:p>
          <w:p w14:paraId="3B3DCF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宋体"/>
                <w:color w:val="auto"/>
                <w:sz w:val="24"/>
                <w:szCs w:val="24"/>
                <w:highlight w:val="none"/>
                <w:lang w:val="en-US"/>
              </w:rPr>
            </w:pPr>
            <w:r>
              <w:rPr>
                <w:rFonts w:hint="default" w:ascii="Times New Roman" w:hAnsi="Times New Roman" w:eastAsia="宋体"/>
                <w:color w:val="auto"/>
                <w:sz w:val="24"/>
                <w:szCs w:val="24"/>
                <w:highlight w:val="none"/>
              </w:rPr>
              <w:t>根据HJ2.4-20</w:t>
            </w:r>
            <w:r>
              <w:rPr>
                <w:rFonts w:hint="eastAsia" w:ascii="Times New Roman" w:hAnsi="Times New Roman" w:eastAsia="宋体"/>
                <w:color w:val="auto"/>
                <w:sz w:val="24"/>
                <w:szCs w:val="24"/>
                <w:highlight w:val="none"/>
                <w:lang w:val="en-US" w:eastAsia="zh-CN"/>
              </w:rPr>
              <w:t>21要求，室内声源和室外声源分别按照导则附录B和附录A分别计算：</w:t>
            </w:r>
          </w:p>
          <w:p w14:paraId="590CEC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rPr>
              <w:t>①</w:t>
            </w:r>
            <w:r>
              <w:rPr>
                <w:rFonts w:hint="eastAsia" w:ascii="Times New Roman" w:hAnsi="Times New Roman" w:eastAsia="宋体" w:cs="宋体"/>
                <w:color w:val="auto"/>
                <w:sz w:val="24"/>
                <w:szCs w:val="24"/>
                <w:highlight w:val="none"/>
                <w:lang w:val="en-US" w:eastAsia="zh-CN"/>
              </w:rPr>
              <w:t>室内声源</w:t>
            </w:r>
          </w:p>
          <w:p w14:paraId="0D974B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宋体"/>
                <w:color w:val="auto"/>
                <w:sz w:val="24"/>
                <w:szCs w:val="24"/>
                <w:highlight w:val="none"/>
                <w:lang w:val="en-US" w:eastAsia="zh-CN"/>
              </w:rPr>
            </w:pPr>
            <w:r>
              <w:rPr>
                <w:rFonts w:hint="eastAsia" w:ascii="Times New Roman" w:hAnsi="Times New Roman" w:eastAsia="宋体"/>
                <w:color w:val="auto"/>
                <w:highlight w:val="none"/>
                <w:lang w:val="en-US" w:eastAsia="zh-CN"/>
              </w:rPr>
              <w:t>A.</w:t>
            </w:r>
            <w:r>
              <w:rPr>
                <w:rFonts w:hint="eastAsia" w:ascii="Times New Roman" w:hAnsi="Times New Roman" w:eastAsia="宋体" w:cs="宋体"/>
                <w:color w:val="auto"/>
                <w:sz w:val="24"/>
                <w:szCs w:val="24"/>
                <w:highlight w:val="none"/>
                <w:lang w:val="en-US" w:eastAsia="zh-CN"/>
              </w:rPr>
              <w:t>计算某一室内声源靠近围护结构处产生的倍频带声压级</w:t>
            </w:r>
            <w:r>
              <w:rPr>
                <w:rFonts w:hint="eastAsia" w:ascii="Times New Roman" w:hAnsi="Times New Roman" w:eastAsia="宋体" w:cs="Times New Roman"/>
                <w:color w:val="auto"/>
                <w:kern w:val="0"/>
                <w:sz w:val="24"/>
                <w:szCs w:val="24"/>
                <w:highlight w:val="none"/>
                <w:lang w:val="en-US" w:eastAsia="zh-CN" w:bidi="ar"/>
              </w:rPr>
              <w:t>。计算公式如下</w:t>
            </w:r>
            <w:r>
              <w:rPr>
                <w:rFonts w:hint="default" w:ascii="Times New Roman" w:hAnsi="Times New Roman" w:eastAsia="宋体" w:cs="Times New Roman"/>
                <w:color w:val="auto"/>
                <w:kern w:val="0"/>
                <w:sz w:val="24"/>
                <w:szCs w:val="24"/>
                <w:highlight w:val="none"/>
                <w:lang w:val="en-US" w:eastAsia="zh-CN" w:bidi="ar"/>
              </w:rPr>
              <w:t>：</w:t>
            </w:r>
          </w:p>
          <w:p w14:paraId="06CFB7AE">
            <w:pPr>
              <w:pStyle w:val="18"/>
              <w:keepNext w:val="0"/>
              <w:keepLines w:val="0"/>
              <w:suppressLineNumbers w:val="0"/>
              <w:spacing w:before="0" w:beforeAutospacing="0" w:afterAutospacing="0"/>
              <w:ind w:right="0"/>
              <w:jc w:val="center"/>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drawing>
                <wp:inline distT="0" distB="0" distL="114300" distR="114300">
                  <wp:extent cx="1957070" cy="544830"/>
                  <wp:effectExtent l="0" t="0" r="5080" b="7620"/>
                  <wp:docPr id="44" name="图片 17" descr="1655445419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descr="1655445419517"/>
                          <pic:cNvPicPr>
                            <a:picLocks noChangeAspect="1"/>
                          </pic:cNvPicPr>
                        </pic:nvPicPr>
                        <pic:blipFill>
                          <a:blip r:embed="rId22"/>
                          <a:stretch>
                            <a:fillRect/>
                          </a:stretch>
                        </pic:blipFill>
                        <pic:spPr>
                          <a:xfrm>
                            <a:off x="0" y="0"/>
                            <a:ext cx="1957070" cy="544830"/>
                          </a:xfrm>
                          <a:prstGeom prst="rect">
                            <a:avLst/>
                          </a:prstGeom>
                          <a:noFill/>
                          <a:ln>
                            <a:noFill/>
                          </a:ln>
                        </pic:spPr>
                      </pic:pic>
                    </a:graphicData>
                  </a:graphic>
                </wp:inline>
              </w:drawing>
            </w:r>
          </w:p>
          <w:p w14:paraId="29BB82F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left"/>
              <w:textAlignment w:val="auto"/>
              <w:rPr>
                <w:rFonts w:hint="eastAsia" w:ascii="Times New Roman" w:hAnsi="Times New Roman" w:eastAsia="宋体" w:cs="Times New Roman"/>
                <w:color w:val="auto"/>
                <w:sz w:val="24"/>
                <w:szCs w:val="24"/>
                <w:highlight w:val="none"/>
                <w:vertAlign w:val="baseline"/>
                <w:lang w:val="en-US" w:eastAsia="zh-CN"/>
              </w:rPr>
            </w:pPr>
            <w:r>
              <w:rPr>
                <w:rFonts w:hint="eastAsia" w:ascii="Times New Roman" w:hAnsi="Times New Roman" w:eastAsia="宋体" w:cs="Times New Roman"/>
                <w:color w:val="auto"/>
                <w:kern w:val="2"/>
                <w:sz w:val="24"/>
                <w:szCs w:val="24"/>
                <w:highlight w:val="none"/>
                <w:vertAlign w:val="baseline"/>
                <w:lang w:val="en-US" w:eastAsia="zh-CN" w:bidi="ar-SA"/>
              </w:rPr>
              <w:t>式中：</w:t>
            </w:r>
            <w:r>
              <w:rPr>
                <w:rFonts w:hint="eastAsia" w:ascii="Times New Roman" w:hAnsi="Times New Roman" w:eastAsia="宋体" w:cs="Times New Roman"/>
                <w:i/>
                <w:iCs/>
                <w:color w:val="auto"/>
                <w:sz w:val="24"/>
                <w:szCs w:val="24"/>
                <w:highlight w:val="none"/>
                <w:lang w:val="en-US" w:eastAsia="zh-CN"/>
              </w:rPr>
              <w:t>L</w:t>
            </w:r>
            <w:r>
              <w:rPr>
                <w:rFonts w:hint="eastAsia" w:ascii="Times New Roman" w:hAnsi="Times New Roman" w:eastAsia="宋体" w:cs="Times New Roman"/>
                <w:i/>
                <w:iCs/>
                <w:color w:val="auto"/>
                <w:sz w:val="24"/>
                <w:szCs w:val="24"/>
                <w:highlight w:val="none"/>
                <w:vertAlign w:val="subscript"/>
                <w:lang w:val="en-US" w:eastAsia="zh-CN"/>
              </w:rPr>
              <w:t>p1</w:t>
            </w:r>
            <w:r>
              <w:rPr>
                <w:rFonts w:hint="eastAsia" w:ascii="Times New Roman" w:hAnsi="Times New Roman" w:eastAsia="宋体" w:cs="Times New Roman"/>
                <w:color w:val="auto"/>
                <w:sz w:val="24"/>
                <w:szCs w:val="24"/>
                <w:highlight w:val="none"/>
                <w:vertAlign w:val="baseline"/>
                <w:lang w:val="en-US" w:eastAsia="zh-CN"/>
              </w:rPr>
              <w:t>—靠近开口处（或窗户）室内某倍频带的声压级或 A 声级，dB；</w:t>
            </w:r>
          </w:p>
          <w:p w14:paraId="3D46D0F3">
            <w:pPr>
              <w:pStyle w:val="18"/>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720" w:firstLineChars="300"/>
              <w:textAlignment w:val="auto"/>
              <w:rPr>
                <w:rFonts w:hint="eastAsia" w:ascii="Times New Roman" w:hAnsi="Times New Roman" w:eastAsia="宋体" w:cs="Times New Roman"/>
                <w:color w:val="auto"/>
                <w:sz w:val="24"/>
                <w:szCs w:val="24"/>
                <w:highlight w:val="none"/>
                <w:vertAlign w:val="baseline"/>
                <w:lang w:val="en-US" w:eastAsia="zh-CN"/>
              </w:rPr>
            </w:pPr>
            <w:r>
              <w:rPr>
                <w:rFonts w:hint="eastAsia" w:ascii="Times New Roman" w:hAnsi="Times New Roman" w:eastAsia="宋体" w:cs="Times New Roman"/>
                <w:color w:val="auto"/>
                <w:sz w:val="24"/>
                <w:szCs w:val="24"/>
                <w:highlight w:val="none"/>
                <w:vertAlign w:val="baseline"/>
                <w:lang w:val="en-US" w:eastAsia="zh-CN"/>
              </w:rPr>
              <w:t>L</w:t>
            </w:r>
            <w:r>
              <w:rPr>
                <w:rFonts w:hint="eastAsia" w:ascii="Times New Roman" w:hAnsi="Times New Roman" w:eastAsia="宋体" w:cs="Times New Roman"/>
                <w:color w:val="auto"/>
                <w:sz w:val="24"/>
                <w:szCs w:val="24"/>
                <w:highlight w:val="none"/>
                <w:vertAlign w:val="subscript"/>
                <w:lang w:val="en-US" w:eastAsia="zh-CN"/>
              </w:rPr>
              <w:t>w</w:t>
            </w:r>
            <w:r>
              <w:rPr>
                <w:rFonts w:hint="eastAsia" w:ascii="Times New Roman" w:hAnsi="Times New Roman" w:eastAsia="宋体" w:cs="Times New Roman"/>
                <w:color w:val="auto"/>
                <w:sz w:val="24"/>
                <w:szCs w:val="24"/>
                <w:highlight w:val="none"/>
                <w:vertAlign w:val="baseline"/>
                <w:lang w:val="en-US" w:eastAsia="zh-CN"/>
              </w:rPr>
              <w:t>—点声源声功率级（A计权或倍频带）；</w:t>
            </w:r>
          </w:p>
          <w:p w14:paraId="33DF487A">
            <w:pPr>
              <w:pStyle w:val="18"/>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720" w:firstLineChars="300"/>
              <w:textAlignment w:val="auto"/>
              <w:rPr>
                <w:rFonts w:hint="eastAsia" w:ascii="Times New Roman" w:hAnsi="Times New Roman" w:eastAsia="宋体" w:cs="Times New Roman"/>
                <w:color w:val="auto"/>
                <w:kern w:val="2"/>
                <w:sz w:val="24"/>
                <w:szCs w:val="24"/>
                <w:highlight w:val="none"/>
                <w:vertAlign w:val="baseline"/>
                <w:lang w:val="en-US" w:eastAsia="zh-CN" w:bidi="ar-SA"/>
              </w:rPr>
            </w:pPr>
            <w:r>
              <w:rPr>
                <w:rFonts w:hint="eastAsia" w:ascii="Times New Roman" w:hAnsi="Times New Roman" w:eastAsia="宋体" w:cs="Times New Roman"/>
                <w:color w:val="auto"/>
                <w:kern w:val="2"/>
                <w:sz w:val="24"/>
                <w:szCs w:val="24"/>
                <w:highlight w:val="none"/>
                <w:vertAlign w:val="baseline"/>
                <w:lang w:val="en-US" w:eastAsia="zh-CN" w:bidi="ar-SA"/>
              </w:rPr>
              <w:t>Q—指向性因数，通常对无指向性声源，当声源放在房间中心时，</w:t>
            </w:r>
            <w:r>
              <w:rPr>
                <w:rFonts w:hint="default" w:ascii="Times New Roman" w:hAnsi="Times New Roman" w:eastAsia="宋体" w:cs="Times New Roman"/>
                <w:color w:val="auto"/>
                <w:kern w:val="2"/>
                <w:sz w:val="24"/>
                <w:szCs w:val="24"/>
                <w:highlight w:val="none"/>
                <w:vertAlign w:val="baseline"/>
                <w:lang w:val="en-US" w:eastAsia="zh-CN" w:bidi="ar-SA"/>
              </w:rPr>
              <w:t>Q=1</w:t>
            </w:r>
            <w:r>
              <w:rPr>
                <w:rFonts w:hint="eastAsia" w:ascii="Times New Roman" w:hAnsi="Times New Roman" w:eastAsia="宋体" w:cs="Times New Roman"/>
                <w:color w:val="auto"/>
                <w:kern w:val="2"/>
                <w:sz w:val="24"/>
                <w:szCs w:val="24"/>
                <w:highlight w:val="none"/>
                <w:vertAlign w:val="baseline"/>
                <w:lang w:val="en-US" w:eastAsia="zh-CN" w:bidi="ar-SA"/>
              </w:rPr>
              <w:t>，当放在一面墙的中心时，</w:t>
            </w:r>
            <w:r>
              <w:rPr>
                <w:rFonts w:hint="default" w:ascii="Times New Roman" w:hAnsi="Times New Roman" w:eastAsia="宋体" w:cs="Times New Roman"/>
                <w:color w:val="auto"/>
                <w:kern w:val="2"/>
                <w:sz w:val="24"/>
                <w:szCs w:val="24"/>
                <w:highlight w:val="none"/>
                <w:vertAlign w:val="baseline"/>
                <w:lang w:val="en-US" w:eastAsia="zh-CN" w:bidi="ar-SA"/>
              </w:rPr>
              <w:t>Q=2</w:t>
            </w:r>
            <w:r>
              <w:rPr>
                <w:rFonts w:hint="eastAsia" w:ascii="Times New Roman" w:hAnsi="Times New Roman" w:eastAsia="宋体" w:cs="Times New Roman"/>
                <w:color w:val="auto"/>
                <w:kern w:val="2"/>
                <w:sz w:val="24"/>
                <w:szCs w:val="24"/>
                <w:highlight w:val="none"/>
                <w:vertAlign w:val="baseline"/>
                <w:lang w:val="en-US" w:eastAsia="zh-CN" w:bidi="ar-SA"/>
              </w:rPr>
              <w:t>；当放在两面墙夹角处时，</w:t>
            </w:r>
            <w:r>
              <w:rPr>
                <w:rFonts w:hint="default" w:ascii="Times New Roman" w:hAnsi="Times New Roman" w:eastAsia="宋体" w:cs="Times New Roman"/>
                <w:color w:val="auto"/>
                <w:kern w:val="2"/>
                <w:sz w:val="24"/>
                <w:szCs w:val="24"/>
                <w:highlight w:val="none"/>
                <w:vertAlign w:val="baseline"/>
                <w:lang w:val="en-US" w:eastAsia="zh-CN" w:bidi="ar-SA"/>
              </w:rPr>
              <w:t>Q=4</w:t>
            </w:r>
            <w:r>
              <w:rPr>
                <w:rFonts w:hint="eastAsia" w:ascii="Times New Roman" w:hAnsi="Times New Roman" w:eastAsia="宋体" w:cs="Times New Roman"/>
                <w:color w:val="auto"/>
                <w:kern w:val="2"/>
                <w:sz w:val="24"/>
                <w:szCs w:val="24"/>
                <w:highlight w:val="none"/>
                <w:vertAlign w:val="baseline"/>
                <w:lang w:val="en-US" w:eastAsia="zh-CN" w:bidi="ar-SA"/>
              </w:rPr>
              <w:t>， 当放在三面墙夹角处时，</w:t>
            </w:r>
            <w:r>
              <w:rPr>
                <w:rFonts w:hint="default" w:ascii="Times New Roman" w:hAnsi="Times New Roman" w:eastAsia="宋体" w:cs="Times New Roman"/>
                <w:color w:val="auto"/>
                <w:kern w:val="2"/>
                <w:sz w:val="24"/>
                <w:szCs w:val="24"/>
                <w:highlight w:val="none"/>
                <w:vertAlign w:val="baseline"/>
                <w:lang w:val="en-US" w:eastAsia="zh-CN" w:bidi="ar-SA"/>
              </w:rPr>
              <w:t>Q=8</w:t>
            </w:r>
            <w:r>
              <w:rPr>
                <w:rFonts w:hint="eastAsia" w:ascii="Times New Roman" w:hAnsi="Times New Roman" w:eastAsia="宋体" w:cs="Times New Roman"/>
                <w:color w:val="auto"/>
                <w:kern w:val="2"/>
                <w:sz w:val="24"/>
                <w:szCs w:val="24"/>
                <w:highlight w:val="none"/>
                <w:vertAlign w:val="baseline"/>
                <w:lang w:val="en-US" w:eastAsia="zh-CN" w:bidi="ar-SA"/>
              </w:rPr>
              <w:t xml:space="preserve">； </w:t>
            </w:r>
          </w:p>
          <w:p w14:paraId="75009C6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720" w:firstLineChars="300"/>
              <w:jc w:val="left"/>
              <w:textAlignment w:val="auto"/>
              <w:rPr>
                <w:rFonts w:hint="eastAsia" w:ascii="Times New Roman" w:hAnsi="Times New Roman" w:eastAsia="宋体" w:cs="Times New Roman"/>
                <w:color w:val="auto"/>
                <w:kern w:val="2"/>
                <w:sz w:val="24"/>
                <w:szCs w:val="24"/>
                <w:highlight w:val="none"/>
                <w:vertAlign w:val="baseline"/>
                <w:lang w:val="en-US" w:eastAsia="zh-CN" w:bidi="ar-SA"/>
              </w:rPr>
            </w:pPr>
            <w:r>
              <w:rPr>
                <w:rFonts w:hint="default" w:ascii="Times New Roman" w:hAnsi="Times New Roman" w:eastAsia="宋体" w:cs="Times New Roman"/>
                <w:color w:val="auto"/>
                <w:kern w:val="2"/>
                <w:sz w:val="24"/>
                <w:szCs w:val="24"/>
                <w:highlight w:val="none"/>
                <w:vertAlign w:val="baseline"/>
                <w:lang w:val="en-US" w:eastAsia="zh-CN" w:bidi="ar-SA"/>
              </w:rPr>
              <w:t>R</w:t>
            </w:r>
            <w:r>
              <w:rPr>
                <w:rFonts w:hint="eastAsia" w:ascii="Times New Roman" w:hAnsi="Times New Roman" w:eastAsia="宋体" w:cs="Times New Roman"/>
                <w:color w:val="auto"/>
                <w:kern w:val="2"/>
                <w:sz w:val="24"/>
                <w:szCs w:val="24"/>
                <w:highlight w:val="none"/>
                <w:vertAlign w:val="baseline"/>
                <w:lang w:val="en-US" w:eastAsia="zh-CN" w:bidi="ar-SA"/>
              </w:rPr>
              <w:t>—房间常数，</w:t>
            </w:r>
            <w:r>
              <w:rPr>
                <w:rFonts w:hint="default" w:ascii="Times New Roman" w:hAnsi="Times New Roman" w:eastAsia="宋体" w:cs="Times New Roman"/>
                <w:color w:val="auto"/>
                <w:kern w:val="2"/>
                <w:sz w:val="24"/>
                <w:szCs w:val="24"/>
                <w:highlight w:val="none"/>
                <w:vertAlign w:val="baseline"/>
                <w:lang w:val="en-US" w:eastAsia="zh-CN" w:bidi="ar-SA"/>
              </w:rPr>
              <w:t xml:space="preserve">R=Sα/(1 −α) </w:t>
            </w:r>
            <w:r>
              <w:rPr>
                <w:rFonts w:hint="eastAsia" w:ascii="Times New Roman" w:hAnsi="Times New Roman" w:eastAsia="宋体" w:cs="Times New Roman"/>
                <w:color w:val="auto"/>
                <w:kern w:val="2"/>
                <w:sz w:val="24"/>
                <w:szCs w:val="24"/>
                <w:highlight w:val="none"/>
                <w:vertAlign w:val="baseline"/>
                <w:lang w:val="en-US" w:eastAsia="zh-CN" w:bidi="ar-SA"/>
              </w:rPr>
              <w:t>，</w:t>
            </w:r>
            <w:r>
              <w:rPr>
                <w:rFonts w:hint="default" w:ascii="Times New Roman" w:hAnsi="Times New Roman" w:eastAsia="宋体" w:cs="Times New Roman"/>
                <w:color w:val="auto"/>
                <w:kern w:val="2"/>
                <w:sz w:val="24"/>
                <w:szCs w:val="24"/>
                <w:highlight w:val="none"/>
                <w:vertAlign w:val="baseline"/>
                <w:lang w:val="en-US" w:eastAsia="zh-CN" w:bidi="ar-SA"/>
              </w:rPr>
              <w:t>S</w:t>
            </w:r>
            <w:r>
              <w:rPr>
                <w:rFonts w:hint="eastAsia" w:ascii="Times New Roman" w:hAnsi="Times New Roman" w:eastAsia="宋体" w:cs="Times New Roman"/>
                <w:color w:val="auto"/>
                <w:kern w:val="2"/>
                <w:sz w:val="24"/>
                <w:szCs w:val="24"/>
                <w:highlight w:val="none"/>
                <w:vertAlign w:val="baseline"/>
                <w:lang w:val="en-US" w:eastAsia="zh-CN" w:bidi="ar-SA"/>
              </w:rPr>
              <w:t>为房间内表面面积，</w:t>
            </w:r>
            <w:r>
              <w:rPr>
                <w:rFonts w:hint="default" w:ascii="Times New Roman" w:hAnsi="Times New Roman" w:eastAsia="宋体" w:cs="Times New Roman"/>
                <w:color w:val="auto"/>
                <w:kern w:val="2"/>
                <w:sz w:val="24"/>
                <w:szCs w:val="24"/>
                <w:highlight w:val="none"/>
                <w:vertAlign w:val="baseli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vertAlign w:val="baseline"/>
                <w:lang w:val="en-US" w:eastAsia="zh-CN" w:bidi="ar-SA"/>
              </w:rPr>
              <w:t>，</w:t>
            </w:r>
            <w:r>
              <w:rPr>
                <w:rFonts w:hint="default" w:ascii="Times New Roman" w:hAnsi="Times New Roman" w:eastAsia="宋体" w:cs="Times New Roman"/>
                <w:color w:val="auto"/>
                <w:kern w:val="2"/>
                <w:sz w:val="24"/>
                <w:szCs w:val="24"/>
                <w:highlight w:val="none"/>
                <w:vertAlign w:val="baseline"/>
                <w:lang w:val="en-US" w:eastAsia="zh-CN" w:bidi="ar-SA"/>
              </w:rPr>
              <w:t>α</w:t>
            </w:r>
            <w:r>
              <w:rPr>
                <w:rFonts w:hint="eastAsia" w:ascii="Times New Roman" w:hAnsi="Times New Roman" w:eastAsia="宋体" w:cs="Times New Roman"/>
                <w:color w:val="auto"/>
                <w:kern w:val="2"/>
                <w:sz w:val="24"/>
                <w:szCs w:val="24"/>
                <w:highlight w:val="none"/>
                <w:vertAlign w:val="baseline"/>
                <w:lang w:val="en-US" w:eastAsia="zh-CN" w:bidi="ar-SA"/>
              </w:rPr>
              <w:t xml:space="preserve">为平均吸声系数； </w:t>
            </w:r>
          </w:p>
          <w:p w14:paraId="1DA794C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720" w:firstLineChars="300"/>
              <w:jc w:val="left"/>
              <w:textAlignment w:val="auto"/>
              <w:rPr>
                <w:rFonts w:hint="eastAsia" w:ascii="Times New Roman" w:hAnsi="Times New Roman" w:eastAsia="宋体" w:cs="Times New Roman"/>
                <w:color w:val="auto"/>
                <w:kern w:val="2"/>
                <w:sz w:val="24"/>
                <w:szCs w:val="24"/>
                <w:highlight w:val="none"/>
                <w:vertAlign w:val="baseline"/>
                <w:lang w:val="en-US" w:eastAsia="zh-CN" w:bidi="ar-SA"/>
              </w:rPr>
            </w:pPr>
            <w:r>
              <w:rPr>
                <w:rFonts w:hint="default" w:ascii="Times New Roman" w:hAnsi="Times New Roman" w:eastAsia="宋体" w:cs="Times New Roman"/>
                <w:color w:val="auto"/>
                <w:kern w:val="2"/>
                <w:sz w:val="24"/>
                <w:szCs w:val="24"/>
                <w:highlight w:val="none"/>
                <w:vertAlign w:val="baseline"/>
                <w:lang w:val="en-US" w:eastAsia="zh-CN" w:bidi="ar-SA"/>
              </w:rPr>
              <w:t>r</w:t>
            </w:r>
            <w:r>
              <w:rPr>
                <w:rFonts w:hint="eastAsia" w:ascii="Times New Roman" w:hAnsi="Times New Roman" w:eastAsia="宋体" w:cs="Times New Roman"/>
                <w:color w:val="auto"/>
                <w:kern w:val="2"/>
                <w:sz w:val="24"/>
                <w:szCs w:val="24"/>
                <w:highlight w:val="none"/>
                <w:vertAlign w:val="baseline"/>
                <w:lang w:val="en-US" w:eastAsia="zh-CN" w:bidi="ar-SA"/>
              </w:rPr>
              <w:t>—声源到靠近围护结构某点处的距离，</w:t>
            </w:r>
            <w:r>
              <w:rPr>
                <w:rFonts w:hint="default" w:ascii="Times New Roman" w:hAnsi="Times New Roman" w:eastAsia="宋体" w:cs="Times New Roman"/>
                <w:color w:val="auto"/>
                <w:kern w:val="2"/>
                <w:sz w:val="24"/>
                <w:szCs w:val="24"/>
                <w:highlight w:val="none"/>
                <w:vertAlign w:val="baseline"/>
                <w:lang w:val="en-US" w:eastAsia="zh-CN" w:bidi="ar-SA"/>
              </w:rPr>
              <w:t>m</w:t>
            </w:r>
            <w:r>
              <w:rPr>
                <w:rFonts w:hint="eastAsia" w:ascii="Times New Roman" w:hAnsi="Times New Roman" w:eastAsia="宋体" w:cs="Times New Roman"/>
                <w:color w:val="auto"/>
                <w:kern w:val="2"/>
                <w:sz w:val="24"/>
                <w:szCs w:val="24"/>
                <w:highlight w:val="none"/>
                <w:vertAlign w:val="baseline"/>
                <w:lang w:val="en-US" w:eastAsia="zh-CN" w:bidi="ar-SA"/>
              </w:rPr>
              <w:t>。</w:t>
            </w:r>
          </w:p>
          <w:p w14:paraId="271D4B11">
            <w:pPr>
              <w:keepNext w:val="0"/>
              <w:keepLines w:val="0"/>
              <w:widowControl/>
              <w:suppressLineNumbers w:val="0"/>
              <w:spacing w:before="0" w:beforeAutospacing="0" w:after="0" w:afterAutospacing="0"/>
              <w:ind w:left="0" w:right="0"/>
              <w:jc w:val="left"/>
              <w:rPr>
                <w:rFonts w:hint="default" w:ascii="Times New Roman" w:hAnsi="Times New Roman" w:eastAsia="宋体"/>
                <w:color w:val="auto"/>
                <w:highlight w:val="none"/>
              </w:rPr>
            </w:pPr>
            <w:r>
              <w:rPr>
                <w:rFonts w:hint="eastAsia" w:ascii="Times New Roman" w:hAnsi="Times New Roman" w:eastAsia="宋体" w:cs="Times New Roman"/>
                <w:color w:val="auto"/>
                <w:kern w:val="2"/>
                <w:sz w:val="24"/>
                <w:szCs w:val="24"/>
                <w:highlight w:val="none"/>
                <w:vertAlign w:val="baseline"/>
                <w:lang w:val="en-US" w:eastAsia="zh-CN" w:bidi="ar-SA"/>
              </w:rPr>
              <w:t xml:space="preserve">  B.计算出所有室内声源在围护结构处产生的</w:t>
            </w:r>
            <w:r>
              <w:rPr>
                <w:rFonts w:hint="eastAsia" w:ascii="Times New Roman" w:hAnsi="Times New Roman" w:eastAsia="宋体" w:cs="Times New Roman"/>
                <w:i/>
                <w:iCs/>
                <w:color w:val="auto"/>
                <w:kern w:val="0"/>
                <w:sz w:val="24"/>
                <w:szCs w:val="24"/>
                <w:highlight w:val="none"/>
                <w:lang w:val="en-US" w:eastAsia="zh-CN" w:bidi="ar"/>
              </w:rPr>
              <w:t>i</w:t>
            </w:r>
            <w:r>
              <w:rPr>
                <w:rFonts w:hint="eastAsia" w:ascii="Times New Roman" w:hAnsi="Times New Roman" w:eastAsia="宋体" w:cs="Times New Roman"/>
                <w:color w:val="auto"/>
                <w:kern w:val="2"/>
                <w:sz w:val="24"/>
                <w:szCs w:val="24"/>
                <w:highlight w:val="none"/>
                <w:vertAlign w:val="baseline"/>
                <w:lang w:val="en-US" w:eastAsia="zh-CN" w:bidi="ar-SA"/>
              </w:rPr>
              <w:t>倍频带叠加声压级</w:t>
            </w:r>
            <w:r>
              <w:rPr>
                <w:rFonts w:hint="eastAsia" w:ascii="Times New Roman" w:hAnsi="Times New Roman" w:eastAsia="宋体" w:cs="Times New Roman"/>
                <w:color w:val="auto"/>
                <w:kern w:val="0"/>
                <w:sz w:val="24"/>
                <w:szCs w:val="24"/>
                <w:highlight w:val="none"/>
                <w:lang w:val="en-US" w:eastAsia="zh-CN" w:bidi="ar"/>
              </w:rPr>
              <w:t>。计算公式如下</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NewRomanPS-ItalicMT"/>
                <w:i/>
                <w:iCs/>
                <w:color w:val="auto"/>
                <w:kern w:val="0"/>
                <w:sz w:val="190"/>
                <w:szCs w:val="190"/>
                <w:highlight w:val="none"/>
                <w:lang w:val="en-US" w:eastAsia="zh-CN" w:bidi="ar"/>
              </w:rPr>
              <w:t xml:space="preserve"> </w:t>
            </w:r>
          </w:p>
          <w:p w14:paraId="3FA6246B">
            <w:pPr>
              <w:keepNext w:val="0"/>
              <w:keepLines w:val="0"/>
              <w:suppressLineNumbers w:val="0"/>
              <w:spacing w:before="0" w:beforeAutospacing="0" w:after="0" w:afterAutospacing="0"/>
              <w:ind w:left="0" w:right="0"/>
              <w:jc w:val="center"/>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drawing>
                <wp:inline distT="0" distB="0" distL="114300" distR="114300">
                  <wp:extent cx="1771650" cy="523875"/>
                  <wp:effectExtent l="0" t="0" r="0" b="9525"/>
                  <wp:docPr id="42" name="图片 18" descr="1655690198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descr="1655690198440"/>
                          <pic:cNvPicPr>
                            <a:picLocks noChangeAspect="1"/>
                          </pic:cNvPicPr>
                        </pic:nvPicPr>
                        <pic:blipFill>
                          <a:blip r:embed="rId23"/>
                          <a:stretch>
                            <a:fillRect/>
                          </a:stretch>
                        </pic:blipFill>
                        <pic:spPr>
                          <a:xfrm>
                            <a:off x="0" y="0"/>
                            <a:ext cx="1771650" cy="523875"/>
                          </a:xfrm>
                          <a:prstGeom prst="rect">
                            <a:avLst/>
                          </a:prstGeom>
                          <a:noFill/>
                          <a:ln>
                            <a:noFill/>
                          </a:ln>
                        </pic:spPr>
                      </pic:pic>
                    </a:graphicData>
                  </a:graphic>
                </wp:inline>
              </w:drawing>
            </w:r>
          </w:p>
          <w:p w14:paraId="1902F2C1">
            <w:pPr>
              <w:keepNext w:val="0"/>
              <w:keepLines w:val="0"/>
              <w:widowControl/>
              <w:suppressLineNumbers w:val="0"/>
              <w:spacing w:before="0" w:beforeAutospacing="0" w:after="0" w:afterAutospacing="0" w:line="360" w:lineRule="auto"/>
              <w:ind w:left="0" w:right="0"/>
              <w:jc w:val="left"/>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 xml:space="preserve">式中：  </w:t>
            </w:r>
            <w:r>
              <w:rPr>
                <w:rFonts w:hint="eastAsia" w:ascii="Times New Roman" w:hAnsi="Times New Roman" w:eastAsia="宋体" w:cs="Times New Roman"/>
                <w:i/>
                <w:iCs/>
                <w:color w:val="auto"/>
                <w:kern w:val="0"/>
                <w:sz w:val="24"/>
                <w:szCs w:val="24"/>
                <w:highlight w:val="none"/>
                <w:lang w:val="en-US" w:eastAsia="zh-CN" w:bidi="ar"/>
              </w:rPr>
              <w:t>L</w:t>
            </w:r>
            <w:r>
              <w:rPr>
                <w:rFonts w:hint="eastAsia" w:ascii="Times New Roman" w:hAnsi="Times New Roman" w:eastAsia="宋体" w:cs="Times New Roman"/>
                <w:i/>
                <w:iCs/>
                <w:color w:val="auto"/>
                <w:kern w:val="0"/>
                <w:sz w:val="24"/>
                <w:szCs w:val="24"/>
                <w:highlight w:val="none"/>
                <w:vertAlign w:val="subscript"/>
                <w:lang w:val="en-US" w:eastAsia="zh-CN" w:bidi="ar"/>
              </w:rPr>
              <w:t>pli</w:t>
            </w:r>
            <w:r>
              <w:rPr>
                <w:rFonts w:hint="eastAsia" w:ascii="Times New Roman" w:hAnsi="Times New Roman" w:eastAsia="宋体" w:cs="Times New Roman"/>
                <w:i/>
                <w:iCs/>
                <w:color w:val="auto"/>
                <w:kern w:val="0"/>
                <w:sz w:val="24"/>
                <w:szCs w:val="24"/>
                <w:highlight w:val="none"/>
                <w:lang w:val="en-US" w:eastAsia="zh-CN" w:bidi="ar"/>
              </w:rPr>
              <w:t>(T)</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宋体"/>
                <w:color w:val="auto"/>
                <w:kern w:val="0"/>
                <w:sz w:val="24"/>
                <w:szCs w:val="24"/>
                <w:highlight w:val="none"/>
                <w:lang w:val="en-US" w:eastAsia="zh-CN" w:bidi="ar"/>
              </w:rPr>
              <w:t xml:space="preserve">靠近围护结构处室内 </w:t>
            </w:r>
            <w:r>
              <w:rPr>
                <w:rFonts w:hint="default" w:ascii="Times New Roman" w:hAnsi="Times New Roman" w:eastAsia="宋体" w:cs="Times New Roman"/>
                <w:color w:val="auto"/>
                <w:kern w:val="0"/>
                <w:sz w:val="24"/>
                <w:szCs w:val="24"/>
                <w:highlight w:val="none"/>
                <w:lang w:val="en-US" w:eastAsia="zh-CN" w:bidi="ar"/>
              </w:rPr>
              <w:t>N</w:t>
            </w:r>
            <w:r>
              <w:rPr>
                <w:rFonts w:hint="eastAsia" w:ascii="Times New Roman" w:hAnsi="Times New Roman" w:eastAsia="宋体" w:cs="宋体"/>
                <w:color w:val="auto"/>
                <w:kern w:val="0"/>
                <w:sz w:val="24"/>
                <w:szCs w:val="24"/>
                <w:highlight w:val="none"/>
                <w:lang w:val="en-US" w:eastAsia="zh-CN" w:bidi="ar"/>
              </w:rPr>
              <w:t>个声源</w:t>
            </w:r>
            <w:r>
              <w:rPr>
                <w:rFonts w:hint="eastAsia" w:ascii="Times New Roman" w:hAnsi="Times New Roman" w:eastAsia="宋体" w:cs="Times New Roman"/>
                <w:i/>
                <w:iCs/>
                <w:color w:val="auto"/>
                <w:kern w:val="0"/>
                <w:sz w:val="24"/>
                <w:szCs w:val="24"/>
                <w:highlight w:val="none"/>
                <w:lang w:val="en-US" w:eastAsia="zh-CN" w:bidi="ar"/>
              </w:rPr>
              <w:t>i</w:t>
            </w:r>
            <w:r>
              <w:rPr>
                <w:rFonts w:hint="eastAsia" w:ascii="Times New Roman" w:hAnsi="Times New Roman" w:eastAsia="宋体" w:cs="宋体"/>
                <w:color w:val="auto"/>
                <w:kern w:val="0"/>
                <w:sz w:val="24"/>
                <w:szCs w:val="24"/>
                <w:highlight w:val="none"/>
                <w:lang w:val="en-US" w:eastAsia="zh-CN" w:bidi="ar"/>
              </w:rPr>
              <w:t>倍频带的叠加声压级，</w:t>
            </w:r>
            <w:r>
              <w:rPr>
                <w:rFonts w:hint="default" w:ascii="Times New Roman" w:hAnsi="Times New Roman" w:eastAsia="宋体" w:cs="Times New Roman"/>
                <w:color w:val="auto"/>
                <w:kern w:val="0"/>
                <w:sz w:val="24"/>
                <w:szCs w:val="24"/>
                <w:highlight w:val="none"/>
                <w:lang w:val="en-US" w:eastAsia="zh-CN" w:bidi="ar"/>
              </w:rPr>
              <w:t>dB</w:t>
            </w:r>
            <w:r>
              <w:rPr>
                <w:rFonts w:hint="eastAsia" w:ascii="Times New Roman" w:hAnsi="Times New Roman" w:eastAsia="宋体" w:cs="宋体"/>
                <w:color w:val="auto"/>
                <w:kern w:val="0"/>
                <w:sz w:val="24"/>
                <w:szCs w:val="24"/>
                <w:highlight w:val="none"/>
                <w:lang w:val="en-US" w:eastAsia="zh-CN" w:bidi="ar"/>
              </w:rPr>
              <w:t>；</w:t>
            </w:r>
          </w:p>
          <w:p w14:paraId="54B04447">
            <w:pPr>
              <w:keepNext w:val="0"/>
              <w:keepLines w:val="0"/>
              <w:widowControl/>
              <w:suppressLineNumbers w:val="0"/>
              <w:spacing w:before="0" w:beforeAutospacing="0" w:after="0" w:afterAutospacing="0" w:line="360" w:lineRule="auto"/>
              <w:ind w:left="0" w:right="0" w:firstLine="960" w:firstLineChars="400"/>
              <w:jc w:val="left"/>
              <w:rPr>
                <w:rFonts w:hint="eastAsia" w:ascii="Times New Roman" w:hAnsi="Times New Roman" w:eastAsia="宋体" w:cs="Times New Roman"/>
                <w:i w:val="0"/>
                <w:iCs w:val="0"/>
                <w:color w:val="auto"/>
                <w:kern w:val="0"/>
                <w:sz w:val="24"/>
                <w:szCs w:val="24"/>
                <w:highlight w:val="none"/>
                <w:lang w:val="en-US" w:eastAsia="zh-CN" w:bidi="ar"/>
              </w:rPr>
            </w:pPr>
            <w:r>
              <w:rPr>
                <w:rFonts w:hint="eastAsia" w:ascii="Times New Roman" w:hAnsi="Times New Roman" w:eastAsia="宋体" w:cs="Times New Roman"/>
                <w:i/>
                <w:iCs/>
                <w:color w:val="auto"/>
                <w:kern w:val="0"/>
                <w:sz w:val="24"/>
                <w:szCs w:val="24"/>
                <w:highlight w:val="none"/>
                <w:lang w:val="en-US" w:eastAsia="zh-CN" w:bidi="ar"/>
              </w:rPr>
              <w:t>L</w:t>
            </w:r>
            <w:r>
              <w:rPr>
                <w:rFonts w:hint="eastAsia" w:ascii="Times New Roman" w:hAnsi="Times New Roman" w:eastAsia="宋体" w:cs="Times New Roman"/>
                <w:i/>
                <w:iCs/>
                <w:color w:val="auto"/>
                <w:kern w:val="0"/>
                <w:sz w:val="24"/>
                <w:szCs w:val="24"/>
                <w:highlight w:val="none"/>
                <w:vertAlign w:val="subscript"/>
                <w:lang w:val="en-US" w:eastAsia="zh-CN" w:bidi="ar"/>
              </w:rPr>
              <w:t>plij</w:t>
            </w:r>
            <w:r>
              <w:rPr>
                <w:rFonts w:hint="eastAsia" w:ascii="Times New Roman" w:hAnsi="Times New Roman" w:eastAsia="宋体" w:cs="Times New Roman"/>
                <w:i/>
                <w:iCs/>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i w:val="0"/>
                <w:iCs w:val="0"/>
                <w:color w:val="auto"/>
                <w:kern w:val="0"/>
                <w:sz w:val="24"/>
                <w:szCs w:val="24"/>
                <w:highlight w:val="none"/>
                <w:lang w:val="en-US" w:eastAsia="zh-CN" w:bidi="ar"/>
              </w:rPr>
              <w:t>室内</w:t>
            </w:r>
            <w:r>
              <w:rPr>
                <w:rFonts w:hint="eastAsia" w:ascii="Times New Roman" w:hAnsi="Times New Roman" w:eastAsia="宋体" w:cs="Times New Roman"/>
                <w:i/>
                <w:iCs/>
                <w:color w:val="auto"/>
                <w:kern w:val="0"/>
                <w:sz w:val="24"/>
                <w:szCs w:val="24"/>
                <w:highlight w:val="none"/>
                <w:lang w:val="en-US" w:eastAsia="zh-CN" w:bidi="ar"/>
              </w:rPr>
              <w:t>j</w:t>
            </w:r>
            <w:r>
              <w:rPr>
                <w:rFonts w:hint="eastAsia" w:ascii="Times New Roman" w:hAnsi="Times New Roman" w:eastAsia="宋体" w:cs="Times New Roman"/>
                <w:i w:val="0"/>
                <w:iCs w:val="0"/>
                <w:color w:val="auto"/>
                <w:kern w:val="0"/>
                <w:sz w:val="24"/>
                <w:szCs w:val="24"/>
                <w:highlight w:val="none"/>
                <w:lang w:val="en-US" w:eastAsia="zh-CN" w:bidi="ar"/>
              </w:rPr>
              <w:t xml:space="preserve"> 声源</w:t>
            </w:r>
            <w:r>
              <w:rPr>
                <w:rFonts w:hint="eastAsia" w:ascii="Times New Roman" w:hAnsi="Times New Roman" w:eastAsia="宋体" w:cs="Times New Roman"/>
                <w:i/>
                <w:iCs/>
                <w:color w:val="auto"/>
                <w:kern w:val="0"/>
                <w:sz w:val="24"/>
                <w:szCs w:val="24"/>
                <w:highlight w:val="none"/>
                <w:lang w:val="en-US" w:eastAsia="zh-CN" w:bidi="ar"/>
              </w:rPr>
              <w:t>i</w:t>
            </w:r>
            <w:r>
              <w:rPr>
                <w:rFonts w:hint="eastAsia" w:ascii="Times New Roman" w:hAnsi="Times New Roman" w:eastAsia="宋体" w:cs="Times New Roman"/>
                <w:i w:val="0"/>
                <w:iCs w:val="0"/>
                <w:color w:val="auto"/>
                <w:kern w:val="0"/>
                <w:sz w:val="24"/>
                <w:szCs w:val="24"/>
                <w:highlight w:val="none"/>
                <w:lang w:val="en-US" w:eastAsia="zh-CN" w:bidi="ar"/>
              </w:rPr>
              <w:t>倍频带的声压级，dB；</w:t>
            </w:r>
          </w:p>
          <w:p w14:paraId="18FE03B8">
            <w:pPr>
              <w:pStyle w:val="18"/>
              <w:keepNext w:val="0"/>
              <w:keepLines w:val="0"/>
              <w:suppressLineNumbers w:val="0"/>
              <w:spacing w:before="0" w:beforeAutospacing="0" w:afterAutospacing="0" w:line="360" w:lineRule="auto"/>
              <w:ind w:left="0" w:leftChars="0" w:right="0" w:firstLine="960" w:firstLineChars="400"/>
              <w:rPr>
                <w:rFonts w:hint="default" w:ascii="Times New Roman" w:hAnsi="Times New Roman" w:eastAsia="宋体"/>
                <w:color w:val="auto"/>
                <w:highlight w:val="none"/>
                <w:lang w:val="en-US" w:eastAsia="zh-CN"/>
              </w:rPr>
            </w:pPr>
            <w:r>
              <w:rPr>
                <w:rFonts w:hint="eastAsia" w:ascii="Times New Roman" w:hAnsi="Times New Roman" w:eastAsia="宋体" w:cs="Times New Roman"/>
                <w:i w:val="0"/>
                <w:iCs w:val="0"/>
                <w:color w:val="auto"/>
                <w:kern w:val="0"/>
                <w:sz w:val="24"/>
                <w:szCs w:val="24"/>
                <w:highlight w:val="none"/>
                <w:lang w:val="en-US" w:eastAsia="zh-CN" w:bidi="ar"/>
              </w:rPr>
              <w:t>N—室内声源总数。</w:t>
            </w:r>
          </w:p>
          <w:p w14:paraId="60061C54">
            <w:pPr>
              <w:pStyle w:val="18"/>
              <w:keepNext w:val="0"/>
              <w:keepLines w:val="0"/>
              <w:suppressLineNumbers w:val="0"/>
              <w:spacing w:before="0" w:beforeAutospacing="0" w:afterAutospacing="0"/>
              <w:ind w:left="0" w:leftChars="0" w:right="0" w:firstLine="240" w:firstLineChars="10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C.计算出靠近室外维护结构处的声压级</w:t>
            </w:r>
            <w:r>
              <w:rPr>
                <w:rFonts w:hint="eastAsia" w:ascii="Times New Roman" w:hAnsi="Times New Roman" w:eastAsia="宋体" w:cs="Times New Roman"/>
                <w:color w:val="auto"/>
                <w:kern w:val="0"/>
                <w:sz w:val="24"/>
                <w:szCs w:val="24"/>
                <w:highlight w:val="none"/>
                <w:lang w:val="en-US" w:eastAsia="zh-CN" w:bidi="ar"/>
              </w:rPr>
              <w:t>。计算公式如下</w:t>
            </w:r>
            <w:r>
              <w:rPr>
                <w:rFonts w:hint="default" w:ascii="Times New Roman" w:hAnsi="Times New Roman" w:eastAsia="宋体" w:cs="Times New Roman"/>
                <w:color w:val="auto"/>
                <w:kern w:val="0"/>
                <w:sz w:val="24"/>
                <w:szCs w:val="24"/>
                <w:highlight w:val="none"/>
                <w:lang w:val="en-US" w:eastAsia="zh-CN" w:bidi="ar"/>
              </w:rPr>
              <w:t>：</w:t>
            </w:r>
          </w:p>
          <w:p w14:paraId="59DF186E">
            <w:pPr>
              <w:pStyle w:val="18"/>
              <w:keepNext w:val="0"/>
              <w:keepLines w:val="0"/>
              <w:suppressLineNumbers w:val="0"/>
              <w:spacing w:before="0" w:beforeAutospacing="0" w:afterAutospacing="0"/>
              <w:ind w:right="0"/>
              <w:jc w:val="center"/>
              <w:rPr>
                <w:rFonts w:hint="eastAsia" w:ascii="Times New Roman" w:hAnsi="Times New Roman" w:eastAsia="宋体" w:cs="Times New Roman"/>
                <w:i/>
                <w:iCs/>
                <w:color w:val="auto"/>
                <w:sz w:val="32"/>
                <w:szCs w:val="32"/>
                <w:highlight w:val="none"/>
                <w:lang w:val="en-US" w:eastAsia="zh-CN"/>
              </w:rPr>
            </w:pPr>
            <w:r>
              <w:rPr>
                <w:rFonts w:hint="eastAsia" w:ascii="Times New Roman" w:hAnsi="Times New Roman" w:eastAsia="宋体" w:cs="Times New Roman"/>
                <w:i/>
                <w:iCs/>
                <w:color w:val="auto"/>
                <w:sz w:val="32"/>
                <w:szCs w:val="32"/>
                <w:highlight w:val="none"/>
                <w:lang w:val="en-US" w:eastAsia="zh-CN"/>
              </w:rPr>
              <w:drawing>
                <wp:inline distT="0" distB="0" distL="114300" distR="114300">
                  <wp:extent cx="2147570" cy="354330"/>
                  <wp:effectExtent l="0" t="0" r="5080" b="7620"/>
                  <wp:docPr id="43" name="图片 19" descr="165569054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9" descr="1655690543102"/>
                          <pic:cNvPicPr>
                            <a:picLocks noChangeAspect="1"/>
                          </pic:cNvPicPr>
                        </pic:nvPicPr>
                        <pic:blipFill>
                          <a:blip r:embed="rId24"/>
                          <a:stretch>
                            <a:fillRect/>
                          </a:stretch>
                        </pic:blipFill>
                        <pic:spPr>
                          <a:xfrm>
                            <a:off x="0" y="0"/>
                            <a:ext cx="2147570" cy="354330"/>
                          </a:xfrm>
                          <a:prstGeom prst="rect">
                            <a:avLst/>
                          </a:prstGeom>
                          <a:noFill/>
                          <a:ln>
                            <a:noFill/>
                          </a:ln>
                        </pic:spPr>
                      </pic:pic>
                    </a:graphicData>
                  </a:graphic>
                </wp:inline>
              </w:drawing>
            </w:r>
          </w:p>
          <w:p w14:paraId="2B50AA6A">
            <w:pPr>
              <w:pStyle w:val="18"/>
              <w:keepNext w:val="0"/>
              <w:keepLines w:val="0"/>
              <w:suppressLineNumbers w:val="0"/>
              <w:spacing w:before="0" w:beforeAutospacing="0" w:afterAutospacing="0"/>
              <w:ind w:left="0" w:leftChars="0" w:right="0" w:firstLine="0" w:firstLineChars="0"/>
              <w:rPr>
                <w:rFonts w:hint="eastAsia" w:ascii="Times New Roman" w:hAnsi="Times New Roman" w:eastAsia="宋体" w:cs="Times New Roman"/>
                <w:color w:val="auto"/>
                <w:sz w:val="24"/>
                <w:szCs w:val="24"/>
                <w:highlight w:val="none"/>
                <w:vertAlign w:val="baseline"/>
                <w:lang w:val="en-US" w:eastAsia="zh-CN"/>
              </w:rPr>
            </w:pPr>
            <w:r>
              <w:rPr>
                <w:rFonts w:hint="eastAsia" w:ascii="Times New Roman" w:hAnsi="Times New Roman" w:eastAsia="宋体" w:cs="宋体"/>
                <w:color w:val="auto"/>
                <w:sz w:val="24"/>
                <w:szCs w:val="24"/>
                <w:highlight w:val="none"/>
                <w:lang w:val="en-US" w:eastAsia="zh-CN"/>
              </w:rPr>
              <w:t>式中：</w:t>
            </w:r>
            <w:r>
              <w:rPr>
                <w:rFonts w:hint="eastAsia" w:ascii="Times New Roman" w:hAnsi="Times New Roman" w:eastAsia="宋体" w:cs="Times New Roman"/>
                <w:i/>
                <w:iCs/>
                <w:color w:val="auto"/>
                <w:sz w:val="24"/>
                <w:szCs w:val="24"/>
                <w:highlight w:val="none"/>
                <w:lang w:val="en-US" w:eastAsia="zh-CN"/>
              </w:rPr>
              <w:t>L</w:t>
            </w:r>
            <w:r>
              <w:rPr>
                <w:rFonts w:hint="eastAsia" w:ascii="Times New Roman" w:hAnsi="Times New Roman" w:eastAsia="宋体" w:cs="Times New Roman"/>
                <w:i/>
                <w:iCs/>
                <w:color w:val="auto"/>
                <w:sz w:val="24"/>
                <w:szCs w:val="24"/>
                <w:highlight w:val="none"/>
                <w:vertAlign w:val="subscript"/>
                <w:lang w:val="en-US" w:eastAsia="zh-CN"/>
              </w:rPr>
              <w:t>p2i</w:t>
            </w:r>
            <w:r>
              <w:rPr>
                <w:rFonts w:hint="eastAsia" w:ascii="Times New Roman" w:hAnsi="Times New Roman" w:eastAsia="宋体" w:cs="Times New Roman"/>
                <w:i/>
                <w:iCs/>
                <w:color w:val="auto"/>
                <w:sz w:val="24"/>
                <w:szCs w:val="24"/>
                <w:highlight w:val="none"/>
                <w:vertAlign w:val="baseline"/>
                <w:lang w:val="en-US" w:eastAsia="zh-CN"/>
              </w:rPr>
              <w:t>(</w:t>
            </w:r>
            <w:r>
              <w:rPr>
                <w:rFonts w:hint="default" w:ascii="Times New Roman" w:hAnsi="Times New Roman" w:eastAsia="宋体" w:cs="Times New Roman"/>
                <w:i/>
                <w:iCs/>
                <w:color w:val="auto"/>
                <w:sz w:val="24"/>
                <w:szCs w:val="24"/>
                <w:highlight w:val="none"/>
                <w:vertAlign w:val="baseline"/>
                <w:lang w:val="en-US" w:eastAsia="zh-CN"/>
              </w:rPr>
              <w:t>T</w:t>
            </w:r>
            <w:r>
              <w:rPr>
                <w:rFonts w:hint="eastAsia" w:ascii="Times New Roman" w:hAnsi="Times New Roman" w:eastAsia="宋体" w:cs="Times New Roman"/>
                <w:i/>
                <w:iCs/>
                <w:color w:val="auto"/>
                <w:sz w:val="24"/>
                <w:szCs w:val="24"/>
                <w:highlight w:val="none"/>
                <w:vertAlign w:val="baseline"/>
                <w:lang w:val="en-US" w:eastAsia="zh-CN"/>
              </w:rPr>
              <w:t>)</w:t>
            </w:r>
            <w:r>
              <w:rPr>
                <w:rFonts w:hint="eastAsia" w:ascii="Times New Roman" w:hAnsi="Times New Roman" w:eastAsia="宋体" w:cs="Times New Roman"/>
                <w:color w:val="auto"/>
                <w:sz w:val="24"/>
                <w:szCs w:val="24"/>
                <w:highlight w:val="none"/>
                <w:vertAlign w:val="baseline"/>
                <w:lang w:val="en-US" w:eastAsia="zh-CN"/>
              </w:rPr>
              <w:t>—靠近围护结构处室外N个声源</w:t>
            </w:r>
            <w:r>
              <w:rPr>
                <w:rFonts w:hint="eastAsia" w:ascii="Times New Roman" w:hAnsi="Times New Roman" w:eastAsia="宋体" w:cs="Times New Roman"/>
                <w:i/>
                <w:iCs/>
                <w:color w:val="auto"/>
                <w:kern w:val="0"/>
                <w:sz w:val="24"/>
                <w:szCs w:val="24"/>
                <w:highlight w:val="none"/>
                <w:lang w:val="en-US" w:eastAsia="zh-CN" w:bidi="ar"/>
              </w:rPr>
              <w:t>i</w:t>
            </w:r>
            <w:r>
              <w:rPr>
                <w:rFonts w:hint="eastAsia" w:ascii="Times New Roman" w:hAnsi="Times New Roman" w:eastAsia="宋体" w:cs="Times New Roman"/>
                <w:i w:val="0"/>
                <w:iCs w:val="0"/>
                <w:color w:val="auto"/>
                <w:kern w:val="0"/>
                <w:sz w:val="24"/>
                <w:szCs w:val="24"/>
                <w:highlight w:val="none"/>
                <w:lang w:val="en-US" w:eastAsia="zh-CN" w:bidi="ar"/>
              </w:rPr>
              <w:t>倍频带的叠加声压级</w:t>
            </w:r>
            <w:r>
              <w:rPr>
                <w:rFonts w:hint="eastAsia" w:ascii="Times New Roman" w:hAnsi="Times New Roman" w:eastAsia="宋体" w:cs="Times New Roman"/>
                <w:color w:val="auto"/>
                <w:sz w:val="24"/>
                <w:szCs w:val="24"/>
                <w:highlight w:val="none"/>
                <w:vertAlign w:val="baseline"/>
                <w:lang w:val="en-US" w:eastAsia="zh-CN"/>
              </w:rPr>
              <w:t>，dB；</w:t>
            </w:r>
          </w:p>
          <w:p w14:paraId="6D5A3D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787" w:firstLineChars="328"/>
              <w:textAlignment w:val="auto"/>
              <w:rPr>
                <w:rFonts w:hint="eastAsia" w:ascii="Times New Roman" w:hAnsi="Times New Roman" w:eastAsia="宋体" w:cs="Times New Roman"/>
                <w:color w:val="auto"/>
                <w:sz w:val="24"/>
                <w:szCs w:val="24"/>
                <w:highlight w:val="none"/>
                <w:vertAlign w:val="baseline"/>
                <w:lang w:val="en-US" w:eastAsia="zh-CN"/>
              </w:rPr>
            </w:pPr>
            <w:r>
              <w:rPr>
                <w:rFonts w:hint="eastAsia" w:ascii="Times New Roman" w:hAnsi="Times New Roman" w:eastAsia="宋体" w:cs="Times New Roman"/>
                <w:i/>
                <w:iCs/>
                <w:color w:val="auto"/>
                <w:sz w:val="24"/>
                <w:szCs w:val="24"/>
                <w:highlight w:val="none"/>
                <w:lang w:val="en-US" w:eastAsia="zh-CN"/>
              </w:rPr>
              <w:t>L</w:t>
            </w:r>
            <w:r>
              <w:rPr>
                <w:rFonts w:hint="eastAsia" w:ascii="Times New Roman" w:hAnsi="Times New Roman" w:eastAsia="宋体" w:cs="Times New Roman"/>
                <w:i/>
                <w:iCs/>
                <w:color w:val="auto"/>
                <w:sz w:val="24"/>
                <w:szCs w:val="24"/>
                <w:highlight w:val="none"/>
                <w:vertAlign w:val="subscript"/>
                <w:lang w:val="en-US" w:eastAsia="zh-CN"/>
              </w:rPr>
              <w:t>p1i</w:t>
            </w:r>
            <w:r>
              <w:rPr>
                <w:rFonts w:hint="eastAsia" w:ascii="Times New Roman" w:hAnsi="Times New Roman" w:eastAsia="宋体" w:cs="Times New Roman"/>
                <w:i/>
                <w:iCs/>
                <w:color w:val="auto"/>
                <w:sz w:val="24"/>
                <w:szCs w:val="24"/>
                <w:highlight w:val="none"/>
                <w:vertAlign w:val="baseline"/>
                <w:lang w:val="en-US" w:eastAsia="zh-CN"/>
              </w:rPr>
              <w:t>(</w:t>
            </w:r>
            <w:r>
              <w:rPr>
                <w:rFonts w:hint="default" w:ascii="Times New Roman" w:hAnsi="Times New Roman" w:eastAsia="宋体" w:cs="Times New Roman"/>
                <w:i/>
                <w:iCs/>
                <w:color w:val="auto"/>
                <w:sz w:val="24"/>
                <w:szCs w:val="24"/>
                <w:highlight w:val="none"/>
                <w:vertAlign w:val="baseline"/>
                <w:lang w:val="en-US" w:eastAsia="zh-CN"/>
              </w:rPr>
              <w:t>T</w:t>
            </w:r>
            <w:r>
              <w:rPr>
                <w:rFonts w:hint="eastAsia" w:ascii="Times New Roman" w:hAnsi="Times New Roman" w:eastAsia="宋体" w:cs="Times New Roman"/>
                <w:i/>
                <w:iCs/>
                <w:color w:val="auto"/>
                <w:sz w:val="24"/>
                <w:szCs w:val="24"/>
                <w:highlight w:val="none"/>
                <w:vertAlign w:val="baseline"/>
                <w:lang w:val="en-US" w:eastAsia="zh-CN"/>
              </w:rPr>
              <w:t>)</w:t>
            </w:r>
            <w:r>
              <w:rPr>
                <w:rFonts w:hint="eastAsia" w:ascii="Times New Roman" w:hAnsi="Times New Roman" w:eastAsia="宋体" w:cs="Times New Roman"/>
                <w:color w:val="auto"/>
                <w:sz w:val="24"/>
                <w:szCs w:val="24"/>
                <w:highlight w:val="none"/>
                <w:vertAlign w:val="baseline"/>
                <w:lang w:val="en-US" w:eastAsia="zh-CN"/>
              </w:rPr>
              <w:t>—靠近围护结构处室内N个声源</w:t>
            </w:r>
            <w:r>
              <w:rPr>
                <w:rFonts w:hint="eastAsia" w:ascii="Times New Roman" w:hAnsi="Times New Roman" w:eastAsia="宋体" w:cs="Times New Roman"/>
                <w:i/>
                <w:iCs/>
                <w:color w:val="auto"/>
                <w:kern w:val="0"/>
                <w:sz w:val="24"/>
                <w:szCs w:val="24"/>
                <w:highlight w:val="none"/>
                <w:lang w:val="en-US" w:eastAsia="zh-CN" w:bidi="ar"/>
              </w:rPr>
              <w:t>i</w:t>
            </w:r>
            <w:r>
              <w:rPr>
                <w:rFonts w:hint="eastAsia" w:ascii="Times New Roman" w:hAnsi="Times New Roman" w:eastAsia="宋体" w:cs="Times New Roman"/>
                <w:i w:val="0"/>
                <w:iCs w:val="0"/>
                <w:color w:val="auto"/>
                <w:kern w:val="0"/>
                <w:sz w:val="24"/>
                <w:szCs w:val="24"/>
                <w:highlight w:val="none"/>
                <w:lang w:val="en-US" w:eastAsia="zh-CN" w:bidi="ar"/>
              </w:rPr>
              <w:t>倍频带的叠加声压级</w:t>
            </w:r>
            <w:r>
              <w:rPr>
                <w:rFonts w:hint="eastAsia" w:ascii="Times New Roman" w:hAnsi="Times New Roman" w:eastAsia="宋体" w:cs="Times New Roman"/>
                <w:color w:val="auto"/>
                <w:sz w:val="24"/>
                <w:szCs w:val="24"/>
                <w:highlight w:val="none"/>
                <w:vertAlign w:val="baseline"/>
                <w:lang w:val="en-US" w:eastAsia="zh-CN"/>
              </w:rPr>
              <w:t>，dB；</w:t>
            </w:r>
          </w:p>
          <w:p w14:paraId="1F76D1C0">
            <w:pPr>
              <w:pStyle w:val="19"/>
              <w:keepNext w:val="0"/>
              <w:keepLines w:val="0"/>
              <w:suppressLineNumbers w:val="0"/>
              <w:spacing w:beforeAutospacing="0" w:afterAutospacing="0"/>
              <w:ind w:left="0" w:firstLine="720" w:firstLineChars="300"/>
              <w:rPr>
                <w:rFonts w:hint="default" w:ascii="Times New Roman" w:hAnsi="Times New Roman" w:eastAsia="宋体"/>
                <w:color w:val="auto"/>
                <w:highlight w:val="none"/>
                <w:lang w:val="en-US" w:eastAsia="zh-CN"/>
              </w:rPr>
            </w:pPr>
            <w:r>
              <w:rPr>
                <w:rFonts w:hint="eastAsia" w:ascii="Times New Roman" w:hAnsi="Times New Roman" w:eastAsia="宋体" w:cs="Times New Roman"/>
                <w:i/>
                <w:iCs/>
                <w:color w:val="auto"/>
                <w:sz w:val="24"/>
                <w:szCs w:val="24"/>
                <w:highlight w:val="none"/>
                <w:vertAlign w:val="baseline"/>
                <w:lang w:val="en-US" w:eastAsia="zh-CN"/>
              </w:rPr>
              <w:t>TL</w:t>
            </w:r>
            <w:r>
              <w:rPr>
                <w:rFonts w:hint="eastAsia" w:ascii="Times New Roman" w:hAnsi="Times New Roman" w:eastAsia="宋体" w:cs="Times New Roman"/>
                <w:i/>
                <w:iCs/>
                <w:color w:val="auto"/>
                <w:sz w:val="24"/>
                <w:szCs w:val="24"/>
                <w:highlight w:val="none"/>
                <w:vertAlign w:val="subscript"/>
                <w:lang w:val="en-US" w:eastAsia="zh-CN"/>
              </w:rPr>
              <w:t>i</w:t>
            </w:r>
            <w:r>
              <w:rPr>
                <w:rFonts w:hint="eastAsia" w:ascii="Times New Roman" w:hAnsi="Times New Roman" w:eastAsia="宋体" w:cs="Times New Roman"/>
                <w:color w:val="auto"/>
                <w:sz w:val="24"/>
                <w:szCs w:val="24"/>
                <w:highlight w:val="none"/>
                <w:vertAlign w:val="baseline"/>
                <w:lang w:val="en-US" w:eastAsia="zh-CN"/>
              </w:rPr>
              <w:t>—围护结构</w:t>
            </w:r>
            <w:r>
              <w:rPr>
                <w:rFonts w:hint="eastAsia" w:ascii="Times New Roman" w:hAnsi="Times New Roman" w:eastAsia="宋体" w:cs="Times New Roman"/>
                <w:i/>
                <w:iCs/>
                <w:color w:val="auto"/>
                <w:kern w:val="0"/>
                <w:sz w:val="24"/>
                <w:szCs w:val="24"/>
                <w:highlight w:val="none"/>
                <w:lang w:val="en-US" w:eastAsia="zh-CN" w:bidi="ar"/>
              </w:rPr>
              <w:t>i</w:t>
            </w:r>
            <w:r>
              <w:rPr>
                <w:rFonts w:hint="eastAsia" w:ascii="Times New Roman" w:hAnsi="Times New Roman" w:eastAsia="宋体" w:cs="Times New Roman"/>
                <w:i w:val="0"/>
                <w:iCs w:val="0"/>
                <w:color w:val="auto"/>
                <w:kern w:val="0"/>
                <w:sz w:val="24"/>
                <w:szCs w:val="24"/>
                <w:highlight w:val="none"/>
                <w:lang w:val="en-US" w:eastAsia="zh-CN" w:bidi="ar"/>
              </w:rPr>
              <w:t>倍频带</w:t>
            </w:r>
            <w:r>
              <w:rPr>
                <w:rFonts w:hint="eastAsia" w:ascii="Times New Roman" w:hAnsi="Times New Roman" w:eastAsia="宋体" w:cs="Times New Roman"/>
                <w:color w:val="auto"/>
                <w:sz w:val="24"/>
                <w:szCs w:val="24"/>
                <w:highlight w:val="none"/>
                <w:vertAlign w:val="baseline"/>
                <w:lang w:val="en-US" w:eastAsia="zh-CN"/>
              </w:rPr>
              <w:t>的隔声量，dB；</w:t>
            </w:r>
          </w:p>
          <w:p w14:paraId="0244FF85">
            <w:pPr>
              <w:pStyle w:val="19"/>
              <w:keepNext w:val="0"/>
              <w:keepLines w:val="0"/>
              <w:suppressLineNumbers w:val="0"/>
              <w:spacing w:beforeAutospacing="0" w:afterAutospacing="0" w:line="360" w:lineRule="auto"/>
              <w:ind w:left="0"/>
              <w:rPr>
                <w:rFonts w:hint="eastAsia" w:ascii="Times New Roman" w:hAnsi="Times New Roman" w:eastAsia="宋体" w:cs="Times New Roman"/>
                <w:color w:val="auto"/>
                <w:kern w:val="2"/>
                <w:sz w:val="24"/>
                <w:szCs w:val="24"/>
                <w:highlight w:val="none"/>
                <w:vertAlign w:val="baseline"/>
                <w:lang w:val="en-US" w:eastAsia="zh-CN" w:bidi="ar-SA"/>
              </w:rPr>
            </w:pPr>
            <w:r>
              <w:rPr>
                <w:rFonts w:hint="eastAsia" w:ascii="Times New Roman" w:hAnsi="Times New Roman" w:eastAsia="宋体" w:cs="Times New Roman"/>
                <w:color w:val="auto"/>
                <w:kern w:val="2"/>
                <w:sz w:val="24"/>
                <w:szCs w:val="24"/>
                <w:highlight w:val="none"/>
                <w:vertAlign w:val="baseline"/>
                <w:lang w:val="en-US" w:eastAsia="zh-CN" w:bidi="ar-SA"/>
              </w:rPr>
              <w:t>D. 将室外声源的声压级和透过面积换算成等效的室外声源，计算出中心位置位于透声面积（S）处的等效声源的倍频带声功率级。计算公式如下：</w:t>
            </w:r>
          </w:p>
          <w:p w14:paraId="6F38AE47">
            <w:pPr>
              <w:keepNext w:val="0"/>
              <w:keepLines w:val="0"/>
              <w:suppressLineNumbers w:val="0"/>
              <w:spacing w:before="0" w:beforeAutospacing="0" w:after="0" w:afterAutospacing="0"/>
              <w:ind w:left="0" w:right="0"/>
              <w:jc w:val="center"/>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drawing>
                <wp:inline distT="0" distB="0" distL="114300" distR="114300">
                  <wp:extent cx="1626235" cy="272415"/>
                  <wp:effectExtent l="0" t="0" r="12065" b="13335"/>
                  <wp:docPr id="54" name="图片 20" descr="1655446049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0" descr="1655446049476"/>
                          <pic:cNvPicPr>
                            <a:picLocks noChangeAspect="1"/>
                          </pic:cNvPicPr>
                        </pic:nvPicPr>
                        <pic:blipFill>
                          <a:blip r:embed="rId25"/>
                          <a:stretch>
                            <a:fillRect/>
                          </a:stretch>
                        </pic:blipFill>
                        <pic:spPr>
                          <a:xfrm>
                            <a:off x="0" y="0"/>
                            <a:ext cx="1626235" cy="272415"/>
                          </a:xfrm>
                          <a:prstGeom prst="rect">
                            <a:avLst/>
                          </a:prstGeom>
                          <a:noFill/>
                          <a:ln>
                            <a:noFill/>
                          </a:ln>
                        </pic:spPr>
                      </pic:pic>
                    </a:graphicData>
                  </a:graphic>
                </wp:inline>
              </w:drawing>
            </w:r>
          </w:p>
          <w:p w14:paraId="4D69278E">
            <w:pPr>
              <w:pStyle w:val="19"/>
              <w:keepNext w:val="0"/>
              <w:keepLines w:val="0"/>
              <w:suppressLineNumbers w:val="0"/>
              <w:spacing w:beforeAutospacing="0" w:afterAutospacing="0"/>
              <w:ind w:left="0" w:leftChars="0" w:firstLine="0" w:firstLineChars="0"/>
              <w:rPr>
                <w:rFonts w:hint="default" w:ascii="Times New Roman" w:hAnsi="Times New Roman" w:eastAsia="宋体" w:cs="Times New Roman"/>
                <w:color w:val="auto"/>
                <w:sz w:val="24"/>
                <w:szCs w:val="24"/>
                <w:highlight w:val="none"/>
                <w:vertAlign w:val="baseline"/>
                <w:lang w:val="en-US" w:eastAsia="zh-CN"/>
              </w:rPr>
            </w:pPr>
            <w:r>
              <w:rPr>
                <w:rFonts w:hint="eastAsia" w:ascii="Times New Roman" w:hAnsi="Times New Roman" w:eastAsia="宋体" w:cs="Times New Roman"/>
                <w:color w:val="auto"/>
                <w:sz w:val="24"/>
                <w:szCs w:val="24"/>
                <w:highlight w:val="none"/>
                <w:vertAlign w:val="baseline"/>
                <w:lang w:val="en-US" w:eastAsia="zh-CN"/>
              </w:rPr>
              <w:t>式中：</w:t>
            </w:r>
            <w:r>
              <w:rPr>
                <w:rFonts w:hint="eastAsia" w:ascii="Times New Roman" w:hAnsi="Times New Roman" w:eastAsia="宋体" w:cs="Times New Roman"/>
                <w:i/>
                <w:iCs/>
                <w:color w:val="auto"/>
                <w:sz w:val="24"/>
                <w:szCs w:val="24"/>
                <w:highlight w:val="none"/>
                <w:vertAlign w:val="baseline"/>
                <w:lang w:val="en-US" w:eastAsia="zh-CN"/>
              </w:rPr>
              <w:t xml:space="preserve"> L</w:t>
            </w:r>
            <w:r>
              <w:rPr>
                <w:rFonts w:hint="eastAsia" w:ascii="Times New Roman" w:hAnsi="Times New Roman" w:eastAsia="宋体" w:cs="Times New Roman"/>
                <w:i/>
                <w:iCs/>
                <w:color w:val="auto"/>
                <w:sz w:val="24"/>
                <w:szCs w:val="24"/>
                <w:highlight w:val="none"/>
                <w:vertAlign w:val="subscript"/>
                <w:lang w:val="en-US" w:eastAsia="zh-CN"/>
              </w:rPr>
              <w:t>w</w:t>
            </w:r>
            <w:r>
              <w:rPr>
                <w:rFonts w:hint="eastAsia" w:ascii="Times New Roman" w:hAnsi="Times New Roman" w:eastAsia="宋体" w:cs="Times New Roman"/>
                <w:color w:val="auto"/>
                <w:sz w:val="24"/>
                <w:szCs w:val="24"/>
                <w:highlight w:val="none"/>
                <w:vertAlign w:val="baseline"/>
                <w:lang w:val="en-US" w:eastAsia="zh-CN"/>
              </w:rPr>
              <w:t>—中心位置位于透声面积（S）处的等效声源的倍频带声功率级，dB；</w:t>
            </w:r>
          </w:p>
          <w:p w14:paraId="4B914864">
            <w:pPr>
              <w:pStyle w:val="19"/>
              <w:keepNext w:val="0"/>
              <w:keepLines w:val="0"/>
              <w:suppressLineNumbers w:val="0"/>
              <w:spacing w:beforeAutospacing="0" w:afterAutospacing="0"/>
              <w:ind w:left="0" w:firstLine="720" w:firstLineChars="300"/>
              <w:rPr>
                <w:rFonts w:hint="eastAsia" w:ascii="Times New Roman" w:hAnsi="Times New Roman" w:eastAsia="宋体" w:cs="Times New Roman"/>
                <w:color w:val="auto"/>
                <w:kern w:val="2"/>
                <w:sz w:val="24"/>
                <w:szCs w:val="24"/>
                <w:highlight w:val="none"/>
                <w:vertAlign w:val="baseline"/>
                <w:lang w:val="en-US" w:eastAsia="zh-CN" w:bidi="ar-SA"/>
              </w:rPr>
            </w:pPr>
            <w:r>
              <w:rPr>
                <w:rFonts w:hint="eastAsia" w:ascii="Times New Roman" w:hAnsi="Times New Roman" w:eastAsia="宋体" w:cs="Times New Roman"/>
                <w:i/>
                <w:iCs/>
                <w:color w:val="auto"/>
                <w:sz w:val="24"/>
                <w:szCs w:val="24"/>
                <w:highlight w:val="none"/>
                <w:lang w:val="en-US" w:eastAsia="zh-CN"/>
              </w:rPr>
              <w:t>L</w:t>
            </w:r>
            <w:r>
              <w:rPr>
                <w:rFonts w:hint="eastAsia" w:ascii="Times New Roman" w:hAnsi="Times New Roman" w:eastAsia="宋体" w:cs="Times New Roman"/>
                <w:i/>
                <w:iCs/>
                <w:color w:val="auto"/>
                <w:sz w:val="24"/>
                <w:szCs w:val="24"/>
                <w:highlight w:val="none"/>
                <w:vertAlign w:val="subscript"/>
                <w:lang w:val="en-US" w:eastAsia="zh-CN"/>
              </w:rPr>
              <w:t>p2</w:t>
            </w:r>
            <w:r>
              <w:rPr>
                <w:rFonts w:hint="eastAsia" w:ascii="Times New Roman" w:hAnsi="Times New Roman" w:eastAsia="宋体" w:cs="Times New Roman"/>
                <w:i w:val="0"/>
                <w:iCs w:val="0"/>
                <w:color w:val="auto"/>
                <w:sz w:val="24"/>
                <w:szCs w:val="24"/>
                <w:highlight w:val="none"/>
                <w:vertAlign w:val="baseline"/>
                <w:lang w:val="en-US" w:eastAsia="zh-CN"/>
              </w:rPr>
              <w:t>（</w:t>
            </w:r>
            <w:r>
              <w:rPr>
                <w:rFonts w:hint="eastAsia" w:ascii="Times New Roman" w:hAnsi="Times New Roman" w:eastAsia="宋体" w:cs="Times New Roman"/>
                <w:i/>
                <w:iCs/>
                <w:color w:val="auto"/>
                <w:sz w:val="24"/>
                <w:szCs w:val="24"/>
                <w:highlight w:val="none"/>
                <w:vertAlign w:val="subscript"/>
                <w:lang w:val="en-US" w:eastAsia="zh-CN"/>
              </w:rPr>
              <w:t>T</w:t>
            </w:r>
            <w:r>
              <w:rPr>
                <w:rFonts w:hint="eastAsia" w:ascii="Times New Roman" w:hAnsi="Times New Roman" w:eastAsia="宋体" w:cs="Times New Roman"/>
                <w:i w:val="0"/>
                <w:iCs w:val="0"/>
                <w:color w:val="auto"/>
                <w:sz w:val="24"/>
                <w:szCs w:val="24"/>
                <w:highlight w:val="none"/>
                <w:vertAlign w:val="baseline"/>
                <w:lang w:val="en-US" w:eastAsia="zh-CN"/>
              </w:rPr>
              <w:t>）</w:t>
            </w:r>
            <w:r>
              <w:rPr>
                <w:rFonts w:hint="eastAsia" w:ascii="Times New Roman" w:hAnsi="Times New Roman" w:eastAsia="宋体" w:cs="Times New Roman"/>
                <w:color w:val="auto"/>
                <w:sz w:val="24"/>
                <w:szCs w:val="24"/>
                <w:highlight w:val="none"/>
                <w:vertAlign w:val="baseline"/>
                <w:lang w:val="en-US" w:eastAsia="zh-CN"/>
              </w:rPr>
              <w:t>—</w:t>
            </w:r>
            <w:r>
              <w:rPr>
                <w:rFonts w:hint="eastAsia" w:ascii="Times New Roman" w:hAnsi="Times New Roman" w:eastAsia="宋体" w:cs="Times New Roman"/>
                <w:i/>
                <w:iCs/>
                <w:color w:val="auto"/>
                <w:sz w:val="24"/>
                <w:szCs w:val="24"/>
                <w:highlight w:val="none"/>
                <w:vertAlign w:val="subscript"/>
                <w:lang w:val="en-US" w:eastAsia="zh-CN"/>
              </w:rPr>
              <w:t>）</w:t>
            </w:r>
            <w:r>
              <w:rPr>
                <w:rFonts w:hint="eastAsia" w:ascii="Times New Roman" w:hAnsi="Times New Roman" w:eastAsia="宋体" w:cs="Times New Roman"/>
                <w:color w:val="auto"/>
                <w:sz w:val="24"/>
                <w:szCs w:val="24"/>
                <w:highlight w:val="none"/>
                <w:vertAlign w:val="baseline"/>
                <w:lang w:val="en-US" w:eastAsia="zh-CN"/>
              </w:rPr>
              <w:t>靠近围护结构处室外声源的声压级，dB；</w:t>
            </w:r>
          </w:p>
          <w:p w14:paraId="327211C4">
            <w:pPr>
              <w:pStyle w:val="19"/>
              <w:keepNext w:val="0"/>
              <w:keepLines w:val="0"/>
              <w:suppressLineNumbers w:val="0"/>
              <w:spacing w:beforeAutospacing="0" w:afterAutospacing="0"/>
              <w:ind w:left="0"/>
              <w:rPr>
                <w:rFonts w:hint="default" w:ascii="Times New Roman" w:hAnsi="Times New Roman" w:eastAsia="宋体" w:cs="Times New Roman"/>
                <w:color w:val="auto"/>
                <w:kern w:val="2"/>
                <w:sz w:val="24"/>
                <w:szCs w:val="24"/>
                <w:highlight w:val="none"/>
                <w:vertAlign w:val="baseline"/>
                <w:lang w:val="en-US" w:eastAsia="zh-CN" w:bidi="ar-SA"/>
              </w:rPr>
            </w:pPr>
            <w:r>
              <w:rPr>
                <w:rFonts w:hint="eastAsia" w:ascii="Times New Roman" w:hAnsi="Times New Roman" w:eastAsia="宋体" w:cs="Times New Roman"/>
                <w:color w:val="auto"/>
                <w:kern w:val="2"/>
                <w:sz w:val="24"/>
                <w:szCs w:val="24"/>
                <w:highlight w:val="none"/>
                <w:vertAlign w:val="baseline"/>
                <w:lang w:val="en-US" w:eastAsia="zh-CN" w:bidi="ar-SA"/>
              </w:rPr>
              <w:t xml:space="preserve">     S</w:t>
            </w:r>
            <w:r>
              <w:rPr>
                <w:rFonts w:hint="eastAsia" w:ascii="Times New Roman" w:hAnsi="Times New Roman" w:eastAsia="宋体" w:cs="Times New Roman"/>
                <w:color w:val="auto"/>
                <w:sz w:val="24"/>
                <w:szCs w:val="24"/>
                <w:highlight w:val="none"/>
                <w:vertAlign w:val="baseline"/>
                <w:lang w:val="en-US" w:eastAsia="zh-CN"/>
              </w:rPr>
              <w:t>—透声面积，m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vertAlign w:val="baseline"/>
                <w:lang w:val="en-US" w:eastAsia="zh-CN"/>
              </w:rPr>
              <w:t>；</w:t>
            </w:r>
          </w:p>
          <w:p w14:paraId="7BEADC84">
            <w:pPr>
              <w:pStyle w:val="19"/>
              <w:keepNext w:val="0"/>
              <w:keepLines w:val="0"/>
              <w:suppressLineNumbers w:val="0"/>
              <w:spacing w:beforeAutospacing="0" w:afterAutospacing="0"/>
              <w:ind w:left="0"/>
              <w:rPr>
                <w:rFonts w:hint="default" w:ascii="Times New Roman" w:hAnsi="Times New Roman" w:eastAsia="宋体"/>
                <w:color w:val="auto"/>
                <w:highlight w:val="none"/>
                <w:lang w:val="en-US" w:eastAsia="zh-CN"/>
              </w:rPr>
            </w:pPr>
            <w:r>
              <w:rPr>
                <w:rFonts w:hint="eastAsia" w:ascii="Times New Roman" w:hAnsi="Times New Roman" w:eastAsia="宋体" w:cs="Times New Roman"/>
                <w:color w:val="auto"/>
                <w:kern w:val="2"/>
                <w:sz w:val="24"/>
                <w:szCs w:val="24"/>
                <w:highlight w:val="none"/>
                <w:vertAlign w:val="baseline"/>
                <w:lang w:val="en-US" w:eastAsia="zh-CN" w:bidi="ar-SA"/>
              </w:rPr>
              <w:t>然后按室外声源预测方法计算预测点处的A声级。</w:t>
            </w:r>
          </w:p>
          <w:p w14:paraId="4D1646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②室外声源</w:t>
            </w:r>
          </w:p>
          <w:p w14:paraId="73F22C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lang w:val="en-US" w:eastAsia="zh-CN"/>
              </w:rPr>
              <w:t>室外声源在预测点产生的声级计算模型见附录A。</w:t>
            </w:r>
            <w:r>
              <w:rPr>
                <w:rFonts w:hint="default" w:ascii="Times New Roman" w:hAnsi="Times New Roman" w:eastAsia="宋体"/>
                <w:color w:val="auto"/>
                <w:sz w:val="24"/>
                <w:szCs w:val="24"/>
                <w:highlight w:val="none"/>
              </w:rPr>
              <w:t xml:space="preserve">项目各噪声源都按点声源处理，根据声长特点，其预测模式为： </w:t>
            </w:r>
          </w:p>
          <w:p w14:paraId="64C863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center"/>
              <w:textAlignment w:val="auto"/>
              <w:rPr>
                <w:rFonts w:hint="default" w:ascii="Times New Roman" w:hAnsi="Times New Roman" w:eastAsia="宋体"/>
                <w:color w:val="auto"/>
                <w:sz w:val="24"/>
                <w:szCs w:val="24"/>
                <w:highlight w:val="none"/>
              </w:rPr>
            </w:pPr>
            <w:r>
              <w:rPr>
                <w:rFonts w:hint="default" w:ascii="Times New Roman" w:hAnsi="Times New Roman" w:eastAsia="宋体"/>
                <w:color w:val="auto"/>
                <w:position w:val="-14"/>
                <w:sz w:val="24"/>
                <w:szCs w:val="24"/>
                <w:highlight w:val="none"/>
              </w:rPr>
              <w:object>
                <v:shape id="_x0000_i1029" o:spt="75" type="#_x0000_t75" style="height:16.15pt;width:206.45pt;" o:ole="t" filled="f" o:preferrelative="t" stroked="f" coordsize="21600,21600">
                  <v:path/>
                  <v:fill on="f" focussize="0,0"/>
                  <v:stroke on="f"/>
                  <v:imagedata r:id="rId27" o:title=""/>
                  <o:lock v:ext="edit" aspectratio="t"/>
                  <w10:wrap type="none"/>
                  <w10:anchorlock/>
                </v:shape>
                <o:OLEObject Type="Embed" ProgID="Equation.3" ShapeID="_x0000_i1029" DrawAspect="Content" ObjectID="_1468075729" r:id="rId26">
                  <o:LockedField>false</o:LockedField>
                </o:OLEObject>
              </w:object>
            </w:r>
          </w:p>
          <w:p w14:paraId="0A12C9BB">
            <w:pPr>
              <w:keepNext w:val="0"/>
              <w:keepLines w:val="0"/>
              <w:suppressLineNumbers w:val="0"/>
              <w:spacing w:before="0" w:beforeLines="0" w:beforeAutospacing="0" w:after="0" w:afterLines="0" w:afterAutospacing="0" w:line="360" w:lineRule="auto"/>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w:t>
            </w:r>
            <w:r>
              <w:rPr>
                <w:rFonts w:hint="default" w:ascii="Times New Roman" w:hAnsi="Times New Roman" w:eastAsia="宋体" w:cs="Times New Roman"/>
                <w:i/>
                <w:color w:val="auto"/>
                <w:sz w:val="24"/>
                <w:szCs w:val="24"/>
                <w:highlight w:val="none"/>
              </w:rPr>
              <w:t>Lp</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i/>
                <w:color w:val="auto"/>
                <w:sz w:val="24"/>
                <w:szCs w:val="24"/>
                <w:highlight w:val="none"/>
              </w:rPr>
              <w:t>r</w:t>
            </w:r>
            <w:r>
              <w:rPr>
                <w:rFonts w:hint="default" w:ascii="Times New Roman" w:hAnsi="Times New Roman" w:eastAsia="宋体" w:cs="Times New Roman"/>
                <w:color w:val="auto"/>
                <w:sz w:val="24"/>
                <w:szCs w:val="24"/>
                <w:highlight w:val="none"/>
              </w:rPr>
              <w:t xml:space="preserve">) ——预测点处声压级，dB； </w:t>
            </w:r>
          </w:p>
          <w:p w14:paraId="3BA1B59F">
            <w:pPr>
              <w:keepNext w:val="0"/>
              <w:keepLines w:val="0"/>
              <w:suppressLineNumbers w:val="0"/>
              <w:spacing w:before="0" w:beforeLines="0" w:beforeAutospacing="0" w:after="0" w:afterLines="0" w:afterAutospacing="0" w:line="360" w:lineRule="auto"/>
              <w:ind w:left="0" w:right="0" w:firstLine="720" w:firstLineChars="3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color w:val="auto"/>
                <w:sz w:val="24"/>
                <w:szCs w:val="24"/>
                <w:highlight w:val="none"/>
              </w:rPr>
              <w:t>Lp</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i/>
                <w:color w:val="auto"/>
                <w:sz w:val="24"/>
                <w:szCs w:val="24"/>
                <w:highlight w:val="none"/>
              </w:rPr>
              <w:t>r</w:t>
            </w:r>
            <w:r>
              <w:rPr>
                <w:rFonts w:hint="default" w:ascii="Times New Roman" w:hAnsi="Times New Roman" w:eastAsia="宋体" w:cs="Times New Roman"/>
                <w:color w:val="auto"/>
                <w:sz w:val="24"/>
                <w:szCs w:val="24"/>
                <w:highlight w:val="none"/>
                <w:vertAlign w:val="subscript"/>
              </w:rPr>
              <w:t>0</w:t>
            </w:r>
            <w:r>
              <w:rPr>
                <w:rFonts w:hint="default" w:ascii="Times New Roman" w:hAnsi="Times New Roman" w:eastAsia="宋体" w:cs="Times New Roman"/>
                <w:color w:val="auto"/>
                <w:sz w:val="24"/>
                <w:szCs w:val="24"/>
                <w:highlight w:val="none"/>
              </w:rPr>
              <w:t>) ——参考位置</w:t>
            </w:r>
            <w:r>
              <w:rPr>
                <w:rFonts w:hint="default" w:ascii="Times New Roman" w:hAnsi="Times New Roman" w:eastAsia="宋体" w:cs="Times New Roman"/>
                <w:i/>
                <w:color w:val="auto"/>
                <w:sz w:val="24"/>
                <w:szCs w:val="24"/>
                <w:highlight w:val="none"/>
              </w:rPr>
              <w:t>r</w:t>
            </w:r>
            <w:r>
              <w:rPr>
                <w:rFonts w:hint="default" w:ascii="Times New Roman" w:hAnsi="Times New Roman" w:eastAsia="宋体" w:cs="Times New Roman"/>
                <w:color w:val="auto"/>
                <w:sz w:val="24"/>
                <w:szCs w:val="24"/>
                <w:highlight w:val="none"/>
              </w:rPr>
              <w:t>0处的声压级，dB；</w:t>
            </w:r>
          </w:p>
          <w:p w14:paraId="0D57C04C">
            <w:pPr>
              <w:keepNext w:val="0"/>
              <w:keepLines w:val="0"/>
              <w:suppressLineNumbers w:val="0"/>
              <w:spacing w:before="0" w:beforeLines="0" w:beforeAutospacing="0" w:after="0" w:afterLines="0" w:afterAutospacing="0" w:line="360" w:lineRule="auto"/>
              <w:ind w:left="0" w:right="0" w:firstLine="720" w:firstLineChars="3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color w:val="auto"/>
                <w:sz w:val="24"/>
                <w:szCs w:val="24"/>
                <w:highlight w:val="none"/>
              </w:rPr>
              <w:t>D</w:t>
            </w:r>
            <w:r>
              <w:rPr>
                <w:rFonts w:hint="default" w:ascii="Times New Roman" w:hAnsi="Times New Roman" w:eastAsia="宋体" w:cs="Times New Roman"/>
                <w:color w:val="auto"/>
                <w:sz w:val="24"/>
                <w:szCs w:val="24"/>
                <w:highlight w:val="none"/>
              </w:rPr>
              <w:t>C ——指向性校正，它描述点声源的等效连续声压级与产生声功率级</w:t>
            </w:r>
            <w:r>
              <w:rPr>
                <w:rFonts w:hint="default" w:ascii="Times New Roman" w:hAnsi="Times New Roman" w:eastAsia="宋体" w:cs="Times New Roman"/>
                <w:i/>
                <w:color w:val="auto"/>
                <w:sz w:val="24"/>
                <w:szCs w:val="24"/>
                <w:highlight w:val="none"/>
              </w:rPr>
              <w:t>Lw</w:t>
            </w:r>
            <w:r>
              <w:rPr>
                <w:rFonts w:hint="default" w:ascii="Times New Roman" w:hAnsi="Times New Roman" w:eastAsia="宋体" w:cs="Times New Roman"/>
                <w:color w:val="auto"/>
                <w:sz w:val="24"/>
                <w:szCs w:val="24"/>
                <w:highlight w:val="none"/>
              </w:rPr>
              <w:t xml:space="preserve">的全向点声源在规定方向的声级的偏差程度，dB； </w:t>
            </w:r>
          </w:p>
          <w:p w14:paraId="4F3F76C5">
            <w:pPr>
              <w:keepNext w:val="0"/>
              <w:keepLines w:val="0"/>
              <w:suppressLineNumbers w:val="0"/>
              <w:spacing w:before="0" w:beforeLines="0" w:beforeAutospacing="0" w:after="0" w:afterLines="0" w:afterAutospacing="0" w:line="360" w:lineRule="auto"/>
              <w:ind w:left="0" w:right="0" w:firstLine="720" w:firstLineChars="3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color w:val="auto"/>
                <w:sz w:val="24"/>
                <w:szCs w:val="24"/>
                <w:highlight w:val="none"/>
              </w:rPr>
              <w:t>A</w:t>
            </w:r>
            <w:r>
              <w:rPr>
                <w:rFonts w:hint="default" w:ascii="Times New Roman" w:hAnsi="Times New Roman" w:eastAsia="宋体" w:cs="Times New Roman"/>
                <w:color w:val="auto"/>
                <w:sz w:val="24"/>
                <w:szCs w:val="24"/>
                <w:highlight w:val="none"/>
                <w:vertAlign w:val="subscript"/>
              </w:rPr>
              <w:t xml:space="preserve">div </w:t>
            </w:r>
            <w:r>
              <w:rPr>
                <w:rFonts w:hint="default" w:ascii="Times New Roman" w:hAnsi="Times New Roman" w:eastAsia="宋体" w:cs="Times New Roman"/>
                <w:color w:val="auto"/>
                <w:sz w:val="24"/>
                <w:szCs w:val="24"/>
                <w:highlight w:val="none"/>
              </w:rPr>
              <w:t xml:space="preserve">——几何发散引起的衰减，dB； </w:t>
            </w:r>
          </w:p>
          <w:p w14:paraId="0C4BE6DD">
            <w:pPr>
              <w:keepNext w:val="0"/>
              <w:keepLines w:val="0"/>
              <w:suppressLineNumbers w:val="0"/>
              <w:spacing w:before="0" w:beforeLines="0" w:beforeAutospacing="0" w:after="0" w:afterLines="0" w:afterAutospacing="0" w:line="360" w:lineRule="auto"/>
              <w:ind w:left="0" w:right="0" w:firstLine="720" w:firstLineChars="3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color w:val="auto"/>
                <w:sz w:val="24"/>
                <w:szCs w:val="24"/>
                <w:highlight w:val="none"/>
              </w:rPr>
              <w:t>A</w:t>
            </w:r>
            <w:r>
              <w:rPr>
                <w:rFonts w:hint="default" w:ascii="Times New Roman" w:hAnsi="Times New Roman" w:eastAsia="宋体" w:cs="Times New Roman"/>
                <w:color w:val="auto"/>
                <w:sz w:val="24"/>
                <w:szCs w:val="24"/>
                <w:highlight w:val="none"/>
                <w:vertAlign w:val="subscript"/>
              </w:rPr>
              <w:t>atm</w:t>
            </w:r>
            <w:r>
              <w:rPr>
                <w:rFonts w:hint="default" w:ascii="Times New Roman" w:hAnsi="Times New Roman" w:eastAsia="宋体" w:cs="Times New Roman"/>
                <w:color w:val="auto"/>
                <w:sz w:val="24"/>
                <w:szCs w:val="24"/>
                <w:highlight w:val="none"/>
              </w:rPr>
              <w:t>——大气吸收引起的衰减，dB；</w:t>
            </w:r>
          </w:p>
          <w:p w14:paraId="38EBD3E4">
            <w:pPr>
              <w:keepNext w:val="0"/>
              <w:keepLines w:val="0"/>
              <w:suppressLineNumbers w:val="0"/>
              <w:spacing w:before="0" w:beforeLines="0" w:beforeAutospacing="0" w:after="0" w:afterLines="0" w:afterAutospacing="0" w:line="360" w:lineRule="auto"/>
              <w:ind w:left="0" w:right="0" w:firstLine="720" w:firstLineChars="3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color w:val="auto"/>
                <w:sz w:val="24"/>
                <w:szCs w:val="24"/>
                <w:highlight w:val="none"/>
              </w:rPr>
              <w:t>A</w:t>
            </w:r>
            <w:r>
              <w:rPr>
                <w:rFonts w:hint="default" w:ascii="Times New Roman" w:hAnsi="Times New Roman" w:eastAsia="宋体" w:cs="Times New Roman"/>
                <w:color w:val="auto"/>
                <w:sz w:val="24"/>
                <w:szCs w:val="24"/>
                <w:highlight w:val="none"/>
                <w:vertAlign w:val="subscript"/>
              </w:rPr>
              <w:t>gr</w:t>
            </w:r>
            <w:r>
              <w:rPr>
                <w:rFonts w:hint="default" w:ascii="Times New Roman" w:hAnsi="Times New Roman" w:eastAsia="宋体" w:cs="Times New Roman"/>
                <w:color w:val="auto"/>
                <w:sz w:val="24"/>
                <w:szCs w:val="24"/>
                <w:highlight w:val="none"/>
              </w:rPr>
              <w:t>——地面效应引起的衰减，dB；</w:t>
            </w:r>
          </w:p>
          <w:p w14:paraId="732A6C17">
            <w:pPr>
              <w:keepNext w:val="0"/>
              <w:keepLines w:val="0"/>
              <w:suppressLineNumbers w:val="0"/>
              <w:spacing w:before="0" w:beforeLines="0" w:beforeAutospacing="0" w:after="0" w:afterLines="0" w:afterAutospacing="0" w:line="360" w:lineRule="auto"/>
              <w:ind w:left="0" w:right="0" w:firstLine="720" w:firstLineChars="3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color w:val="auto"/>
                <w:sz w:val="24"/>
                <w:szCs w:val="24"/>
                <w:highlight w:val="none"/>
              </w:rPr>
              <w:t>A</w:t>
            </w:r>
            <w:r>
              <w:rPr>
                <w:rFonts w:hint="default" w:ascii="Times New Roman" w:hAnsi="Times New Roman" w:eastAsia="宋体" w:cs="Times New Roman"/>
                <w:color w:val="auto"/>
                <w:sz w:val="24"/>
                <w:szCs w:val="24"/>
                <w:highlight w:val="none"/>
                <w:vertAlign w:val="subscript"/>
              </w:rPr>
              <w:t xml:space="preserve">bar </w:t>
            </w:r>
            <w:r>
              <w:rPr>
                <w:rFonts w:hint="default" w:ascii="Times New Roman" w:hAnsi="Times New Roman" w:eastAsia="宋体" w:cs="Times New Roman"/>
                <w:color w:val="auto"/>
                <w:sz w:val="24"/>
                <w:szCs w:val="24"/>
                <w:highlight w:val="none"/>
              </w:rPr>
              <w:t>——障碍物屏蔽引起的衰减，dB；</w:t>
            </w:r>
          </w:p>
          <w:p w14:paraId="70277B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787" w:firstLineChars="328"/>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color w:val="auto"/>
                <w:sz w:val="24"/>
                <w:szCs w:val="24"/>
                <w:highlight w:val="none"/>
              </w:rPr>
              <w:t>A</w:t>
            </w:r>
            <w:r>
              <w:rPr>
                <w:rFonts w:hint="default" w:ascii="Times New Roman" w:hAnsi="Times New Roman" w:eastAsia="宋体" w:cs="Times New Roman"/>
                <w:color w:val="auto"/>
                <w:sz w:val="24"/>
                <w:szCs w:val="24"/>
                <w:highlight w:val="none"/>
                <w:vertAlign w:val="subscript"/>
              </w:rPr>
              <w:t>misc</w:t>
            </w:r>
            <w:r>
              <w:rPr>
                <w:rFonts w:hint="default" w:ascii="Times New Roman" w:hAnsi="Times New Roman" w:eastAsia="宋体" w:cs="Times New Roman"/>
                <w:color w:val="auto"/>
                <w:sz w:val="24"/>
                <w:szCs w:val="24"/>
                <w:highlight w:val="none"/>
              </w:rPr>
              <w:t>——其他多方面效应引起的衰减，dB。</w:t>
            </w:r>
          </w:p>
          <w:p w14:paraId="3D77B0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项目中噪声源都按点声源处理，无指向性点声源几何发散衰减的基本公式是：</w:t>
            </w:r>
          </w:p>
          <w:p w14:paraId="7DB7A1ED">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jc w:val="center"/>
              <w:textAlignment w:val="auto"/>
              <w:rPr>
                <w:rFonts w:hint="default"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object>
                <v:shape id="_x0000_i1030" o:spt="75" type="#_x0000_t75" style="height:17.65pt;width:123.6pt;" o:ole="t" filled="f" o:preferrelative="t" stroked="f" coordsize="21600,21600">
                  <v:path/>
                  <v:fill on="f" focussize="0,0"/>
                  <v:stroke on="f"/>
                  <v:imagedata r:id="rId29" o:title=""/>
                  <o:lock v:ext="edit" aspectratio="t"/>
                  <w10:wrap type="none"/>
                  <w10:anchorlock/>
                </v:shape>
                <o:OLEObject Type="Embed" ProgID="Equation.3" ShapeID="_x0000_i1030" DrawAspect="Content" ObjectID="_1468075730" r:id="rId28">
                  <o:LockedField>false</o:LockedField>
                </o:OLEObject>
              </w:object>
            </w:r>
          </w:p>
          <w:p w14:paraId="0D9ED7C0">
            <w:pPr>
              <w:keepNext w:val="0"/>
              <w:keepLines w:val="0"/>
              <w:suppressLineNumbers w:val="0"/>
              <w:spacing w:before="0" w:beforeLines="0" w:beforeAutospacing="0" w:after="0" w:afterLines="0" w:afterAutospacing="0" w:line="360" w:lineRule="auto"/>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w:t>
            </w:r>
            <w:r>
              <w:rPr>
                <w:rFonts w:hint="default" w:ascii="Times New Roman" w:hAnsi="Times New Roman" w:eastAsia="宋体" w:cs="Times New Roman"/>
                <w:i/>
                <w:color w:val="auto"/>
                <w:sz w:val="24"/>
                <w:szCs w:val="24"/>
                <w:highlight w:val="none"/>
              </w:rPr>
              <w:t>Lp</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i/>
                <w:color w:val="auto"/>
                <w:sz w:val="24"/>
                <w:szCs w:val="24"/>
                <w:highlight w:val="none"/>
              </w:rPr>
              <w:t>r</w:t>
            </w:r>
            <w:r>
              <w:rPr>
                <w:rFonts w:hint="default" w:ascii="Times New Roman" w:hAnsi="Times New Roman" w:eastAsia="宋体" w:cs="Times New Roman"/>
                <w:color w:val="auto"/>
                <w:sz w:val="24"/>
                <w:szCs w:val="24"/>
                <w:highlight w:val="none"/>
              </w:rPr>
              <w:t xml:space="preserve">) ——预测点处声压级，dB； </w:t>
            </w:r>
          </w:p>
          <w:p w14:paraId="2F57A093">
            <w:pPr>
              <w:keepNext w:val="0"/>
              <w:keepLines w:val="0"/>
              <w:suppressLineNumbers w:val="0"/>
              <w:spacing w:before="0" w:beforeLines="0" w:beforeAutospacing="0" w:after="0" w:afterLines="0" w:afterAutospacing="0" w:line="360" w:lineRule="auto"/>
              <w:ind w:left="0" w:right="0" w:firstLine="720" w:firstLineChars="3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color w:val="auto"/>
                <w:sz w:val="24"/>
                <w:szCs w:val="24"/>
                <w:highlight w:val="none"/>
              </w:rPr>
              <w:t>Lp</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i/>
                <w:color w:val="auto"/>
                <w:sz w:val="24"/>
                <w:szCs w:val="24"/>
                <w:highlight w:val="none"/>
              </w:rPr>
              <w:t>r</w:t>
            </w:r>
            <w:r>
              <w:rPr>
                <w:rFonts w:hint="default" w:ascii="Times New Roman" w:hAnsi="Times New Roman" w:eastAsia="宋体" w:cs="Times New Roman"/>
                <w:color w:val="auto"/>
                <w:sz w:val="24"/>
                <w:szCs w:val="24"/>
                <w:highlight w:val="none"/>
                <w:vertAlign w:val="subscript"/>
              </w:rPr>
              <w:t>0</w:t>
            </w:r>
            <w:r>
              <w:rPr>
                <w:rFonts w:hint="default" w:ascii="Times New Roman" w:hAnsi="Times New Roman" w:eastAsia="宋体" w:cs="Times New Roman"/>
                <w:color w:val="auto"/>
                <w:sz w:val="24"/>
                <w:szCs w:val="24"/>
                <w:highlight w:val="none"/>
              </w:rPr>
              <w:t>) ——参考位置</w:t>
            </w:r>
            <w:r>
              <w:rPr>
                <w:rFonts w:hint="default" w:ascii="Times New Roman" w:hAnsi="Times New Roman" w:eastAsia="宋体" w:cs="Times New Roman"/>
                <w:i/>
                <w:color w:val="auto"/>
                <w:sz w:val="24"/>
                <w:szCs w:val="24"/>
                <w:highlight w:val="none"/>
              </w:rPr>
              <w:t>r</w:t>
            </w:r>
            <w:r>
              <w:rPr>
                <w:rFonts w:hint="default" w:ascii="Times New Roman" w:hAnsi="Times New Roman" w:eastAsia="宋体" w:cs="Times New Roman"/>
                <w:color w:val="auto"/>
                <w:sz w:val="24"/>
                <w:szCs w:val="24"/>
                <w:highlight w:val="none"/>
              </w:rPr>
              <w:t>0处的声压级，dB；</w:t>
            </w:r>
          </w:p>
          <w:p w14:paraId="553932D8">
            <w:pPr>
              <w:keepNext w:val="0"/>
              <w:keepLines w:val="0"/>
              <w:suppressLineNumbers w:val="0"/>
              <w:spacing w:before="0" w:beforeLines="0" w:beforeAutospacing="0" w:after="0" w:afterLines="0" w:afterAutospacing="0" w:line="360" w:lineRule="auto"/>
              <w:ind w:left="0" w:right="0" w:firstLine="720" w:firstLineChars="3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color w:val="auto"/>
                <w:sz w:val="24"/>
                <w:szCs w:val="24"/>
                <w:highlight w:val="none"/>
              </w:rPr>
              <w:t>r</w:t>
            </w:r>
            <w:r>
              <w:rPr>
                <w:rFonts w:hint="default" w:ascii="Times New Roman" w:hAnsi="Times New Roman" w:eastAsia="宋体" w:cs="Times New Roman"/>
                <w:color w:val="auto"/>
                <w:sz w:val="24"/>
                <w:szCs w:val="24"/>
                <w:highlight w:val="none"/>
              </w:rPr>
              <w:t>——预测点距声源的距离；</w:t>
            </w:r>
          </w:p>
          <w:p w14:paraId="34A2FD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787" w:firstLineChars="328"/>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color w:val="auto"/>
                <w:sz w:val="24"/>
                <w:szCs w:val="24"/>
                <w:highlight w:val="none"/>
              </w:rPr>
              <w:t>r</w:t>
            </w:r>
            <w:r>
              <w:rPr>
                <w:rFonts w:hint="default" w:ascii="Times New Roman" w:hAnsi="Times New Roman" w:eastAsia="宋体" w:cs="Times New Roman"/>
                <w:color w:val="auto"/>
                <w:sz w:val="24"/>
                <w:szCs w:val="24"/>
                <w:highlight w:val="none"/>
                <w:vertAlign w:val="subscript"/>
              </w:rPr>
              <w:t>0</w:t>
            </w:r>
            <w:r>
              <w:rPr>
                <w:rFonts w:hint="default" w:ascii="Times New Roman" w:hAnsi="Times New Roman" w:eastAsia="宋体" w:cs="Times New Roman"/>
                <w:color w:val="auto"/>
                <w:sz w:val="24"/>
                <w:szCs w:val="24"/>
                <w:highlight w:val="none"/>
              </w:rPr>
              <w:t>——参考位置距声源的距离。</w:t>
            </w:r>
          </w:p>
          <w:p w14:paraId="4688E5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olor w:val="auto"/>
                <w:sz w:val="24"/>
                <w:szCs w:val="24"/>
                <w:highlight w:val="none"/>
              </w:rPr>
            </w:pPr>
            <w:r>
              <w:rPr>
                <w:rFonts w:hint="eastAsia" w:ascii="Times New Roman" w:hAnsi="Times New Roman" w:eastAsia="宋体" w:cs="宋体"/>
                <w:color w:val="auto"/>
                <w:sz w:val="24"/>
                <w:szCs w:val="24"/>
                <w:highlight w:val="none"/>
                <w:lang w:val="en-US" w:eastAsia="zh-CN"/>
              </w:rPr>
              <w:t>③噪声贡献值计算</w:t>
            </w:r>
            <w:r>
              <w:rPr>
                <w:rFonts w:hint="default" w:ascii="Times New Roman" w:hAnsi="Times New Roman" w:eastAsia="宋体"/>
                <w:color w:val="auto"/>
                <w:sz w:val="24"/>
                <w:szCs w:val="24"/>
                <w:highlight w:val="none"/>
              </w:rPr>
              <w:t>公式</w:t>
            </w:r>
          </w:p>
          <w:p w14:paraId="073BF8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center"/>
              <w:textAlignment w:val="auto"/>
              <w:rPr>
                <w:rFonts w:hint="default" w:ascii="Times New Roman" w:hAnsi="Times New Roman" w:eastAsia="宋体"/>
                <w:color w:val="auto"/>
                <w:sz w:val="24"/>
                <w:szCs w:val="24"/>
                <w:highlight w:val="none"/>
              </w:rPr>
            </w:pPr>
            <w:r>
              <w:rPr>
                <w:rFonts w:hint="default" w:ascii="Times New Roman" w:hAnsi="Times New Roman" w:eastAsia="宋体"/>
                <w:color w:val="auto"/>
                <w:position w:val="-34"/>
                <w:sz w:val="24"/>
                <w:szCs w:val="24"/>
                <w:highlight w:val="none"/>
              </w:rPr>
              <w:object>
                <v:shape id="_x0000_i1031" o:spt="75" type="#_x0000_t75" style="height:36pt;width:186.95pt;" o:ole="t" filled="f" o:preferrelative="t" stroked="f" coordsize="21600,21600">
                  <v:path/>
                  <v:fill on="f" focussize="0,0"/>
                  <v:stroke on="f"/>
                  <v:imagedata r:id="rId31" o:title=""/>
                  <o:lock v:ext="edit" aspectratio="t"/>
                  <w10:wrap type="none"/>
                  <w10:anchorlock/>
                </v:shape>
                <o:OLEObject Type="Embed" ProgID="Equation.3" ShapeID="_x0000_i1031" DrawAspect="Content" ObjectID="_1468075731" r:id="rId30">
                  <o:LockedField>false</o:LockedField>
                </o:OLEObject>
              </w:object>
            </w:r>
          </w:p>
          <w:p w14:paraId="00FA9FBD">
            <w:pPr>
              <w:keepNext w:val="0"/>
              <w:keepLines w:val="0"/>
              <w:suppressLineNumbers w:val="0"/>
              <w:spacing w:before="0" w:beforeLines="0" w:beforeAutospacing="0" w:after="0" w:afterLines="0" w:afterAutospacing="0" w:line="360" w:lineRule="auto"/>
              <w:ind w:left="0" w:right="0"/>
              <w:jc w:val="left"/>
              <w:rPr>
                <w:rFonts w:hint="eastAsia"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 xml:space="preserve">    式中：</w:t>
            </w:r>
            <w:r>
              <w:rPr>
                <w:rFonts w:hint="eastAsia" w:ascii="Times New Roman" w:hAnsi="Times New Roman" w:eastAsia="宋体"/>
                <w:i/>
                <w:color w:val="auto"/>
                <w:sz w:val="24"/>
                <w:szCs w:val="24"/>
                <w:highlight w:val="none"/>
              </w:rPr>
              <w:t>L</w:t>
            </w:r>
            <w:r>
              <w:rPr>
                <w:rFonts w:hint="eastAsia" w:ascii="Times New Roman" w:hAnsi="Times New Roman" w:eastAsia="宋体"/>
                <w:color w:val="auto"/>
                <w:sz w:val="24"/>
                <w:szCs w:val="24"/>
                <w:highlight w:val="none"/>
              </w:rPr>
              <w:t>eqg——建设项目声源在预测点产生的噪声贡献值，dB；</w:t>
            </w:r>
          </w:p>
          <w:p w14:paraId="183378D2">
            <w:pPr>
              <w:keepNext w:val="0"/>
              <w:keepLines w:val="0"/>
              <w:suppressLineNumbers w:val="0"/>
              <w:spacing w:before="0" w:beforeLines="0" w:beforeAutospacing="0" w:after="0" w:afterLines="0" w:afterAutospacing="0" w:line="360" w:lineRule="auto"/>
              <w:ind w:left="0" w:right="0" w:firstLine="1200" w:firstLineChars="500"/>
              <w:jc w:val="left"/>
              <w:rPr>
                <w:rFonts w:hint="eastAsia" w:ascii="Times New Roman" w:hAnsi="Times New Roman" w:eastAsia="宋体"/>
                <w:color w:val="auto"/>
                <w:sz w:val="24"/>
                <w:szCs w:val="24"/>
                <w:highlight w:val="none"/>
              </w:rPr>
            </w:pPr>
            <w:r>
              <w:rPr>
                <w:rFonts w:hint="eastAsia" w:ascii="Times New Roman" w:hAnsi="Times New Roman" w:eastAsia="宋体"/>
                <w:i/>
                <w:color w:val="auto"/>
                <w:sz w:val="24"/>
                <w:szCs w:val="24"/>
                <w:highlight w:val="none"/>
              </w:rPr>
              <w:t xml:space="preserve">T </w:t>
            </w:r>
            <w:r>
              <w:rPr>
                <w:rFonts w:hint="eastAsia" w:ascii="Times New Roman" w:hAnsi="Times New Roman" w:eastAsia="宋体"/>
                <w:color w:val="auto"/>
                <w:sz w:val="24"/>
                <w:szCs w:val="24"/>
                <w:highlight w:val="none"/>
              </w:rPr>
              <w:t>——用于计算等效声级的时间，s；</w:t>
            </w:r>
          </w:p>
          <w:p w14:paraId="1CD44D48">
            <w:pPr>
              <w:keepNext w:val="0"/>
              <w:keepLines w:val="0"/>
              <w:suppressLineNumbers w:val="0"/>
              <w:spacing w:before="0" w:beforeLines="0" w:beforeAutospacing="0" w:after="0" w:afterLines="0" w:afterAutospacing="0" w:line="360" w:lineRule="auto"/>
              <w:ind w:left="0" w:right="0" w:firstLine="1200" w:firstLineChars="500"/>
              <w:jc w:val="left"/>
              <w:rPr>
                <w:rFonts w:hint="eastAsia" w:ascii="Times New Roman" w:hAnsi="Times New Roman" w:eastAsia="宋体"/>
                <w:color w:val="auto"/>
                <w:sz w:val="24"/>
                <w:szCs w:val="24"/>
                <w:highlight w:val="none"/>
              </w:rPr>
            </w:pPr>
            <w:r>
              <w:rPr>
                <w:rFonts w:hint="eastAsia" w:ascii="Times New Roman" w:hAnsi="Times New Roman" w:eastAsia="宋体"/>
                <w:i/>
                <w:color w:val="auto"/>
                <w:sz w:val="24"/>
                <w:szCs w:val="24"/>
                <w:highlight w:val="none"/>
              </w:rPr>
              <w:t xml:space="preserve">N </w:t>
            </w:r>
            <w:r>
              <w:rPr>
                <w:rFonts w:hint="eastAsia" w:ascii="Times New Roman" w:hAnsi="Times New Roman" w:eastAsia="宋体"/>
                <w:color w:val="auto"/>
                <w:sz w:val="24"/>
                <w:szCs w:val="24"/>
                <w:highlight w:val="none"/>
              </w:rPr>
              <w:t>——室外声源个数；</w:t>
            </w:r>
          </w:p>
          <w:p w14:paraId="682455FE">
            <w:pPr>
              <w:keepNext w:val="0"/>
              <w:keepLines w:val="0"/>
              <w:suppressLineNumbers w:val="0"/>
              <w:spacing w:before="0" w:beforeLines="0" w:beforeAutospacing="0" w:after="0" w:afterLines="0" w:afterAutospacing="0" w:line="360" w:lineRule="auto"/>
              <w:ind w:left="0" w:right="0"/>
              <w:jc w:val="left"/>
              <w:rPr>
                <w:rFonts w:hint="eastAsia" w:ascii="Times New Roman" w:hAnsi="Times New Roman" w:eastAsia="宋体"/>
                <w:color w:val="auto"/>
                <w:sz w:val="24"/>
                <w:szCs w:val="24"/>
                <w:highlight w:val="none"/>
              </w:rPr>
            </w:pPr>
            <w:r>
              <w:rPr>
                <w:rFonts w:hint="eastAsia" w:ascii="Times New Roman" w:hAnsi="Times New Roman" w:eastAsia="宋体"/>
                <w:i/>
                <w:color w:val="auto"/>
                <w:sz w:val="24"/>
                <w:szCs w:val="24"/>
                <w:highlight w:val="none"/>
              </w:rPr>
              <w:t xml:space="preserve"> </w:t>
            </w:r>
            <w:r>
              <w:rPr>
                <w:rFonts w:hint="eastAsia" w:ascii="Times New Roman" w:hAnsi="Times New Roman" w:eastAsia="宋体"/>
                <w:i/>
                <w:color w:val="auto"/>
                <w:sz w:val="24"/>
                <w:szCs w:val="24"/>
                <w:highlight w:val="none"/>
                <w:lang w:val="en-US" w:eastAsia="zh-CN"/>
              </w:rPr>
              <w:t xml:space="preserve">          </w:t>
            </w:r>
            <w:r>
              <w:rPr>
                <w:rFonts w:hint="eastAsia" w:ascii="Times New Roman" w:hAnsi="Times New Roman" w:eastAsia="宋体"/>
                <w:i/>
                <w:color w:val="auto"/>
                <w:sz w:val="24"/>
                <w:szCs w:val="24"/>
                <w:highlight w:val="none"/>
              </w:rPr>
              <w:t xml:space="preserve">ti </w:t>
            </w:r>
            <w:r>
              <w:rPr>
                <w:rFonts w:hint="eastAsia" w:ascii="Times New Roman" w:hAnsi="Times New Roman" w:eastAsia="宋体"/>
                <w:color w:val="auto"/>
                <w:sz w:val="24"/>
                <w:szCs w:val="24"/>
                <w:highlight w:val="none"/>
              </w:rPr>
              <w:t>——在</w:t>
            </w:r>
            <w:r>
              <w:rPr>
                <w:rFonts w:hint="eastAsia" w:ascii="Times New Roman" w:hAnsi="Times New Roman" w:eastAsia="宋体"/>
                <w:i/>
                <w:color w:val="auto"/>
                <w:sz w:val="24"/>
                <w:szCs w:val="24"/>
                <w:highlight w:val="none"/>
              </w:rPr>
              <w:t xml:space="preserve">T </w:t>
            </w:r>
            <w:r>
              <w:rPr>
                <w:rFonts w:hint="eastAsia" w:ascii="Times New Roman" w:hAnsi="Times New Roman" w:eastAsia="宋体"/>
                <w:color w:val="auto"/>
                <w:sz w:val="24"/>
                <w:szCs w:val="24"/>
                <w:highlight w:val="none"/>
              </w:rPr>
              <w:t>时间内</w:t>
            </w:r>
            <w:r>
              <w:rPr>
                <w:rFonts w:hint="eastAsia" w:ascii="Times New Roman" w:hAnsi="Times New Roman" w:eastAsia="宋体"/>
                <w:i/>
                <w:color w:val="auto"/>
                <w:sz w:val="24"/>
                <w:szCs w:val="24"/>
                <w:highlight w:val="none"/>
              </w:rPr>
              <w:t xml:space="preserve">i </w:t>
            </w:r>
            <w:r>
              <w:rPr>
                <w:rFonts w:hint="eastAsia" w:ascii="Times New Roman" w:hAnsi="Times New Roman" w:eastAsia="宋体"/>
                <w:color w:val="auto"/>
                <w:sz w:val="24"/>
                <w:szCs w:val="24"/>
                <w:highlight w:val="none"/>
              </w:rPr>
              <w:t>声源工作时间，s；</w:t>
            </w:r>
          </w:p>
          <w:p w14:paraId="665D88C2">
            <w:pPr>
              <w:keepNext w:val="0"/>
              <w:keepLines w:val="0"/>
              <w:suppressLineNumbers w:val="0"/>
              <w:spacing w:before="0" w:beforeLines="0" w:beforeAutospacing="0" w:after="0" w:afterLines="0" w:afterAutospacing="0" w:line="360" w:lineRule="auto"/>
              <w:ind w:left="0" w:right="0" w:firstLine="1200" w:firstLineChars="500"/>
              <w:jc w:val="left"/>
              <w:rPr>
                <w:rFonts w:hint="eastAsia" w:ascii="Times New Roman" w:hAnsi="Times New Roman" w:eastAsia="宋体"/>
                <w:color w:val="auto"/>
                <w:sz w:val="24"/>
                <w:szCs w:val="24"/>
                <w:highlight w:val="none"/>
              </w:rPr>
            </w:pPr>
            <w:r>
              <w:rPr>
                <w:rFonts w:hint="eastAsia" w:ascii="Times New Roman" w:hAnsi="Times New Roman" w:eastAsia="宋体"/>
                <w:i/>
                <w:color w:val="auto"/>
                <w:sz w:val="24"/>
                <w:szCs w:val="24"/>
                <w:highlight w:val="none"/>
              </w:rPr>
              <w:t>M</w:t>
            </w:r>
            <w:r>
              <w:rPr>
                <w:rFonts w:hint="eastAsia" w:ascii="Times New Roman" w:hAnsi="Times New Roman" w:eastAsia="宋体"/>
                <w:i/>
                <w:color w:val="auto"/>
                <w:sz w:val="24"/>
                <w:szCs w:val="24"/>
                <w:highlight w:val="none"/>
                <w:lang w:val="en-US" w:eastAsia="zh-CN"/>
              </w:rPr>
              <w:t xml:space="preserve"> </w:t>
            </w:r>
            <w:r>
              <w:rPr>
                <w:rFonts w:hint="eastAsia" w:ascii="Times New Roman" w:hAnsi="Times New Roman" w:eastAsia="宋体"/>
                <w:i/>
                <w:color w:val="auto"/>
                <w:sz w:val="24"/>
                <w:szCs w:val="24"/>
                <w:highlight w:val="none"/>
              </w:rPr>
              <w:t xml:space="preserve"> </w:t>
            </w:r>
            <w:r>
              <w:rPr>
                <w:rFonts w:hint="eastAsia" w:ascii="Times New Roman" w:hAnsi="Times New Roman" w:eastAsia="宋体"/>
                <w:color w:val="auto"/>
                <w:sz w:val="24"/>
                <w:szCs w:val="24"/>
                <w:highlight w:val="none"/>
              </w:rPr>
              <w:t>——等效室外声源个</w:t>
            </w:r>
          </w:p>
          <w:p w14:paraId="3711201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auto"/>
              <w:ind w:left="0" w:right="0" w:firstLine="1200" w:firstLineChars="500"/>
              <w:jc w:val="left"/>
              <w:textAlignment w:val="auto"/>
              <w:rPr>
                <w:rFonts w:hint="eastAsia" w:ascii="Times New Roman" w:hAnsi="Times New Roman" w:eastAsia="宋体"/>
                <w:color w:val="auto"/>
                <w:sz w:val="24"/>
                <w:szCs w:val="24"/>
                <w:highlight w:val="none"/>
              </w:rPr>
            </w:pPr>
            <w:r>
              <w:rPr>
                <w:rFonts w:hint="eastAsia" w:ascii="Times New Roman" w:hAnsi="Times New Roman" w:eastAsia="宋体"/>
                <w:i/>
                <w:color w:val="auto"/>
                <w:sz w:val="24"/>
                <w:szCs w:val="24"/>
                <w:highlight w:val="none"/>
              </w:rPr>
              <w:t xml:space="preserve">tj </w:t>
            </w:r>
            <w:r>
              <w:rPr>
                <w:rFonts w:hint="eastAsia" w:ascii="Times New Roman" w:hAnsi="Times New Roman" w:eastAsia="宋体"/>
                <w:color w:val="auto"/>
                <w:sz w:val="24"/>
                <w:szCs w:val="24"/>
                <w:highlight w:val="none"/>
              </w:rPr>
              <w:t>——在</w:t>
            </w:r>
            <w:r>
              <w:rPr>
                <w:rFonts w:hint="eastAsia" w:ascii="Times New Roman" w:hAnsi="Times New Roman" w:eastAsia="宋体"/>
                <w:i/>
                <w:color w:val="auto"/>
                <w:sz w:val="24"/>
                <w:szCs w:val="24"/>
                <w:highlight w:val="none"/>
              </w:rPr>
              <w:t xml:space="preserve">T </w:t>
            </w:r>
            <w:r>
              <w:rPr>
                <w:rFonts w:hint="eastAsia" w:ascii="Times New Roman" w:hAnsi="Times New Roman" w:eastAsia="宋体"/>
                <w:color w:val="auto"/>
                <w:sz w:val="24"/>
                <w:szCs w:val="24"/>
                <w:highlight w:val="none"/>
              </w:rPr>
              <w:t>时间内</w:t>
            </w:r>
            <w:r>
              <w:rPr>
                <w:rFonts w:hint="eastAsia" w:ascii="Times New Roman" w:hAnsi="Times New Roman" w:eastAsia="宋体"/>
                <w:i/>
                <w:color w:val="auto"/>
                <w:sz w:val="24"/>
                <w:szCs w:val="24"/>
                <w:highlight w:val="none"/>
              </w:rPr>
              <w:t xml:space="preserve">j </w:t>
            </w:r>
            <w:r>
              <w:rPr>
                <w:rFonts w:hint="eastAsia" w:ascii="Times New Roman" w:hAnsi="Times New Roman" w:eastAsia="宋体"/>
                <w:color w:val="auto"/>
                <w:sz w:val="24"/>
                <w:szCs w:val="24"/>
                <w:highlight w:val="none"/>
              </w:rPr>
              <w:t>声源工作时间，s。</w:t>
            </w:r>
          </w:p>
          <w:p w14:paraId="46BA8145">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0"/>
                <w:sz w:val="24"/>
                <w:szCs w:val="24"/>
                <w:highlight w:val="none"/>
              </w:rPr>
            </w:pPr>
            <w:r>
              <w:rPr>
                <w:rFonts w:hint="eastAsia" w:ascii="Times New Roman" w:hAnsi="Times New Roman" w:eastAsia="宋体" w:cs="Times New Roman"/>
                <w:b/>
                <w:bCs/>
                <w:color w:val="auto"/>
                <w:kern w:val="0"/>
                <w:sz w:val="24"/>
                <w:szCs w:val="24"/>
                <w:highlight w:val="none"/>
                <w:lang w:eastAsia="zh-CN"/>
              </w:rPr>
              <w:t>（</w:t>
            </w:r>
            <w:r>
              <w:rPr>
                <w:rFonts w:hint="eastAsia" w:ascii="Times New Roman" w:hAnsi="Times New Roman" w:eastAsia="宋体" w:cs="Times New Roman"/>
                <w:b/>
                <w:bCs/>
                <w:color w:val="auto"/>
                <w:kern w:val="0"/>
                <w:sz w:val="24"/>
                <w:szCs w:val="24"/>
                <w:highlight w:val="none"/>
                <w:lang w:val="en-US" w:eastAsia="zh-CN"/>
              </w:rPr>
              <w:t>3</w:t>
            </w:r>
            <w:r>
              <w:rPr>
                <w:rFonts w:hint="eastAsia" w:ascii="Times New Roman" w:hAnsi="Times New Roman" w:eastAsia="宋体" w:cs="Times New Roman"/>
                <w:b/>
                <w:bCs/>
                <w:color w:val="auto"/>
                <w:kern w:val="0"/>
                <w:sz w:val="24"/>
                <w:szCs w:val="24"/>
                <w:highlight w:val="none"/>
                <w:lang w:eastAsia="zh-CN"/>
              </w:rPr>
              <w:t>）</w:t>
            </w:r>
            <w:r>
              <w:rPr>
                <w:rFonts w:hint="eastAsia" w:ascii="Times New Roman" w:hAnsi="Times New Roman" w:eastAsia="宋体" w:cs="Times New Roman"/>
                <w:b/>
                <w:bCs/>
                <w:color w:val="auto"/>
                <w:kern w:val="0"/>
                <w:sz w:val="24"/>
                <w:szCs w:val="24"/>
                <w:highlight w:val="none"/>
              </w:rPr>
              <w:t>预测结果</w:t>
            </w:r>
          </w:p>
          <w:p w14:paraId="72C4CB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color w:val="auto"/>
                <w:sz w:val="24"/>
                <w:highlight w:val="none"/>
              </w:rPr>
            </w:pPr>
            <w:r>
              <w:rPr>
                <w:rFonts w:hint="default"/>
                <w:b/>
                <w:bCs/>
                <w:color w:val="auto"/>
                <w:sz w:val="24"/>
                <w:highlight w:val="none"/>
              </w:rPr>
              <w:t>表</w:t>
            </w:r>
            <w:r>
              <w:rPr>
                <w:rFonts w:hint="eastAsia"/>
                <w:b/>
                <w:bCs/>
                <w:color w:val="auto"/>
                <w:sz w:val="24"/>
                <w:highlight w:val="none"/>
                <w:lang w:val="en-US" w:eastAsia="zh-CN"/>
              </w:rPr>
              <w:t xml:space="preserve">4-7 </w:t>
            </w:r>
            <w:r>
              <w:rPr>
                <w:rFonts w:hint="default"/>
                <w:b/>
                <w:bCs/>
                <w:color w:val="auto"/>
                <w:sz w:val="24"/>
                <w:highlight w:val="none"/>
              </w:rPr>
              <w:t xml:space="preserve"> </w:t>
            </w:r>
            <w:r>
              <w:rPr>
                <w:rFonts w:hint="eastAsia"/>
                <w:b/>
                <w:bCs/>
                <w:color w:val="auto"/>
                <w:sz w:val="24"/>
                <w:highlight w:val="none"/>
              </w:rPr>
              <w:t>厂界噪声预测结果</w:t>
            </w:r>
          </w:p>
          <w:tbl>
            <w:tblPr>
              <w:tblStyle w:val="25"/>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173"/>
              <w:gridCol w:w="2590"/>
              <w:gridCol w:w="2859"/>
              <w:gridCol w:w="3017"/>
              <w:gridCol w:w="2971"/>
            </w:tblGrid>
            <w:tr w14:paraId="126A87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5" w:hRule="atLeast"/>
              </w:trPr>
              <w:tc>
                <w:tcPr>
                  <w:tcW w:w="798" w:type="pct"/>
                  <w:vMerge w:val="restart"/>
                  <w:tcBorders>
                    <w:tl2br w:val="nil"/>
                    <w:tr2bl w:val="nil"/>
                  </w:tcBorders>
                  <w:noWrap w:val="0"/>
                  <w:vAlign w:val="center"/>
                </w:tcPr>
                <w:p w14:paraId="0F9696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951" w:type="pct"/>
                  <w:vMerge w:val="restart"/>
                  <w:tcBorders>
                    <w:tl2br w:val="nil"/>
                    <w:tr2bl w:val="nil"/>
                  </w:tcBorders>
                  <w:noWrap w:val="0"/>
                  <w:vAlign w:val="center"/>
                </w:tcPr>
                <w:p w14:paraId="5BA3E1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预测点位置</w:t>
                  </w:r>
                </w:p>
              </w:tc>
              <w:tc>
                <w:tcPr>
                  <w:tcW w:w="1050" w:type="pct"/>
                  <w:vMerge w:val="restart"/>
                  <w:tcBorders>
                    <w:tl2br w:val="nil"/>
                    <w:tr2bl w:val="nil"/>
                  </w:tcBorders>
                  <w:noWrap w:val="0"/>
                  <w:vAlign w:val="center"/>
                </w:tcPr>
                <w:p w14:paraId="4F36C3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噪声贡献值</w:t>
                  </w:r>
                  <w:r>
                    <w:rPr>
                      <w:rFonts w:hint="default" w:ascii="Times New Roman" w:hAnsi="Times New Roman" w:eastAsia="宋体" w:cs="Times New Roman"/>
                      <w:b/>
                      <w:bCs/>
                      <w:i w:val="0"/>
                      <w:iCs w:val="0"/>
                      <w:color w:val="auto"/>
                      <w:kern w:val="0"/>
                      <w:sz w:val="21"/>
                      <w:szCs w:val="21"/>
                      <w:highlight w:val="none"/>
                      <w:u w:val="none"/>
                      <w:lang w:val="en-US" w:eastAsia="zh-CN" w:bidi="ar"/>
                    </w:rPr>
                    <w:t>dB(A)</w:t>
                  </w:r>
                </w:p>
              </w:tc>
              <w:tc>
                <w:tcPr>
                  <w:tcW w:w="1108" w:type="pct"/>
                  <w:tcBorders>
                    <w:tl2br w:val="nil"/>
                    <w:tr2bl w:val="nil"/>
                  </w:tcBorders>
                  <w:noWrap w:val="0"/>
                  <w:vAlign w:val="center"/>
                </w:tcPr>
                <w:p w14:paraId="6D0EB5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噪声标准值</w:t>
                  </w:r>
                  <w:r>
                    <w:rPr>
                      <w:rFonts w:hint="default" w:ascii="Times New Roman" w:hAnsi="Times New Roman" w:eastAsia="宋体" w:cs="Times New Roman"/>
                      <w:b/>
                      <w:bCs/>
                      <w:i w:val="0"/>
                      <w:iCs w:val="0"/>
                      <w:color w:val="auto"/>
                      <w:kern w:val="0"/>
                      <w:sz w:val="21"/>
                      <w:szCs w:val="21"/>
                      <w:highlight w:val="none"/>
                      <w:u w:val="none"/>
                      <w:lang w:val="en-US" w:eastAsia="zh-CN" w:bidi="ar"/>
                    </w:rPr>
                    <w:t>dB(A)</w:t>
                  </w:r>
                </w:p>
              </w:tc>
              <w:tc>
                <w:tcPr>
                  <w:tcW w:w="1091" w:type="pct"/>
                  <w:vMerge w:val="restart"/>
                  <w:tcBorders>
                    <w:tl2br w:val="nil"/>
                    <w:tr2bl w:val="nil"/>
                  </w:tcBorders>
                  <w:noWrap w:val="0"/>
                  <w:vAlign w:val="center"/>
                </w:tcPr>
                <w:p w14:paraId="0B4EB2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达标情况</w:t>
                  </w:r>
                </w:p>
              </w:tc>
            </w:tr>
            <w:tr w14:paraId="2164E7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5" w:hRule="atLeast"/>
              </w:trPr>
              <w:tc>
                <w:tcPr>
                  <w:tcW w:w="798" w:type="pct"/>
                  <w:vMerge w:val="continue"/>
                  <w:tcBorders>
                    <w:tl2br w:val="nil"/>
                    <w:tr2bl w:val="nil"/>
                  </w:tcBorders>
                  <w:noWrap w:val="0"/>
                  <w:vAlign w:val="center"/>
                </w:tcPr>
                <w:p w14:paraId="647D0C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auto"/>
                    </w:rPr>
                  </w:pPr>
                </w:p>
              </w:tc>
              <w:tc>
                <w:tcPr>
                  <w:tcW w:w="951" w:type="pct"/>
                  <w:vMerge w:val="continue"/>
                  <w:tcBorders>
                    <w:tl2br w:val="nil"/>
                    <w:tr2bl w:val="nil"/>
                  </w:tcBorders>
                  <w:noWrap w:val="0"/>
                  <w:vAlign w:val="center"/>
                </w:tcPr>
                <w:p w14:paraId="152FD1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auto"/>
                    </w:rPr>
                  </w:pPr>
                </w:p>
              </w:tc>
              <w:tc>
                <w:tcPr>
                  <w:tcW w:w="1050" w:type="pct"/>
                  <w:vMerge w:val="continue"/>
                  <w:tcBorders>
                    <w:tl2br w:val="nil"/>
                    <w:tr2bl w:val="nil"/>
                  </w:tcBorders>
                  <w:noWrap w:val="0"/>
                  <w:vAlign w:val="center"/>
                </w:tcPr>
                <w:p w14:paraId="5A2970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auto"/>
                    </w:rPr>
                  </w:pPr>
                </w:p>
              </w:tc>
              <w:tc>
                <w:tcPr>
                  <w:tcW w:w="1108" w:type="pct"/>
                  <w:tcBorders>
                    <w:tl2br w:val="nil"/>
                    <w:tr2bl w:val="nil"/>
                  </w:tcBorders>
                  <w:noWrap w:val="0"/>
                  <w:vAlign w:val="center"/>
                </w:tcPr>
                <w:p w14:paraId="650D81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昼间</w:t>
                  </w:r>
                </w:p>
              </w:tc>
              <w:tc>
                <w:tcPr>
                  <w:tcW w:w="1091" w:type="pct"/>
                  <w:vMerge w:val="continue"/>
                  <w:tcBorders>
                    <w:tl2br w:val="nil"/>
                    <w:tr2bl w:val="nil"/>
                  </w:tcBorders>
                  <w:noWrap w:val="0"/>
                  <w:vAlign w:val="center"/>
                </w:tcPr>
                <w:p w14:paraId="70602D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p>
              </w:tc>
            </w:tr>
            <w:tr w14:paraId="484F19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98" w:type="pct"/>
                  <w:tcBorders>
                    <w:tl2br w:val="nil"/>
                    <w:tr2bl w:val="nil"/>
                  </w:tcBorders>
                  <w:noWrap w:val="0"/>
                  <w:vAlign w:val="center"/>
                </w:tcPr>
                <w:p w14:paraId="106A33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951" w:type="pct"/>
                  <w:tcBorders>
                    <w:tl2br w:val="nil"/>
                    <w:tr2bl w:val="nil"/>
                  </w:tcBorders>
                  <w:noWrap w:val="0"/>
                  <w:vAlign w:val="center"/>
                </w:tcPr>
                <w:p w14:paraId="72FBA6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东厂界</w:t>
                  </w:r>
                </w:p>
              </w:tc>
              <w:tc>
                <w:tcPr>
                  <w:tcW w:w="1050" w:type="pct"/>
                  <w:tcBorders>
                    <w:tl2br w:val="nil"/>
                    <w:tr2bl w:val="nil"/>
                  </w:tcBorders>
                  <w:noWrap w:val="0"/>
                  <w:vAlign w:val="center"/>
                </w:tcPr>
                <w:p w14:paraId="5AC8A8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57.0</w:t>
                  </w:r>
                </w:p>
              </w:tc>
              <w:tc>
                <w:tcPr>
                  <w:tcW w:w="1108" w:type="pct"/>
                  <w:tcBorders>
                    <w:tl2br w:val="nil"/>
                    <w:tr2bl w:val="nil"/>
                  </w:tcBorders>
                  <w:noWrap w:val="0"/>
                  <w:vAlign w:val="center"/>
                </w:tcPr>
                <w:p w14:paraId="21CFBA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60</w:t>
                  </w:r>
                </w:p>
              </w:tc>
              <w:tc>
                <w:tcPr>
                  <w:tcW w:w="1091" w:type="pct"/>
                  <w:tcBorders>
                    <w:tl2br w:val="nil"/>
                    <w:tr2bl w:val="nil"/>
                  </w:tcBorders>
                  <w:noWrap w:val="0"/>
                  <w:vAlign w:val="center"/>
                </w:tcPr>
                <w:p w14:paraId="0B044B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达标</w:t>
                  </w:r>
                </w:p>
              </w:tc>
            </w:tr>
            <w:tr w14:paraId="1245FA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98" w:type="pct"/>
                  <w:tcBorders>
                    <w:tl2br w:val="nil"/>
                    <w:tr2bl w:val="nil"/>
                  </w:tcBorders>
                  <w:noWrap w:val="0"/>
                  <w:vAlign w:val="center"/>
                </w:tcPr>
                <w:p w14:paraId="677DFC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951" w:type="pct"/>
                  <w:tcBorders>
                    <w:tl2br w:val="nil"/>
                    <w:tr2bl w:val="nil"/>
                  </w:tcBorders>
                  <w:noWrap w:val="0"/>
                  <w:vAlign w:val="center"/>
                </w:tcPr>
                <w:p w14:paraId="1384B6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南厂界</w:t>
                  </w:r>
                </w:p>
              </w:tc>
              <w:tc>
                <w:tcPr>
                  <w:tcW w:w="1050" w:type="pct"/>
                  <w:tcBorders>
                    <w:tl2br w:val="nil"/>
                    <w:tr2bl w:val="nil"/>
                  </w:tcBorders>
                  <w:noWrap w:val="0"/>
                  <w:vAlign w:val="center"/>
                </w:tcPr>
                <w:p w14:paraId="1BE166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49.9</w:t>
                  </w:r>
                </w:p>
              </w:tc>
              <w:tc>
                <w:tcPr>
                  <w:tcW w:w="1108" w:type="pct"/>
                  <w:tcBorders>
                    <w:tl2br w:val="nil"/>
                    <w:tr2bl w:val="nil"/>
                  </w:tcBorders>
                  <w:noWrap w:val="0"/>
                  <w:vAlign w:val="center"/>
                </w:tcPr>
                <w:p w14:paraId="120158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60</w:t>
                  </w:r>
                </w:p>
              </w:tc>
              <w:tc>
                <w:tcPr>
                  <w:tcW w:w="1091" w:type="pct"/>
                  <w:tcBorders>
                    <w:tl2br w:val="nil"/>
                    <w:tr2bl w:val="nil"/>
                  </w:tcBorders>
                  <w:noWrap w:val="0"/>
                  <w:vAlign w:val="center"/>
                </w:tcPr>
                <w:p w14:paraId="3DCA31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达标</w:t>
                  </w:r>
                </w:p>
              </w:tc>
            </w:tr>
            <w:tr w14:paraId="6A4EC3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98" w:type="pct"/>
                  <w:tcBorders>
                    <w:tl2br w:val="nil"/>
                    <w:tr2bl w:val="nil"/>
                  </w:tcBorders>
                  <w:noWrap w:val="0"/>
                  <w:vAlign w:val="center"/>
                </w:tcPr>
                <w:p w14:paraId="7CE7A3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951" w:type="pct"/>
                  <w:tcBorders>
                    <w:tl2br w:val="nil"/>
                    <w:tr2bl w:val="nil"/>
                  </w:tcBorders>
                  <w:noWrap w:val="0"/>
                  <w:vAlign w:val="center"/>
                </w:tcPr>
                <w:p w14:paraId="31FD08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西厂界</w:t>
                  </w:r>
                </w:p>
              </w:tc>
              <w:tc>
                <w:tcPr>
                  <w:tcW w:w="1050" w:type="pct"/>
                  <w:tcBorders>
                    <w:tl2br w:val="nil"/>
                    <w:tr2bl w:val="nil"/>
                  </w:tcBorders>
                  <w:noWrap w:val="0"/>
                  <w:vAlign w:val="center"/>
                </w:tcPr>
                <w:p w14:paraId="1FB991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53.0</w:t>
                  </w:r>
                </w:p>
              </w:tc>
              <w:tc>
                <w:tcPr>
                  <w:tcW w:w="1108" w:type="pct"/>
                  <w:tcBorders>
                    <w:tl2br w:val="nil"/>
                    <w:tr2bl w:val="nil"/>
                  </w:tcBorders>
                  <w:noWrap w:val="0"/>
                  <w:vAlign w:val="center"/>
                </w:tcPr>
                <w:p w14:paraId="620957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60</w:t>
                  </w:r>
                </w:p>
              </w:tc>
              <w:tc>
                <w:tcPr>
                  <w:tcW w:w="1091" w:type="pct"/>
                  <w:tcBorders>
                    <w:tl2br w:val="nil"/>
                    <w:tr2bl w:val="nil"/>
                  </w:tcBorders>
                  <w:noWrap w:val="0"/>
                  <w:vAlign w:val="center"/>
                </w:tcPr>
                <w:p w14:paraId="77C1EE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达标</w:t>
                  </w:r>
                </w:p>
              </w:tc>
            </w:tr>
            <w:tr w14:paraId="036697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98" w:type="pct"/>
                  <w:tcBorders>
                    <w:tl2br w:val="nil"/>
                    <w:tr2bl w:val="nil"/>
                  </w:tcBorders>
                  <w:noWrap w:val="0"/>
                  <w:vAlign w:val="center"/>
                </w:tcPr>
                <w:p w14:paraId="02F677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951" w:type="pct"/>
                  <w:tcBorders>
                    <w:tl2br w:val="nil"/>
                    <w:tr2bl w:val="nil"/>
                  </w:tcBorders>
                  <w:noWrap w:val="0"/>
                  <w:vAlign w:val="center"/>
                </w:tcPr>
                <w:p w14:paraId="23D593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北厂界</w:t>
                  </w:r>
                </w:p>
              </w:tc>
              <w:tc>
                <w:tcPr>
                  <w:tcW w:w="1050" w:type="pct"/>
                  <w:tcBorders>
                    <w:tl2br w:val="nil"/>
                    <w:tr2bl w:val="nil"/>
                  </w:tcBorders>
                  <w:noWrap w:val="0"/>
                  <w:vAlign w:val="center"/>
                </w:tcPr>
                <w:p w14:paraId="47234A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54.5</w:t>
                  </w:r>
                </w:p>
              </w:tc>
              <w:tc>
                <w:tcPr>
                  <w:tcW w:w="1108" w:type="pct"/>
                  <w:tcBorders>
                    <w:tl2br w:val="nil"/>
                    <w:tr2bl w:val="nil"/>
                  </w:tcBorders>
                  <w:noWrap w:val="0"/>
                  <w:vAlign w:val="center"/>
                </w:tcPr>
                <w:p w14:paraId="7FFFB3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60</w:t>
                  </w:r>
                </w:p>
              </w:tc>
              <w:tc>
                <w:tcPr>
                  <w:tcW w:w="1091" w:type="pct"/>
                  <w:tcBorders>
                    <w:tl2br w:val="nil"/>
                    <w:tr2bl w:val="nil"/>
                  </w:tcBorders>
                  <w:noWrap w:val="0"/>
                  <w:vAlign w:val="center"/>
                </w:tcPr>
                <w:p w14:paraId="44E324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达标</w:t>
                  </w:r>
                </w:p>
              </w:tc>
            </w:tr>
          </w:tbl>
          <w:p w14:paraId="4903C61D">
            <w:pPr>
              <w:pStyle w:val="18"/>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firstLine="422" w:firstLineChars="200"/>
              <w:textAlignment w:val="auto"/>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注：本项目夜间不进行生产。</w:t>
            </w:r>
          </w:p>
          <w:p w14:paraId="197A2631">
            <w:pPr>
              <w:pStyle w:val="18"/>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firstLine="480" w:firstLineChars="200"/>
              <w:textAlignment w:val="auto"/>
              <w:rPr>
                <w:rFonts w:hint="eastAsia" w:cs="Times New Roman"/>
                <w:bCs/>
                <w:snapToGrid w:val="0"/>
                <w:color w:val="auto"/>
                <w:sz w:val="24"/>
                <w:highlight w:val="none"/>
                <w:lang w:eastAsia="zh-CN"/>
              </w:rPr>
            </w:pPr>
            <w:r>
              <w:rPr>
                <w:rFonts w:hint="default"/>
                <w:color w:val="auto"/>
                <w:sz w:val="24"/>
                <w:highlight w:val="none"/>
              </w:rPr>
              <w:t>根据预测，通过厂房隔声等措施后，噪声源对厂界的</w:t>
            </w:r>
            <w:r>
              <w:rPr>
                <w:rFonts w:hint="eastAsia"/>
                <w:color w:val="auto"/>
                <w:sz w:val="24"/>
                <w:highlight w:val="none"/>
              </w:rPr>
              <w:t>预测</w:t>
            </w:r>
            <w:r>
              <w:rPr>
                <w:rFonts w:hint="default"/>
                <w:color w:val="auto"/>
                <w:sz w:val="24"/>
                <w:highlight w:val="none"/>
              </w:rPr>
              <w:t>值能达到《工业企业厂界环境噪声排放标准》（GB12348-2008）中的3类标准：昼间≤65dB（A）</w:t>
            </w:r>
            <w:r>
              <w:rPr>
                <w:rFonts w:hint="eastAsia"/>
                <w:color w:val="auto"/>
                <w:sz w:val="24"/>
                <w:highlight w:val="none"/>
              </w:rPr>
              <w:t>。综上，</w:t>
            </w:r>
            <w:r>
              <w:rPr>
                <w:rFonts w:hint="eastAsia"/>
                <w:color w:val="auto"/>
                <w:sz w:val="24"/>
                <w:highlight w:val="none"/>
                <w:lang w:eastAsia="zh-CN"/>
              </w:rPr>
              <w:t>全厂</w:t>
            </w:r>
            <w:r>
              <w:rPr>
                <w:rFonts w:hint="eastAsia"/>
                <w:color w:val="auto"/>
                <w:sz w:val="24"/>
                <w:highlight w:val="none"/>
              </w:rPr>
              <w:t>产生的噪声对周围声环境影响较小，噪声防治措施可行</w:t>
            </w:r>
            <w:r>
              <w:rPr>
                <w:rFonts w:hint="default" w:ascii="Times New Roman" w:hAnsi="Times New Roman" w:cs="Times New Roman"/>
                <w:bCs/>
                <w:snapToGrid w:val="0"/>
                <w:color w:val="auto"/>
                <w:sz w:val="24"/>
                <w:highlight w:val="none"/>
              </w:rPr>
              <w:t>。</w:t>
            </w:r>
          </w:p>
          <w:p w14:paraId="364E6F49">
            <w:pPr>
              <w:keepNext w:val="0"/>
              <w:keepLines w:val="0"/>
              <w:suppressLineNumbers w:val="0"/>
              <w:autoSpaceDE w:val="0"/>
              <w:adjustRightInd/>
              <w:snapToGrid/>
              <w:spacing w:before="0" w:beforeAutospacing="0" w:after="0" w:afterAutospacing="0"/>
              <w:ind w:left="420" w:leftChars="200" w:right="0"/>
              <w:jc w:val="left"/>
              <w:rPr>
                <w:rFonts w:hint="default"/>
                <w:b/>
                <w:bCs/>
                <w:color w:val="auto"/>
                <w:highlight w:val="none"/>
              </w:rPr>
            </w:pPr>
            <w:r>
              <w:rPr>
                <w:rFonts w:hint="default"/>
                <w:b/>
                <w:bCs/>
                <w:color w:val="auto"/>
                <w:highlight w:val="none"/>
              </w:rPr>
              <w:t>（</w:t>
            </w:r>
            <w:r>
              <w:rPr>
                <w:rFonts w:hint="eastAsia"/>
                <w:b/>
                <w:bCs/>
                <w:color w:val="auto"/>
                <w:highlight w:val="none"/>
                <w:lang w:val="en-US" w:eastAsia="zh-CN"/>
              </w:rPr>
              <w:t>4</w:t>
            </w:r>
            <w:r>
              <w:rPr>
                <w:rFonts w:hint="default"/>
                <w:b/>
                <w:bCs/>
                <w:color w:val="auto"/>
                <w:highlight w:val="none"/>
              </w:rPr>
              <w:t>）噪声污染源监测计划</w:t>
            </w:r>
          </w:p>
          <w:p w14:paraId="5335F5C6">
            <w:pPr>
              <w:pStyle w:val="50"/>
              <w:keepNext w:val="0"/>
              <w:keepLines w:val="0"/>
              <w:suppressLineNumbers w:val="0"/>
              <w:spacing w:before="0" w:beforeAutospacing="0" w:after="0" w:afterAutospacing="0"/>
              <w:ind w:left="0" w:right="0" w:firstLine="480"/>
              <w:rPr>
                <w:rFonts w:hint="default"/>
                <w:color w:val="auto"/>
                <w:szCs w:val="24"/>
              </w:rPr>
            </w:pPr>
            <w:r>
              <w:rPr>
                <w:rFonts w:hint="default"/>
                <w:color w:val="auto"/>
                <w:szCs w:val="24"/>
              </w:rPr>
              <w:t>根据《</w:t>
            </w:r>
            <w:r>
              <w:rPr>
                <w:rFonts w:hint="eastAsia"/>
                <w:color w:val="auto"/>
                <w:szCs w:val="24"/>
              </w:rPr>
              <w:t>排污单位自行监测技术指南</w:t>
            </w:r>
            <w:r>
              <w:rPr>
                <w:rFonts w:hint="eastAsia"/>
                <w:color w:val="auto"/>
                <w:szCs w:val="24"/>
                <w:lang w:val="en-US" w:eastAsia="zh-CN"/>
              </w:rPr>
              <w:t xml:space="preserve"> </w:t>
            </w:r>
            <w:r>
              <w:rPr>
                <w:rFonts w:hint="eastAsia"/>
                <w:color w:val="auto"/>
                <w:szCs w:val="24"/>
              </w:rPr>
              <w:t>总则</w:t>
            </w:r>
            <w:r>
              <w:rPr>
                <w:rFonts w:hint="default"/>
                <w:color w:val="auto"/>
                <w:szCs w:val="24"/>
              </w:rPr>
              <w:t>》（HJ</w:t>
            </w:r>
            <w:r>
              <w:rPr>
                <w:rFonts w:hint="eastAsia"/>
                <w:color w:val="auto"/>
                <w:szCs w:val="24"/>
              </w:rPr>
              <w:t>819-2017</w:t>
            </w:r>
            <w:r>
              <w:rPr>
                <w:rFonts w:hint="default"/>
                <w:color w:val="auto"/>
                <w:szCs w:val="24"/>
              </w:rPr>
              <w:t>）</w:t>
            </w:r>
            <w:r>
              <w:rPr>
                <w:rFonts w:hint="eastAsia"/>
                <w:color w:val="auto"/>
                <w:szCs w:val="24"/>
              </w:rPr>
              <w:t>5.4厂界环境噪声监测</w:t>
            </w:r>
            <w:r>
              <w:rPr>
                <w:rFonts w:hint="default"/>
                <w:color w:val="auto"/>
                <w:szCs w:val="24"/>
              </w:rPr>
              <w:t>，厂界噪声最低监测频次为季度，厂界噪声监测频次为一季度开展</w:t>
            </w:r>
            <w:r>
              <w:rPr>
                <w:rFonts w:hint="eastAsia"/>
                <w:color w:val="auto"/>
                <w:szCs w:val="24"/>
              </w:rPr>
              <w:t>一次，进行昼</w:t>
            </w:r>
            <w:r>
              <w:rPr>
                <w:rFonts w:hint="eastAsia"/>
                <w:color w:val="auto"/>
                <w:szCs w:val="24"/>
                <w:lang w:val="en-US" w:eastAsia="zh-CN"/>
              </w:rPr>
              <w:t>间</w:t>
            </w:r>
            <w:r>
              <w:rPr>
                <w:rFonts w:hint="eastAsia"/>
                <w:color w:val="auto"/>
                <w:szCs w:val="24"/>
              </w:rPr>
              <w:t>监测</w:t>
            </w:r>
            <w:r>
              <w:rPr>
                <w:rFonts w:hint="default"/>
                <w:color w:val="auto"/>
                <w:szCs w:val="24"/>
              </w:rPr>
              <w:t>。</w:t>
            </w:r>
          </w:p>
          <w:p w14:paraId="6C257BDD">
            <w:pPr>
              <w:keepNext w:val="0"/>
              <w:keepLines w:val="0"/>
              <w:suppressLineNumbers w:val="0"/>
              <w:spacing w:before="0" w:beforeAutospacing="0" w:after="0" w:afterAutospacing="0" w:line="240" w:lineRule="auto"/>
              <w:ind w:left="0" w:right="0"/>
              <w:jc w:val="center"/>
              <w:rPr>
                <w:rFonts w:hint="default"/>
                <w:b/>
                <w:color w:val="auto"/>
                <w:highlight w:val="none"/>
              </w:rPr>
            </w:pPr>
            <w:r>
              <w:rPr>
                <w:rFonts w:hint="default"/>
                <w:b/>
                <w:color w:val="auto"/>
                <w:highlight w:val="none"/>
              </w:rPr>
              <w:t>表4-</w:t>
            </w:r>
            <w:r>
              <w:rPr>
                <w:rFonts w:hint="eastAsia"/>
                <w:b/>
                <w:color w:val="auto"/>
                <w:highlight w:val="none"/>
                <w:lang w:val="en-US" w:eastAsia="zh-CN"/>
              </w:rPr>
              <w:t>8</w:t>
            </w:r>
            <w:r>
              <w:rPr>
                <w:rFonts w:hint="default"/>
                <w:b/>
                <w:color w:val="auto"/>
                <w:highlight w:val="none"/>
              </w:rPr>
              <w:t xml:space="preserve">  监测计划表</w:t>
            </w:r>
          </w:p>
          <w:tbl>
            <w:tblPr>
              <w:tblStyle w:val="25"/>
              <w:tblW w:w="4995"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
            <w:tblGrid>
              <w:gridCol w:w="1880"/>
              <w:gridCol w:w="2402"/>
              <w:gridCol w:w="2003"/>
              <w:gridCol w:w="2179"/>
              <w:gridCol w:w="5137"/>
            </w:tblGrid>
            <w:tr w14:paraId="18DCA39E">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PrEx>
              <w:trPr>
                <w:cantSplit/>
                <w:trHeight w:val="230" w:hRule="atLeast"/>
                <w:jc w:val="center"/>
              </w:trPr>
              <w:tc>
                <w:tcPr>
                  <w:tcW w:w="691" w:type="pct"/>
                  <w:noWrap w:val="0"/>
                  <w:vAlign w:val="center"/>
                </w:tcPr>
                <w:p w14:paraId="1F98C09D">
                  <w:pPr>
                    <w:keepNext w:val="0"/>
                    <w:keepLines w:val="0"/>
                    <w:suppressLineNumbers w:val="0"/>
                    <w:spacing w:before="0" w:beforeAutospacing="0" w:after="0" w:afterAutospacing="0" w:line="240" w:lineRule="auto"/>
                    <w:ind w:left="0" w:right="0"/>
                    <w:jc w:val="center"/>
                    <w:rPr>
                      <w:rFonts w:hint="default"/>
                      <w:b/>
                      <w:color w:val="auto"/>
                      <w:sz w:val="21"/>
                      <w:szCs w:val="21"/>
                      <w:highlight w:val="none"/>
                    </w:rPr>
                  </w:pPr>
                  <w:r>
                    <w:rPr>
                      <w:rFonts w:hint="default"/>
                      <w:b/>
                      <w:color w:val="auto"/>
                      <w:sz w:val="21"/>
                      <w:szCs w:val="21"/>
                      <w:highlight w:val="none"/>
                    </w:rPr>
                    <w:t>监测项目</w:t>
                  </w:r>
                </w:p>
              </w:tc>
              <w:tc>
                <w:tcPr>
                  <w:tcW w:w="883" w:type="pct"/>
                  <w:noWrap w:val="0"/>
                  <w:vAlign w:val="center"/>
                </w:tcPr>
                <w:p w14:paraId="081C9A68">
                  <w:pPr>
                    <w:keepNext w:val="0"/>
                    <w:keepLines w:val="0"/>
                    <w:suppressLineNumbers w:val="0"/>
                    <w:spacing w:before="0" w:beforeAutospacing="0" w:after="0" w:afterAutospacing="0" w:line="240" w:lineRule="auto"/>
                    <w:ind w:left="0" w:right="0"/>
                    <w:jc w:val="center"/>
                    <w:rPr>
                      <w:rFonts w:hint="default"/>
                      <w:b/>
                      <w:color w:val="auto"/>
                      <w:sz w:val="21"/>
                      <w:szCs w:val="21"/>
                      <w:highlight w:val="none"/>
                    </w:rPr>
                  </w:pPr>
                  <w:r>
                    <w:rPr>
                      <w:rFonts w:hint="default"/>
                      <w:b/>
                      <w:color w:val="auto"/>
                      <w:sz w:val="21"/>
                      <w:szCs w:val="21"/>
                      <w:highlight w:val="none"/>
                    </w:rPr>
                    <w:t>点位/断面</w:t>
                  </w:r>
                </w:p>
              </w:tc>
              <w:tc>
                <w:tcPr>
                  <w:tcW w:w="736" w:type="pct"/>
                  <w:noWrap w:val="0"/>
                  <w:vAlign w:val="center"/>
                </w:tcPr>
                <w:p w14:paraId="0899A037">
                  <w:pPr>
                    <w:keepNext w:val="0"/>
                    <w:keepLines w:val="0"/>
                    <w:suppressLineNumbers w:val="0"/>
                    <w:spacing w:before="0" w:beforeAutospacing="0" w:after="0" w:afterAutospacing="0" w:line="240" w:lineRule="auto"/>
                    <w:ind w:left="0" w:right="0"/>
                    <w:jc w:val="center"/>
                    <w:rPr>
                      <w:rFonts w:hint="default"/>
                      <w:b/>
                      <w:color w:val="auto"/>
                      <w:sz w:val="21"/>
                      <w:szCs w:val="21"/>
                      <w:highlight w:val="none"/>
                    </w:rPr>
                  </w:pPr>
                  <w:r>
                    <w:rPr>
                      <w:rFonts w:hint="default"/>
                      <w:b/>
                      <w:color w:val="auto"/>
                      <w:sz w:val="21"/>
                      <w:szCs w:val="21"/>
                      <w:highlight w:val="none"/>
                    </w:rPr>
                    <w:t>监测指标</w:t>
                  </w:r>
                </w:p>
              </w:tc>
              <w:tc>
                <w:tcPr>
                  <w:tcW w:w="801" w:type="pct"/>
                  <w:noWrap w:val="0"/>
                  <w:vAlign w:val="center"/>
                </w:tcPr>
                <w:p w14:paraId="217CCB50">
                  <w:pPr>
                    <w:keepNext w:val="0"/>
                    <w:keepLines w:val="0"/>
                    <w:suppressLineNumbers w:val="0"/>
                    <w:spacing w:before="0" w:beforeAutospacing="0" w:after="0" w:afterAutospacing="0" w:line="240" w:lineRule="auto"/>
                    <w:ind w:left="0" w:right="0"/>
                    <w:jc w:val="center"/>
                    <w:rPr>
                      <w:rFonts w:hint="default"/>
                      <w:b/>
                      <w:color w:val="auto"/>
                      <w:sz w:val="21"/>
                      <w:szCs w:val="21"/>
                      <w:highlight w:val="none"/>
                    </w:rPr>
                  </w:pPr>
                  <w:r>
                    <w:rPr>
                      <w:rFonts w:hint="default"/>
                      <w:b/>
                      <w:color w:val="auto"/>
                      <w:sz w:val="21"/>
                      <w:szCs w:val="21"/>
                      <w:highlight w:val="none"/>
                    </w:rPr>
                    <w:t>监测频次</w:t>
                  </w:r>
                </w:p>
              </w:tc>
              <w:tc>
                <w:tcPr>
                  <w:tcW w:w="1888" w:type="pct"/>
                  <w:noWrap w:val="0"/>
                  <w:vAlign w:val="center"/>
                </w:tcPr>
                <w:p w14:paraId="7AA8821F">
                  <w:pPr>
                    <w:keepNext w:val="0"/>
                    <w:keepLines w:val="0"/>
                    <w:suppressLineNumbers w:val="0"/>
                    <w:spacing w:before="0" w:beforeAutospacing="0" w:after="0" w:afterAutospacing="0" w:line="240" w:lineRule="auto"/>
                    <w:ind w:left="0" w:right="0"/>
                    <w:jc w:val="center"/>
                    <w:rPr>
                      <w:rFonts w:hint="default"/>
                      <w:b/>
                      <w:color w:val="auto"/>
                      <w:sz w:val="21"/>
                      <w:szCs w:val="21"/>
                      <w:highlight w:val="none"/>
                    </w:rPr>
                  </w:pPr>
                  <w:r>
                    <w:rPr>
                      <w:rFonts w:hint="default"/>
                      <w:b/>
                      <w:color w:val="auto"/>
                      <w:sz w:val="21"/>
                      <w:szCs w:val="21"/>
                      <w:highlight w:val="none"/>
                    </w:rPr>
                    <w:t>执行排放标准</w:t>
                  </w:r>
                </w:p>
              </w:tc>
            </w:tr>
            <w:tr w14:paraId="2B9A4D9E">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691" w:type="pct"/>
                  <w:noWrap w:val="0"/>
                  <w:vAlign w:val="center"/>
                </w:tcPr>
                <w:p w14:paraId="78CA3F99">
                  <w:pPr>
                    <w:keepNext w:val="0"/>
                    <w:keepLines w:val="0"/>
                    <w:suppressLineNumbers w:val="0"/>
                    <w:spacing w:before="0" w:beforeAutospacing="0" w:after="0" w:afterAutospacing="0" w:line="240" w:lineRule="auto"/>
                    <w:ind w:left="0" w:right="0"/>
                    <w:jc w:val="center"/>
                    <w:rPr>
                      <w:rFonts w:hint="default"/>
                      <w:color w:val="auto"/>
                      <w:sz w:val="21"/>
                      <w:szCs w:val="21"/>
                      <w:highlight w:val="none"/>
                    </w:rPr>
                  </w:pPr>
                  <w:r>
                    <w:rPr>
                      <w:rFonts w:hint="default"/>
                      <w:color w:val="auto"/>
                      <w:sz w:val="21"/>
                      <w:szCs w:val="21"/>
                      <w:highlight w:val="none"/>
                    </w:rPr>
                    <w:t>噪声</w:t>
                  </w:r>
                </w:p>
              </w:tc>
              <w:tc>
                <w:tcPr>
                  <w:tcW w:w="883" w:type="pct"/>
                  <w:noWrap w:val="0"/>
                  <w:vAlign w:val="center"/>
                </w:tcPr>
                <w:p w14:paraId="01D7786F">
                  <w:pPr>
                    <w:keepNext w:val="0"/>
                    <w:keepLines w:val="0"/>
                    <w:suppressLineNumbers w:val="0"/>
                    <w:spacing w:before="0" w:beforeAutospacing="0" w:after="0" w:afterAutospacing="0" w:line="240" w:lineRule="auto"/>
                    <w:ind w:left="0" w:right="0"/>
                    <w:jc w:val="center"/>
                    <w:rPr>
                      <w:rFonts w:hint="default"/>
                      <w:color w:val="auto"/>
                      <w:sz w:val="21"/>
                      <w:szCs w:val="21"/>
                      <w:highlight w:val="none"/>
                    </w:rPr>
                  </w:pPr>
                  <w:r>
                    <w:rPr>
                      <w:rFonts w:hint="default"/>
                      <w:color w:val="auto"/>
                      <w:sz w:val="21"/>
                      <w:szCs w:val="21"/>
                      <w:highlight w:val="none"/>
                    </w:rPr>
                    <w:t>东、南、西、北各厂界</w:t>
                  </w:r>
                </w:p>
              </w:tc>
              <w:tc>
                <w:tcPr>
                  <w:tcW w:w="736" w:type="pct"/>
                  <w:noWrap w:val="0"/>
                  <w:vAlign w:val="center"/>
                </w:tcPr>
                <w:p w14:paraId="4A97454D">
                  <w:pPr>
                    <w:keepNext w:val="0"/>
                    <w:keepLines w:val="0"/>
                    <w:suppressLineNumbers w:val="0"/>
                    <w:spacing w:before="0" w:beforeAutospacing="0" w:after="0" w:afterAutospacing="0" w:line="240" w:lineRule="auto"/>
                    <w:ind w:left="0" w:right="0"/>
                    <w:jc w:val="center"/>
                    <w:rPr>
                      <w:rFonts w:hint="default"/>
                      <w:color w:val="auto"/>
                      <w:sz w:val="21"/>
                      <w:szCs w:val="21"/>
                      <w:highlight w:val="none"/>
                    </w:rPr>
                  </w:pPr>
                  <w:r>
                    <w:rPr>
                      <w:rFonts w:hint="default"/>
                      <w:color w:val="auto"/>
                      <w:sz w:val="21"/>
                      <w:szCs w:val="21"/>
                      <w:highlight w:val="none"/>
                    </w:rPr>
                    <w:t>连续等效A声级</w:t>
                  </w:r>
                </w:p>
              </w:tc>
              <w:tc>
                <w:tcPr>
                  <w:tcW w:w="801" w:type="pct"/>
                  <w:noWrap w:val="0"/>
                  <w:vAlign w:val="center"/>
                </w:tcPr>
                <w:p w14:paraId="0EC6405F">
                  <w:pPr>
                    <w:keepNext w:val="0"/>
                    <w:keepLines w:val="0"/>
                    <w:suppressLineNumbers w:val="0"/>
                    <w:spacing w:before="0" w:beforeAutospacing="0" w:after="0" w:afterAutospacing="0" w:line="240" w:lineRule="auto"/>
                    <w:ind w:left="0" w:right="0"/>
                    <w:jc w:val="center"/>
                    <w:rPr>
                      <w:rFonts w:hint="eastAsia" w:eastAsia="宋体"/>
                      <w:color w:val="auto"/>
                      <w:sz w:val="21"/>
                      <w:szCs w:val="21"/>
                      <w:highlight w:val="none"/>
                      <w:lang w:eastAsia="zh-CN"/>
                    </w:rPr>
                  </w:pPr>
                  <w:r>
                    <w:rPr>
                      <w:rFonts w:hint="default"/>
                      <w:color w:val="auto"/>
                      <w:sz w:val="21"/>
                      <w:szCs w:val="21"/>
                      <w:highlight w:val="none"/>
                    </w:rPr>
                    <w:t>1次/1季度</w:t>
                  </w:r>
                  <w:r>
                    <w:rPr>
                      <w:rFonts w:hint="eastAsia"/>
                      <w:color w:val="auto"/>
                      <w:sz w:val="21"/>
                      <w:szCs w:val="21"/>
                      <w:highlight w:val="none"/>
                      <w:lang w:eastAsia="zh-CN"/>
                    </w:rPr>
                    <w:t>昼间</w:t>
                  </w:r>
                </w:p>
              </w:tc>
              <w:tc>
                <w:tcPr>
                  <w:tcW w:w="1888" w:type="pct"/>
                  <w:noWrap w:val="0"/>
                  <w:vAlign w:val="center"/>
                </w:tcPr>
                <w:p w14:paraId="488BF658">
                  <w:pPr>
                    <w:keepNext w:val="0"/>
                    <w:keepLines w:val="0"/>
                    <w:suppressLineNumbers w:val="0"/>
                    <w:spacing w:before="0" w:beforeAutospacing="0" w:after="0" w:afterAutospacing="0" w:line="240" w:lineRule="auto"/>
                    <w:ind w:left="0" w:right="0"/>
                    <w:jc w:val="center"/>
                    <w:rPr>
                      <w:rFonts w:hint="default"/>
                      <w:color w:val="auto"/>
                      <w:sz w:val="21"/>
                      <w:szCs w:val="21"/>
                      <w:highlight w:val="none"/>
                    </w:rPr>
                  </w:pPr>
                  <w:r>
                    <w:rPr>
                      <w:rFonts w:hint="default"/>
                      <w:color w:val="auto"/>
                      <w:sz w:val="21"/>
                      <w:szCs w:val="21"/>
                      <w:highlight w:val="none"/>
                    </w:rPr>
                    <w:t>《工业企业厂界环境噪声排放标准》（GB12348-2008）</w:t>
                  </w:r>
                  <w:r>
                    <w:rPr>
                      <w:rFonts w:hint="eastAsia"/>
                      <w:color w:val="auto"/>
                      <w:sz w:val="21"/>
                      <w:szCs w:val="21"/>
                      <w:highlight w:val="none"/>
                      <w:lang w:val="en-US" w:eastAsia="zh-CN"/>
                    </w:rPr>
                    <w:t>2</w:t>
                  </w:r>
                  <w:r>
                    <w:rPr>
                      <w:rFonts w:hint="default"/>
                      <w:color w:val="auto"/>
                      <w:sz w:val="21"/>
                      <w:szCs w:val="21"/>
                      <w:highlight w:val="none"/>
                    </w:rPr>
                    <w:t>类标准</w:t>
                  </w:r>
                </w:p>
              </w:tc>
            </w:tr>
          </w:tbl>
          <w:p w14:paraId="5E861B6D">
            <w:pPr>
              <w:pStyle w:val="13"/>
              <w:keepNext w:val="0"/>
              <w:keepLines w:val="0"/>
              <w:numPr>
                <w:ilvl w:val="0"/>
                <w:numId w:val="0"/>
              </w:numPr>
              <w:suppressLineNumbers w:val="0"/>
              <w:tabs>
                <w:tab w:val="clear" w:pos="2040"/>
              </w:tabs>
              <w:spacing w:before="0" w:beforeAutospacing="0" w:after="0" w:afterAutospacing="0"/>
              <w:ind w:left="0" w:right="0"/>
              <w:rPr>
                <w:rFonts w:hint="eastAsia" w:ascii="Times New Roman" w:hAnsi="Times New Roman" w:eastAsia="宋体"/>
                <w:color w:val="auto"/>
                <w:sz w:val="24"/>
                <w:highlight w:val="none"/>
              </w:rPr>
            </w:pPr>
          </w:p>
        </w:tc>
      </w:tr>
    </w:tbl>
    <w:p w14:paraId="3C5EE742">
      <w:pPr>
        <w:pStyle w:val="13"/>
        <w:numPr>
          <w:ilvl w:val="0"/>
          <w:numId w:val="0"/>
        </w:numPr>
        <w:tabs>
          <w:tab w:val="clear" w:pos="2040"/>
        </w:tabs>
        <w:rPr>
          <w:rFonts w:ascii="Times New Roman" w:hAnsi="Times New Roman" w:eastAsia="宋体"/>
          <w:color w:val="auto"/>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6"/>
        <w:tblW w:w="93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923"/>
      </w:tblGrid>
      <w:tr w14:paraId="458E4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3" w:hRule="atLeast"/>
        </w:trPr>
        <w:tc>
          <w:tcPr>
            <w:tcW w:w="426" w:type="dxa"/>
            <w:vAlign w:val="center"/>
          </w:tcPr>
          <w:p w14:paraId="6F066915">
            <w:pPr>
              <w:pStyle w:val="13"/>
              <w:keepNext w:val="0"/>
              <w:keepLines w:val="0"/>
              <w:numPr>
                <w:ilvl w:val="0"/>
                <w:numId w:val="0"/>
              </w:numPr>
              <w:suppressLineNumbers w:val="0"/>
              <w:tabs>
                <w:tab w:val="clear" w:pos="2040"/>
              </w:tabs>
              <w:spacing w:before="0" w:beforeAutospacing="0" w:after="0" w:afterAutospacing="0"/>
              <w:ind w:left="0" w:right="0"/>
              <w:jc w:val="center"/>
              <w:rPr>
                <w:rFonts w:hint="default" w:ascii="Times New Roman" w:hAnsi="Times New Roman" w:eastAsia="宋体"/>
                <w:color w:val="auto"/>
                <w:vertAlign w:val="baseline"/>
              </w:rPr>
            </w:pPr>
            <w:r>
              <w:rPr>
                <w:rFonts w:hint="default" w:ascii="Times New Roman" w:hAnsi="Times New Roman" w:eastAsia="宋体"/>
                <w:color w:val="auto"/>
                <w:vertAlign w:val="baseline"/>
              </w:rPr>
              <w:t>运营</w:t>
            </w:r>
          </w:p>
          <w:p w14:paraId="01AB4F18">
            <w:pPr>
              <w:pStyle w:val="13"/>
              <w:keepNext w:val="0"/>
              <w:keepLines w:val="0"/>
              <w:numPr>
                <w:ilvl w:val="0"/>
                <w:numId w:val="0"/>
              </w:numPr>
              <w:suppressLineNumbers w:val="0"/>
              <w:tabs>
                <w:tab w:val="clear" w:pos="2040"/>
              </w:tabs>
              <w:spacing w:before="0" w:beforeAutospacing="0" w:after="0" w:afterAutospacing="0"/>
              <w:ind w:left="0" w:right="0"/>
              <w:jc w:val="center"/>
              <w:rPr>
                <w:rFonts w:hint="default" w:ascii="Times New Roman" w:hAnsi="Times New Roman" w:eastAsia="宋体"/>
                <w:color w:val="auto"/>
                <w:vertAlign w:val="baseline"/>
              </w:rPr>
            </w:pPr>
            <w:r>
              <w:rPr>
                <w:rFonts w:hint="default" w:ascii="Times New Roman" w:hAnsi="Times New Roman" w:eastAsia="宋体"/>
                <w:color w:val="auto"/>
                <w:vertAlign w:val="baseline"/>
              </w:rPr>
              <w:t>期环</w:t>
            </w:r>
          </w:p>
          <w:p w14:paraId="22052192">
            <w:pPr>
              <w:pStyle w:val="13"/>
              <w:keepNext w:val="0"/>
              <w:keepLines w:val="0"/>
              <w:numPr>
                <w:ilvl w:val="0"/>
                <w:numId w:val="0"/>
              </w:numPr>
              <w:suppressLineNumbers w:val="0"/>
              <w:tabs>
                <w:tab w:val="clear" w:pos="2040"/>
              </w:tabs>
              <w:spacing w:before="0" w:beforeAutospacing="0" w:after="0" w:afterAutospacing="0"/>
              <w:ind w:left="0" w:right="0"/>
              <w:jc w:val="center"/>
              <w:rPr>
                <w:rFonts w:hint="default" w:ascii="Times New Roman" w:hAnsi="Times New Roman" w:eastAsia="宋体"/>
                <w:color w:val="auto"/>
                <w:vertAlign w:val="baseline"/>
              </w:rPr>
            </w:pPr>
            <w:r>
              <w:rPr>
                <w:rFonts w:hint="default" w:ascii="Times New Roman" w:hAnsi="Times New Roman" w:eastAsia="宋体"/>
                <w:color w:val="auto"/>
                <w:vertAlign w:val="baseline"/>
              </w:rPr>
              <w:t>境影</w:t>
            </w:r>
          </w:p>
          <w:p w14:paraId="0F11F6D4">
            <w:pPr>
              <w:pStyle w:val="13"/>
              <w:keepNext w:val="0"/>
              <w:keepLines w:val="0"/>
              <w:numPr>
                <w:ilvl w:val="0"/>
                <w:numId w:val="0"/>
              </w:numPr>
              <w:suppressLineNumbers w:val="0"/>
              <w:tabs>
                <w:tab w:val="clear" w:pos="2040"/>
              </w:tabs>
              <w:spacing w:before="0" w:beforeAutospacing="0" w:after="0" w:afterAutospacing="0"/>
              <w:ind w:left="0" w:right="0"/>
              <w:jc w:val="center"/>
              <w:rPr>
                <w:rFonts w:hint="default" w:ascii="Times New Roman" w:hAnsi="Times New Roman" w:eastAsia="宋体"/>
                <w:color w:val="auto"/>
                <w:vertAlign w:val="baseline"/>
              </w:rPr>
            </w:pPr>
            <w:r>
              <w:rPr>
                <w:rFonts w:hint="default" w:ascii="Times New Roman" w:hAnsi="Times New Roman" w:eastAsia="宋体"/>
                <w:color w:val="auto"/>
                <w:vertAlign w:val="baseline"/>
              </w:rPr>
              <w:t>响和</w:t>
            </w:r>
          </w:p>
          <w:p w14:paraId="72F5FEE0">
            <w:pPr>
              <w:pStyle w:val="13"/>
              <w:keepNext w:val="0"/>
              <w:keepLines w:val="0"/>
              <w:numPr>
                <w:ilvl w:val="0"/>
                <w:numId w:val="0"/>
              </w:numPr>
              <w:suppressLineNumbers w:val="0"/>
              <w:tabs>
                <w:tab w:val="clear" w:pos="2040"/>
              </w:tabs>
              <w:spacing w:before="0" w:beforeAutospacing="0" w:after="0" w:afterAutospacing="0"/>
              <w:ind w:left="0" w:right="0"/>
              <w:jc w:val="center"/>
              <w:rPr>
                <w:rFonts w:hint="default" w:ascii="Times New Roman" w:hAnsi="Times New Roman" w:eastAsia="宋体"/>
                <w:color w:val="auto"/>
                <w:vertAlign w:val="baseline"/>
              </w:rPr>
            </w:pPr>
            <w:r>
              <w:rPr>
                <w:rFonts w:hint="default" w:ascii="Times New Roman" w:hAnsi="Times New Roman" w:eastAsia="宋体"/>
                <w:color w:val="auto"/>
                <w:vertAlign w:val="baseline"/>
              </w:rPr>
              <w:t>保护措施</w:t>
            </w:r>
          </w:p>
        </w:tc>
        <w:tc>
          <w:tcPr>
            <w:tcW w:w="8923" w:type="dxa"/>
          </w:tcPr>
          <w:p w14:paraId="0DF5C3CE">
            <w:pPr>
              <w:keepNext w:val="0"/>
              <w:keepLines w:val="0"/>
              <w:numPr>
                <w:ilvl w:val="0"/>
                <w:numId w:val="0"/>
              </w:numPr>
              <w:suppressLineNumbers w:val="0"/>
              <w:autoSpaceDE w:val="0"/>
              <w:spacing w:before="0" w:beforeAutospacing="0" w:after="0" w:afterAutospacing="0" w:line="360" w:lineRule="auto"/>
              <w:ind w:left="0" w:right="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kern w:val="2"/>
                <w:sz w:val="24"/>
                <w:szCs w:val="24"/>
                <w:lang w:val="en-US" w:eastAsia="zh-CN" w:bidi="ar-SA"/>
              </w:rPr>
              <w:t>4、</w:t>
            </w:r>
            <w:r>
              <w:rPr>
                <w:rFonts w:hint="default" w:ascii="Times New Roman" w:hAnsi="Times New Roman" w:eastAsia="宋体" w:cs="Times New Roman"/>
                <w:b/>
                <w:bCs/>
                <w:color w:val="auto"/>
                <w:sz w:val="24"/>
                <w:highlight w:val="none"/>
              </w:rPr>
              <w:t>固体废物</w:t>
            </w:r>
          </w:p>
          <w:p w14:paraId="258CA5B3">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本项目</w:t>
            </w:r>
            <w:r>
              <w:rPr>
                <w:rFonts w:hint="default" w:ascii="Times New Roman" w:hAnsi="Times New Roman" w:eastAsia="宋体" w:cs="Times New Roman"/>
                <w:b/>
                <w:bCs/>
                <w:color w:val="000000" w:themeColor="text1"/>
                <w:sz w:val="24"/>
                <w:highlight w:val="none"/>
                <w14:textFill>
                  <w14:solidFill>
                    <w14:schemeClr w14:val="tx1"/>
                  </w14:solidFill>
                </w14:textFill>
              </w:rPr>
              <w:t>固体废物产生情况</w:t>
            </w:r>
          </w:p>
          <w:p w14:paraId="2E44564B">
            <w:pPr>
              <w:keepNext w:val="0"/>
              <w:keepLines w:val="0"/>
              <w:pageBreakBefore w:val="0"/>
              <w:widowControl w:val="0"/>
              <w:numPr>
                <w:ilvl w:val="0"/>
                <w:numId w:val="0"/>
              </w:numPr>
              <w:suppressLineNumbers w:val="0"/>
              <w:tabs>
                <w:tab w:val="left" w:pos="0"/>
              </w:tabs>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highlight w:val="none"/>
                <w:lang w:val="en-US" w:eastAsia="zh-CN" w:bidi="ar-SA"/>
                <w14:textFill>
                  <w14:solidFill>
                    <w14:schemeClr w14:val="tx1"/>
                  </w14:solidFill>
                </w14:textFill>
              </w:rPr>
              <w:t>①</w:t>
            </w:r>
            <w:r>
              <w:rPr>
                <w:rFonts w:hint="eastAsia" w:cs="宋体"/>
                <w:b/>
                <w:bCs/>
                <w:color w:val="000000" w:themeColor="text1"/>
                <w:kern w:val="2"/>
                <w:sz w:val="24"/>
                <w:szCs w:val="24"/>
                <w:highlight w:val="none"/>
                <w:lang w:val="en-US" w:eastAsia="zh-CN" w:bidi="ar-SA"/>
                <w14:textFill>
                  <w14:solidFill>
                    <w14:schemeClr w14:val="tx1"/>
                  </w14:solidFill>
                </w14:textFill>
              </w:rPr>
              <w:t>实验废液：</w:t>
            </w:r>
            <w:r>
              <w:rPr>
                <w:rFonts w:hint="eastAsia" w:cs="宋体"/>
                <w:b w:val="0"/>
                <w:bCs w:val="0"/>
                <w:color w:val="000000" w:themeColor="text1"/>
                <w:kern w:val="2"/>
                <w:sz w:val="24"/>
                <w:szCs w:val="24"/>
                <w:highlight w:val="none"/>
                <w:lang w:val="en-US" w:eastAsia="zh-CN" w:bidi="ar-SA"/>
                <w14:textFill>
                  <w14:solidFill>
                    <w14:schemeClr w14:val="tx1"/>
                  </w14:solidFill>
                </w14:textFill>
              </w:rPr>
              <w:t>企业实验过程中产生实验废液，预计产生  t/a。</w:t>
            </w:r>
          </w:p>
          <w:p w14:paraId="66EA7A7E">
            <w:pPr>
              <w:keepNext w:val="0"/>
              <w:keepLines w:val="0"/>
              <w:pageBreakBefore w:val="0"/>
              <w:widowControl w:val="0"/>
              <w:numPr>
                <w:ilvl w:val="0"/>
                <w:numId w:val="0"/>
              </w:numPr>
              <w:suppressLineNumbers w:val="0"/>
              <w:tabs>
                <w:tab w:val="left" w:pos="0"/>
              </w:tabs>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highlight w:val="none"/>
                <w:lang w:val="en-US" w:eastAsia="zh-CN" w:bidi="ar-SA"/>
                <w14:textFill>
                  <w14:solidFill>
                    <w14:schemeClr w14:val="tx1"/>
                  </w14:solidFill>
                </w14:textFill>
              </w:rPr>
              <w:t>②废生物材料：</w:t>
            </w:r>
            <w:r>
              <w:rPr>
                <w:rFonts w:hint="eastAsia" w:cs="宋体"/>
                <w:b w:val="0"/>
                <w:bCs w:val="0"/>
                <w:color w:val="000000" w:themeColor="text1"/>
                <w:kern w:val="2"/>
                <w:sz w:val="24"/>
                <w:szCs w:val="24"/>
                <w:highlight w:val="none"/>
                <w:lang w:val="en-US" w:eastAsia="zh-CN" w:bidi="ar-SA"/>
                <w14:textFill>
                  <w14:solidFill>
                    <w14:schemeClr w14:val="tx1"/>
                  </w14:solidFill>
                </w14:textFill>
              </w:rPr>
              <w:t>企业实验过程中产生废生物材料，预计产生  t/a。</w:t>
            </w:r>
          </w:p>
          <w:p w14:paraId="6CE7B6D3">
            <w:pPr>
              <w:keepNext w:val="0"/>
              <w:keepLines w:val="0"/>
              <w:pageBreakBefore w:val="0"/>
              <w:widowControl w:val="0"/>
              <w:numPr>
                <w:ilvl w:val="0"/>
                <w:numId w:val="0"/>
              </w:numPr>
              <w:suppressLineNumbers w:val="0"/>
              <w:tabs>
                <w:tab w:val="left" w:pos="0"/>
              </w:tabs>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24"/>
                <w:highlight w:val="none"/>
                <w:lang w:val="en-US" w:eastAsia="zh-CN" w:bidi="ar-SA"/>
                <w14:textFill>
                  <w14:solidFill>
                    <w14:schemeClr w14:val="tx1"/>
                  </w14:solidFill>
                </w14:textFill>
              </w:rPr>
              <w:t>③废化学品包装：</w:t>
            </w:r>
            <w:r>
              <w:rPr>
                <w:rFonts w:hint="eastAsia" w:cs="宋体"/>
                <w:b w:val="0"/>
                <w:bCs w:val="0"/>
                <w:color w:val="000000" w:themeColor="text1"/>
                <w:kern w:val="2"/>
                <w:sz w:val="24"/>
                <w:szCs w:val="24"/>
                <w:highlight w:val="none"/>
                <w:lang w:val="en-US" w:eastAsia="zh-CN" w:bidi="ar-SA"/>
                <w14:textFill>
                  <w14:solidFill>
                    <w14:schemeClr w14:val="tx1"/>
                  </w14:solidFill>
                </w14:textFill>
              </w:rPr>
              <w:t>企业原材料储存过程中产生废化学品包装，预计产生  t/a。</w:t>
            </w:r>
          </w:p>
          <w:p w14:paraId="579E23EE">
            <w:pPr>
              <w:pStyle w:val="13"/>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ascii="Times New Roman" w:hAnsi="Times New Roman" w:eastAsia="宋体" w:cs="宋体"/>
                <w:b/>
                <w:bCs/>
                <w:color w:val="000000" w:themeColor="text1"/>
                <w:sz w:val="24"/>
                <w:highlight w:val="none"/>
                <w:lang w:val="en-US" w:eastAsia="zh-CN"/>
                <w14:textFill>
                  <w14:solidFill>
                    <w14:schemeClr w14:val="tx1"/>
                  </w14:solidFill>
                </w14:textFill>
              </w:rPr>
            </w:pPr>
            <w:r>
              <w:rPr>
                <w:rFonts w:hint="eastAsia" w:ascii="Times New Roman" w:hAnsi="Times New Roman" w:eastAsia="宋体" w:cs="宋体"/>
                <w:b/>
                <w:bCs/>
                <w:color w:val="000000" w:themeColor="text1"/>
                <w:sz w:val="24"/>
                <w:highlight w:val="none"/>
                <w:lang w:val="en-US" w:eastAsia="zh-CN"/>
                <w14:textFill>
                  <w14:solidFill>
                    <w14:schemeClr w14:val="tx1"/>
                  </w14:solidFill>
                </w14:textFill>
              </w:rPr>
              <w:t>④废实验耗材：</w:t>
            </w:r>
            <w:r>
              <w:rPr>
                <w:rFonts w:hint="eastAsia" w:cs="宋体"/>
                <w:b w:val="0"/>
                <w:bCs w:val="0"/>
                <w:color w:val="000000" w:themeColor="text1"/>
                <w:kern w:val="2"/>
                <w:sz w:val="24"/>
                <w:szCs w:val="24"/>
                <w:highlight w:val="none"/>
                <w:lang w:val="en-US" w:eastAsia="zh-CN" w:bidi="ar-SA"/>
                <w14:textFill>
                  <w14:solidFill>
                    <w14:schemeClr w14:val="tx1"/>
                  </w14:solidFill>
                </w14:textFill>
              </w:rPr>
              <w:t>企业实验过程中产生废实验耗材，预计产生  t/a。</w:t>
            </w:r>
          </w:p>
          <w:p w14:paraId="0BC89D83">
            <w:pPr>
              <w:pStyle w:val="13"/>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ascii="Times New Roman" w:hAnsi="Times New Roman" w:eastAsia="宋体" w:cs="Calibri"/>
                <w:b/>
                <w:bCs/>
                <w:color w:val="000000" w:themeColor="text1"/>
                <w:sz w:val="24"/>
                <w:highlight w:val="none"/>
                <w:lang w:val="en-US" w:eastAsia="zh-CN"/>
                <w14:textFill>
                  <w14:solidFill>
                    <w14:schemeClr w14:val="tx1"/>
                  </w14:solidFill>
                </w14:textFill>
              </w:rPr>
            </w:pPr>
            <w:r>
              <w:rPr>
                <w:rFonts w:hint="eastAsia" w:ascii="Times New Roman" w:hAnsi="Times New Roman" w:eastAsia="宋体" w:cs="Calibri"/>
                <w:b/>
                <w:bCs/>
                <w:color w:val="000000" w:themeColor="text1"/>
                <w:sz w:val="24"/>
                <w:highlight w:val="none"/>
                <w:lang w:val="en-US" w:eastAsia="zh-CN"/>
                <w14:textFill>
                  <w14:solidFill>
                    <w14:schemeClr w14:val="tx1"/>
                  </w14:solidFill>
                </w14:textFill>
              </w:rPr>
              <w:t>⑤生物安全柜废滤芯：</w:t>
            </w:r>
            <w:r>
              <w:rPr>
                <w:rFonts w:hint="eastAsia" w:cs="宋体"/>
                <w:b w:val="0"/>
                <w:bCs w:val="0"/>
                <w:color w:val="000000" w:themeColor="text1"/>
                <w:kern w:val="2"/>
                <w:sz w:val="24"/>
                <w:szCs w:val="24"/>
                <w:highlight w:val="none"/>
                <w:lang w:val="en-US" w:eastAsia="zh-CN" w:bidi="ar-SA"/>
                <w14:textFill>
                  <w14:solidFill>
                    <w14:schemeClr w14:val="tx1"/>
                  </w14:solidFill>
                </w14:textFill>
              </w:rPr>
              <w:t>企业生物安全柜设备维护过程中产生生物安全柜废滤芯，预计产生  t/a。</w:t>
            </w:r>
          </w:p>
          <w:p w14:paraId="3C76C35E">
            <w:pPr>
              <w:pStyle w:val="13"/>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Calibri"/>
                <w:b w:val="0"/>
                <w:bCs w:val="0"/>
                <w:color w:val="000000" w:themeColor="text1"/>
                <w:sz w:val="24"/>
                <w:highlight w:val="none"/>
                <w:lang w:val="en-US" w:eastAsia="zh-CN"/>
                <w14:textFill>
                  <w14:solidFill>
                    <w14:schemeClr w14:val="tx1"/>
                  </w14:solidFill>
                </w14:textFill>
              </w:rPr>
            </w:pPr>
            <w:r>
              <w:rPr>
                <w:rFonts w:hint="eastAsia" w:ascii="Times New Roman" w:hAnsi="Times New Roman" w:eastAsia="宋体" w:cs="Calibri"/>
                <w:b/>
                <w:bCs/>
                <w:color w:val="000000" w:themeColor="text1"/>
                <w:sz w:val="24"/>
                <w:highlight w:val="none"/>
                <w:lang w:val="en-US" w:eastAsia="zh-CN"/>
                <w14:textFill>
                  <w14:solidFill>
                    <w14:schemeClr w14:val="tx1"/>
                  </w14:solidFill>
                </w14:textFill>
              </w:rPr>
              <w:t>⑥纯水制备废滤芯：</w:t>
            </w:r>
            <w:r>
              <w:rPr>
                <w:rFonts w:hint="eastAsia" w:cs="Calibri"/>
                <w:b w:val="0"/>
                <w:bCs w:val="0"/>
                <w:color w:val="000000" w:themeColor="text1"/>
                <w:sz w:val="24"/>
                <w:highlight w:val="none"/>
                <w:lang w:val="en-US" w:eastAsia="zh-CN"/>
                <w14:textFill>
                  <w14:solidFill>
                    <w14:schemeClr w14:val="tx1"/>
                  </w14:solidFill>
                </w14:textFill>
              </w:rPr>
              <w:t>企业纯水制备设备维护过程中产生纯水制备废滤芯，预计产生  t/a。</w:t>
            </w:r>
          </w:p>
          <w:p w14:paraId="2556DB98">
            <w:pPr>
              <w:pStyle w:val="13"/>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宋体"/>
                <w:b/>
                <w:bCs/>
                <w:color w:val="000000" w:themeColor="text1"/>
                <w:sz w:val="24"/>
                <w:highlight w:val="none"/>
                <w:lang w:val="en-US" w:eastAsia="zh-CN"/>
                <w14:textFill>
                  <w14:solidFill>
                    <w14:schemeClr w14:val="tx1"/>
                  </w14:solidFill>
                </w14:textFill>
              </w:rPr>
            </w:pPr>
            <w:r>
              <w:rPr>
                <w:rFonts w:hint="eastAsia" w:ascii="Times New Roman" w:hAnsi="Times New Roman" w:eastAsia="宋体" w:cs="宋体"/>
                <w:b/>
                <w:bCs/>
                <w:color w:val="000000" w:themeColor="text1"/>
                <w:sz w:val="24"/>
                <w:highlight w:val="none"/>
                <w:lang w:val="en-US" w:eastAsia="zh-CN"/>
                <w14:textFill>
                  <w14:solidFill>
                    <w14:schemeClr w14:val="tx1"/>
                  </w14:solidFill>
                </w14:textFill>
              </w:rPr>
              <w:t>⑦蛋白纯化废滤芯：</w:t>
            </w:r>
            <w:r>
              <w:rPr>
                <w:rFonts w:hint="eastAsia" w:cs="Calibri"/>
                <w:b w:val="0"/>
                <w:bCs w:val="0"/>
                <w:color w:val="000000" w:themeColor="text1"/>
                <w:sz w:val="24"/>
                <w:highlight w:val="none"/>
                <w:lang w:val="en-US" w:eastAsia="zh-CN"/>
                <w14:textFill>
                  <w14:solidFill>
                    <w14:schemeClr w14:val="tx1"/>
                  </w14:solidFill>
                </w14:textFill>
              </w:rPr>
              <w:t>企业蛋白纯化过程中产生蛋白纯化废滤芯，预计产生  t/a。</w:t>
            </w:r>
          </w:p>
          <w:p w14:paraId="4CE5312E">
            <w:pPr>
              <w:pStyle w:val="13"/>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ascii="Times New Roman" w:hAnsi="Times New Roman" w:eastAsia="宋体"/>
                <w:color w:val="000000" w:themeColor="text1"/>
                <w:sz w:val="24"/>
                <w:highlight w:val="none"/>
                <w:lang w:val="en-US" w:eastAsia="zh-CN"/>
                <w14:textFill>
                  <w14:solidFill>
                    <w14:schemeClr w14:val="tx1"/>
                  </w14:solidFill>
                </w14:textFill>
              </w:rPr>
            </w:pPr>
            <w:r>
              <w:rPr>
                <w:rFonts w:hint="eastAsia" w:ascii="Times New Roman" w:hAnsi="Times New Roman" w:eastAsia="宋体" w:cs="宋体"/>
                <w:b/>
                <w:bCs/>
                <w:color w:val="000000" w:themeColor="text1"/>
                <w:sz w:val="24"/>
                <w:highlight w:val="none"/>
                <w:lang w:val="en-US" w:eastAsia="zh-CN"/>
                <w14:textFill>
                  <w14:solidFill>
                    <w14:schemeClr w14:val="tx1"/>
                  </w14:solidFill>
                </w14:textFill>
              </w:rPr>
              <w:t>⑧废活性炭：</w:t>
            </w:r>
            <w:r>
              <w:rPr>
                <w:rFonts w:hint="eastAsia" w:ascii="Times New Roman" w:hAnsi="Times New Roman" w:eastAsia="宋体"/>
                <w:color w:val="000000" w:themeColor="text1"/>
                <w:sz w:val="24"/>
                <w:szCs w:val="24"/>
                <w:highlight w:val="none"/>
                <w:lang w:eastAsia="zh-CN"/>
                <w14:textFill>
                  <w14:solidFill>
                    <w14:schemeClr w14:val="tx1"/>
                  </w14:solidFill>
                </w14:textFill>
              </w:rPr>
              <w:t>活性炭产生量</w:t>
            </w:r>
            <w:r>
              <w:rPr>
                <w:rFonts w:hint="eastAsia" w:ascii="Times New Roman" w:hAnsi="Times New Roman" w:eastAsia="宋体"/>
                <w:color w:val="000000" w:themeColor="text1"/>
                <w:sz w:val="24"/>
                <w:highlight w:val="none"/>
                <w:lang w:eastAsia="zh-CN"/>
                <w14:textFill>
                  <w14:solidFill>
                    <w14:schemeClr w14:val="tx1"/>
                  </w14:solidFill>
                </w14:textFill>
              </w:rPr>
              <w:t>根据《省生态环境厅关于将排污单位活性炭使用更换纳入排污许可管理的通知》（苏环办〔</w:t>
            </w:r>
            <w:r>
              <w:rPr>
                <w:rFonts w:hint="eastAsia" w:ascii="Times New Roman" w:hAnsi="Times New Roman" w:eastAsia="宋体"/>
                <w:color w:val="000000" w:themeColor="text1"/>
                <w:sz w:val="24"/>
                <w:highlight w:val="none"/>
                <w:lang w:val="en-US" w:eastAsia="zh-CN"/>
                <w14:textFill>
                  <w14:solidFill>
                    <w14:schemeClr w14:val="tx1"/>
                  </w14:solidFill>
                </w14:textFill>
              </w:rPr>
              <w:t>2021〕218号</w:t>
            </w:r>
            <w:r>
              <w:rPr>
                <w:rFonts w:hint="eastAsia" w:ascii="Times New Roman" w:hAnsi="Times New Roman" w:eastAsia="宋体"/>
                <w:color w:val="000000" w:themeColor="text1"/>
                <w:sz w:val="24"/>
                <w:highlight w:val="none"/>
                <w:lang w:eastAsia="zh-CN"/>
                <w14:textFill>
                  <w14:solidFill>
                    <w14:schemeClr w14:val="tx1"/>
                  </w14:solidFill>
                </w14:textFill>
              </w:rPr>
              <w:t>）计算，活性炭的动态吸附量约</w:t>
            </w:r>
            <w:r>
              <w:rPr>
                <w:rFonts w:hint="eastAsia" w:ascii="Times New Roman" w:hAnsi="Times New Roman" w:eastAsia="宋体"/>
                <w:color w:val="000000" w:themeColor="text1"/>
                <w:sz w:val="24"/>
                <w:highlight w:val="none"/>
                <w:lang w:val="en-US" w:eastAsia="zh-CN"/>
                <w14:textFill>
                  <w14:solidFill>
                    <w14:schemeClr w14:val="tx1"/>
                  </w14:solidFill>
                </w14:textFill>
              </w:rPr>
              <w:t>10%</w:t>
            </w:r>
            <w:r>
              <w:rPr>
                <w:rFonts w:hint="eastAsia" w:ascii="Times New Roman" w:hAnsi="Times New Roman" w:eastAsia="宋体"/>
                <w:color w:val="000000" w:themeColor="text1"/>
                <w:sz w:val="24"/>
                <w:highlight w:val="none"/>
                <w:lang w:eastAsia="zh-CN"/>
                <w14:textFill>
                  <w14:solidFill>
                    <w14:schemeClr w14:val="tx1"/>
                  </w14:solidFill>
                </w14:textFill>
              </w:rPr>
              <w:t>。</w:t>
            </w:r>
          </w:p>
          <w:p w14:paraId="010549FA">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textAlignment w:val="auto"/>
              <w:rPr>
                <w:rFonts w:hint="default" w:ascii="Times New Roman" w:hAnsi="Times New Roman" w:eastAsia="宋体"/>
                <w:color w:val="000000" w:themeColor="text1"/>
                <w:sz w:val="24"/>
                <w:highlight w:val="none"/>
                <w:lang w:val="en-US" w:eastAsia="zh-CN"/>
                <w14:textFill>
                  <w14:solidFill>
                    <w14:schemeClr w14:val="tx1"/>
                  </w14:solidFill>
                </w14:textFill>
              </w:rPr>
            </w:pPr>
            <w:r>
              <w:rPr>
                <w:rFonts w:hint="eastAsia" w:ascii="Times New Roman" w:hAnsi="Times New Roman" w:eastAsia="宋体"/>
                <w:color w:val="000000" w:themeColor="text1"/>
                <w:sz w:val="24"/>
                <w:highlight w:val="none"/>
                <w:lang w:val="en-US" w:eastAsia="zh-CN"/>
                <w14:textFill>
                  <w14:solidFill>
                    <w14:schemeClr w14:val="tx1"/>
                  </w14:solidFill>
                </w14:textFill>
              </w:rPr>
              <w:t>T=m×s÷（c×10</w:t>
            </w:r>
            <w:r>
              <w:rPr>
                <w:rFonts w:hint="eastAsia" w:ascii="Times New Roman" w:hAnsi="Times New Roman" w:eastAsia="宋体"/>
                <w:color w:val="000000" w:themeColor="text1"/>
                <w:sz w:val="24"/>
                <w:highlight w:val="none"/>
                <w:vertAlign w:val="superscript"/>
                <w:lang w:val="en-US" w:eastAsia="zh-CN"/>
                <w14:textFill>
                  <w14:solidFill>
                    <w14:schemeClr w14:val="tx1"/>
                  </w14:solidFill>
                </w14:textFill>
              </w:rPr>
              <w:t>-6</w:t>
            </w:r>
            <w:r>
              <w:rPr>
                <w:rFonts w:hint="eastAsia" w:ascii="Times New Roman" w:hAnsi="Times New Roman" w:eastAsia="宋体"/>
                <w:color w:val="000000" w:themeColor="text1"/>
                <w:sz w:val="24"/>
                <w:highlight w:val="none"/>
                <w:lang w:val="en-US" w:eastAsia="zh-CN"/>
                <w14:textFill>
                  <w14:solidFill>
                    <w14:schemeClr w14:val="tx1"/>
                  </w14:solidFill>
                </w14:textFill>
              </w:rPr>
              <w:t>×Q×t）</w:t>
            </w:r>
          </w:p>
          <w:p w14:paraId="62CBB274">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textAlignment w:val="auto"/>
              <w:rPr>
                <w:rFonts w:hint="default" w:ascii="Times New Roman" w:hAnsi="Times New Roman" w:eastAsia="宋体"/>
                <w:color w:val="000000" w:themeColor="text1"/>
                <w:sz w:val="24"/>
                <w:highlight w:val="none"/>
                <w:lang w:val="en-US" w:eastAsia="zh-CN"/>
                <w14:textFill>
                  <w14:solidFill>
                    <w14:schemeClr w14:val="tx1"/>
                  </w14:solidFill>
                </w14:textFill>
              </w:rPr>
            </w:pPr>
            <w:r>
              <w:rPr>
                <w:rFonts w:hint="eastAsia" w:ascii="Times New Roman" w:hAnsi="Times New Roman" w:eastAsia="宋体"/>
                <w:color w:val="000000" w:themeColor="text1"/>
                <w:sz w:val="24"/>
                <w:highlight w:val="none"/>
                <w:lang w:val="en-US" w:eastAsia="zh-CN"/>
                <w14:textFill>
                  <w14:solidFill>
                    <w14:schemeClr w14:val="tx1"/>
                  </w14:solidFill>
                </w14:textFill>
              </w:rPr>
              <w:t>T－更换周期，天；</w:t>
            </w:r>
          </w:p>
          <w:p w14:paraId="1615A0CA">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textAlignment w:val="auto"/>
              <w:rPr>
                <w:rFonts w:hint="eastAsia" w:ascii="Times New Roman" w:hAnsi="Times New Roman" w:eastAsia="宋体"/>
                <w:color w:val="000000" w:themeColor="text1"/>
                <w:sz w:val="24"/>
                <w:highlight w:val="none"/>
                <w:lang w:val="en-US" w:eastAsia="zh-CN"/>
                <w14:textFill>
                  <w14:solidFill>
                    <w14:schemeClr w14:val="tx1"/>
                  </w14:solidFill>
                </w14:textFill>
              </w:rPr>
            </w:pPr>
            <w:r>
              <w:rPr>
                <w:rFonts w:hint="eastAsia" w:ascii="Times New Roman" w:hAnsi="Times New Roman" w:eastAsia="宋体"/>
                <w:color w:val="000000" w:themeColor="text1"/>
                <w:sz w:val="24"/>
                <w:highlight w:val="none"/>
                <w:lang w:val="en-US" w:eastAsia="zh-CN"/>
                <w14:textFill>
                  <w14:solidFill>
                    <w14:schemeClr w14:val="tx1"/>
                  </w14:solidFill>
                </w14:textFill>
              </w:rPr>
              <w:t>m－活性炭的用量，kg；</w:t>
            </w:r>
          </w:p>
          <w:p w14:paraId="3FC364EF">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textAlignment w:val="auto"/>
              <w:rPr>
                <w:rFonts w:hint="eastAsia" w:ascii="Times New Roman" w:hAnsi="Times New Roman" w:eastAsia="宋体"/>
                <w:color w:val="000000" w:themeColor="text1"/>
                <w:sz w:val="24"/>
                <w:highlight w:val="none"/>
                <w:lang w:val="en-US" w:eastAsia="zh-CN"/>
                <w14:textFill>
                  <w14:solidFill>
                    <w14:schemeClr w14:val="tx1"/>
                  </w14:solidFill>
                </w14:textFill>
              </w:rPr>
            </w:pPr>
            <w:r>
              <w:rPr>
                <w:rFonts w:hint="eastAsia" w:ascii="Times New Roman" w:hAnsi="Times New Roman" w:eastAsia="宋体"/>
                <w:color w:val="000000" w:themeColor="text1"/>
                <w:sz w:val="24"/>
                <w:highlight w:val="none"/>
                <w:lang w:val="en-US" w:eastAsia="zh-CN"/>
                <w14:textFill>
                  <w14:solidFill>
                    <w14:schemeClr w14:val="tx1"/>
                  </w14:solidFill>
                </w14:textFill>
              </w:rPr>
              <w:t>s－动态吸附量，%；</w:t>
            </w:r>
          </w:p>
          <w:p w14:paraId="7156E6A1">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textAlignment w:val="auto"/>
              <w:rPr>
                <w:rFonts w:hint="eastAsia" w:ascii="Times New Roman" w:hAnsi="Times New Roman" w:eastAsia="宋体"/>
                <w:color w:val="000000" w:themeColor="text1"/>
                <w:sz w:val="24"/>
                <w:highlight w:val="none"/>
                <w:lang w:val="en-US" w:eastAsia="zh-CN"/>
                <w14:textFill>
                  <w14:solidFill>
                    <w14:schemeClr w14:val="tx1"/>
                  </w14:solidFill>
                </w14:textFill>
              </w:rPr>
            </w:pPr>
            <w:r>
              <w:rPr>
                <w:rFonts w:hint="eastAsia" w:ascii="Times New Roman" w:hAnsi="Times New Roman" w:eastAsia="宋体"/>
                <w:color w:val="000000" w:themeColor="text1"/>
                <w:sz w:val="24"/>
                <w:highlight w:val="none"/>
                <w:lang w:val="en-US" w:eastAsia="zh-CN"/>
                <w14:textFill>
                  <w14:solidFill>
                    <w14:schemeClr w14:val="tx1"/>
                  </w14:solidFill>
                </w14:textFill>
              </w:rPr>
              <w:t>C－活性炭削减的非甲烷总烃浓度，mg/m</w:t>
            </w:r>
            <w:r>
              <w:rPr>
                <w:rFonts w:hint="eastAsia" w:ascii="Times New Roman" w:hAnsi="Times New Roman" w:eastAsia="宋体"/>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sz w:val="24"/>
                <w:highlight w:val="none"/>
                <w:lang w:val="en-US" w:eastAsia="zh-CN"/>
                <w14:textFill>
                  <w14:solidFill>
                    <w14:schemeClr w14:val="tx1"/>
                  </w14:solidFill>
                </w14:textFill>
              </w:rPr>
              <w:t>；</w:t>
            </w:r>
          </w:p>
          <w:p w14:paraId="146AB98A">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textAlignment w:val="auto"/>
              <w:rPr>
                <w:rFonts w:hint="eastAsia" w:ascii="Times New Roman" w:hAnsi="Times New Roman" w:eastAsia="宋体"/>
                <w:color w:val="000000" w:themeColor="text1"/>
                <w:sz w:val="24"/>
                <w:highlight w:val="none"/>
                <w:lang w:val="en-US" w:eastAsia="zh-CN"/>
                <w14:textFill>
                  <w14:solidFill>
                    <w14:schemeClr w14:val="tx1"/>
                  </w14:solidFill>
                </w14:textFill>
              </w:rPr>
            </w:pPr>
            <w:r>
              <w:rPr>
                <w:rFonts w:hint="eastAsia" w:ascii="Times New Roman" w:hAnsi="Times New Roman" w:eastAsia="宋体"/>
                <w:color w:val="000000" w:themeColor="text1"/>
                <w:sz w:val="24"/>
                <w:highlight w:val="none"/>
                <w:lang w:val="en-US" w:eastAsia="zh-CN"/>
                <w14:textFill>
                  <w14:solidFill>
                    <w14:schemeClr w14:val="tx1"/>
                  </w14:solidFill>
                </w14:textFill>
              </w:rPr>
              <w:t>Q－风量，单位m</w:t>
            </w:r>
            <w:r>
              <w:rPr>
                <w:rFonts w:hint="eastAsia" w:ascii="Times New Roman" w:hAnsi="Times New Roman" w:eastAsia="宋体"/>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sz w:val="24"/>
                <w:highlight w:val="none"/>
                <w:lang w:val="en-US" w:eastAsia="zh-CN"/>
                <w14:textFill>
                  <w14:solidFill>
                    <w14:schemeClr w14:val="tx1"/>
                  </w14:solidFill>
                </w14:textFill>
              </w:rPr>
              <w:t>/h；</w:t>
            </w:r>
          </w:p>
          <w:p w14:paraId="6CBF3406">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textAlignment w:val="auto"/>
              <w:rPr>
                <w:rFonts w:hint="default" w:ascii="Times New Roman" w:hAnsi="Times New Roman" w:eastAsia="宋体"/>
                <w:color w:val="000000" w:themeColor="text1"/>
                <w:sz w:val="24"/>
                <w:highlight w:val="none"/>
                <w:lang w:val="en-US" w:eastAsia="zh-CN"/>
                <w14:textFill>
                  <w14:solidFill>
                    <w14:schemeClr w14:val="tx1"/>
                  </w14:solidFill>
                </w14:textFill>
              </w:rPr>
            </w:pPr>
            <w:r>
              <w:rPr>
                <w:rFonts w:hint="eastAsia" w:ascii="Times New Roman" w:hAnsi="Times New Roman" w:eastAsia="宋体"/>
                <w:color w:val="000000" w:themeColor="text1"/>
                <w:sz w:val="24"/>
                <w:highlight w:val="none"/>
                <w:lang w:val="en-US" w:eastAsia="zh-CN"/>
                <w14:textFill>
                  <w14:solidFill>
                    <w14:schemeClr w14:val="tx1"/>
                  </w14:solidFill>
                </w14:textFill>
              </w:rPr>
              <w:t>t－运行时间，单位h/d；</w:t>
            </w:r>
          </w:p>
          <w:p w14:paraId="46B3FA6E">
            <w:pPr>
              <w:keepNext w:val="0"/>
              <w:keepLines w:val="0"/>
              <w:pageBreakBefore w:val="0"/>
              <w:widowControl w:val="0"/>
              <w:numPr>
                <w:ilvl w:val="0"/>
                <w:numId w:val="0"/>
              </w:numPr>
              <w:suppressLineNumbers w:val="0"/>
              <w:tabs>
                <w:tab w:val="left" w:pos="0"/>
              </w:tabs>
              <w:kinsoku/>
              <w:wordWrap/>
              <w:overflowPunct/>
              <w:topLinePunct w:val="0"/>
              <w:autoSpaceDE/>
              <w:autoSpaceDN/>
              <w:bidi w:val="0"/>
              <w:adjustRightInd/>
              <w:snapToGrid/>
              <w:spacing w:before="0" w:beforeAutospacing="0" w:after="0" w:afterAutospacing="0" w:line="360" w:lineRule="auto"/>
              <w:ind w:left="-60" w:leftChars="0" w:right="0" w:firstLine="480" w:firstLineChars="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本项目实验过程中产生的原料挥发废气经通风橱收集后和经负压抽风收集产生的危废间废气一并通入二级活性炭吸附装置进行处理</w:t>
            </w:r>
            <w:r>
              <w:rPr>
                <w:rFonts w:hint="eastAsia" w:ascii="Times New Roman" w:hAnsi="Times New Roman" w:eastAsia="宋体"/>
                <w:color w:val="000000" w:themeColor="text1"/>
                <w:sz w:val="24"/>
                <w:highlight w:val="none"/>
                <w:lang w:val="en-US" w:eastAsia="zh-CN"/>
                <w14:textFill>
                  <w14:solidFill>
                    <w14:schemeClr w14:val="tx1"/>
                  </w14:solidFill>
                </w14:textFill>
              </w:rPr>
              <w:t>（填充</w:t>
            </w:r>
            <w:r>
              <w:rPr>
                <w:rFonts w:hint="eastAsia"/>
                <w:color w:val="000000" w:themeColor="text1"/>
                <w:sz w:val="24"/>
                <w:highlight w:val="none"/>
                <w:lang w:val="en-US" w:eastAsia="zh-CN"/>
                <w14:textFill>
                  <w14:solidFill>
                    <w14:schemeClr w14:val="tx1"/>
                  </w14:solidFill>
                </w14:textFill>
              </w:rPr>
              <w:t>量0.5</w:t>
            </w:r>
            <w:r>
              <w:rPr>
                <w:rFonts w:hint="eastAsia" w:ascii="Times New Roman" w:hAnsi="Times New Roman" w:eastAsia="宋体"/>
                <w:color w:val="000000" w:themeColor="text1"/>
                <w:sz w:val="24"/>
                <w:highlight w:val="none"/>
                <w:lang w:val="en-US" w:eastAsia="zh-CN"/>
                <w14:textFill>
                  <w14:solidFill>
                    <w14:schemeClr w14:val="tx1"/>
                  </w14:solidFill>
                </w14:textFill>
              </w:rPr>
              <w:t>t）进行处理</w:t>
            </w:r>
            <w:r>
              <w:rPr>
                <w:rFonts w:hint="eastAsia"/>
                <w:color w:val="000000" w:themeColor="text1"/>
                <w:sz w:val="24"/>
                <w:highlight w:val="none"/>
                <w:lang w:val="en-US" w:eastAsia="zh-CN"/>
                <w14:textFill>
                  <w14:solidFill>
                    <w14:schemeClr w14:val="tx1"/>
                  </w14:solidFill>
                </w14:textFill>
              </w:rPr>
              <w:t>；</w:t>
            </w:r>
            <w:r>
              <w:rPr>
                <w:rFonts w:hint="eastAsia" w:ascii="Times New Roman" w:hAnsi="Times New Roman" w:eastAsia="宋体"/>
                <w:color w:val="000000" w:themeColor="text1"/>
                <w:sz w:val="24"/>
                <w:highlight w:val="none"/>
                <w:lang w:val="en-US" w:eastAsia="zh-CN"/>
                <w14:textFill>
                  <w14:solidFill>
                    <w14:schemeClr w14:val="tx1"/>
                  </w14:solidFill>
                </w14:textFill>
              </w:rPr>
              <w:t>废活性炭产生情况如下：</w:t>
            </w:r>
          </w:p>
          <w:p w14:paraId="363BFC84">
            <w:pPr>
              <w:pStyle w:val="6"/>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表4-</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 xml:space="preserve">20 </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本项目废活性炭产生情况一览表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61"/>
              <w:gridCol w:w="1028"/>
              <w:gridCol w:w="831"/>
              <w:gridCol w:w="1003"/>
              <w:gridCol w:w="1176"/>
              <w:gridCol w:w="1176"/>
              <w:gridCol w:w="1427"/>
            </w:tblGrid>
            <w:tr w14:paraId="54F217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84" w:type="pct"/>
                  <w:tcBorders>
                    <w:tl2br w:val="nil"/>
                    <w:tr2bl w:val="nil"/>
                  </w:tcBorders>
                  <w:noWrap w:val="0"/>
                  <w:vAlign w:val="center"/>
                </w:tcPr>
                <w:p w14:paraId="6F08B8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000000" w:themeColor="text1"/>
                      <w:kern w:val="44"/>
                      <w:sz w:val="21"/>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44"/>
                      <w:sz w:val="21"/>
                      <w:szCs w:val="20"/>
                      <w:highlight w:val="none"/>
                      <w:lang w:val="en-US" w:eastAsia="zh-CN" w:bidi="ar-SA"/>
                      <w14:textFill>
                        <w14:solidFill>
                          <w14:schemeClr w14:val="tx1"/>
                        </w14:solidFill>
                      </w14:textFill>
                    </w:rPr>
                    <w:t>活性炭吸附装置配套排气筒编号</w:t>
                  </w:r>
                </w:p>
              </w:tc>
              <w:tc>
                <w:tcPr>
                  <w:tcW w:w="590" w:type="pct"/>
                  <w:tcBorders>
                    <w:tl2br w:val="nil"/>
                    <w:tr2bl w:val="nil"/>
                  </w:tcBorders>
                  <w:noWrap w:val="0"/>
                  <w:vAlign w:val="center"/>
                </w:tcPr>
                <w:p w14:paraId="6CFF57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000000" w:themeColor="text1"/>
                      <w:kern w:val="44"/>
                      <w:sz w:val="21"/>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44"/>
                      <w:sz w:val="21"/>
                      <w:szCs w:val="20"/>
                      <w:highlight w:val="none"/>
                      <w:lang w:val="en-US" w:eastAsia="zh-CN" w:bidi="ar-SA"/>
                      <w14:textFill>
                        <w14:solidFill>
                          <w14:schemeClr w14:val="tx1"/>
                        </w14:solidFill>
                      </w14:textFill>
                    </w:rPr>
                    <w:t>活性炭填充量t</w:t>
                  </w:r>
                </w:p>
              </w:tc>
              <w:tc>
                <w:tcPr>
                  <w:tcW w:w="477" w:type="pct"/>
                  <w:tcBorders>
                    <w:tl2br w:val="nil"/>
                    <w:tr2bl w:val="nil"/>
                  </w:tcBorders>
                  <w:noWrap w:val="0"/>
                  <w:vAlign w:val="center"/>
                </w:tcPr>
                <w:p w14:paraId="5398A4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000000" w:themeColor="text1"/>
                      <w:kern w:val="44"/>
                      <w:sz w:val="21"/>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44"/>
                      <w:sz w:val="21"/>
                      <w:szCs w:val="20"/>
                      <w:highlight w:val="none"/>
                      <w:lang w:val="en-US" w:eastAsia="zh-CN" w:bidi="ar-SA"/>
                      <w14:textFill>
                        <w14:solidFill>
                          <w14:schemeClr w14:val="tx1"/>
                        </w14:solidFill>
                      </w14:textFill>
                    </w:rPr>
                    <w:t>吸附效率</w:t>
                  </w:r>
                </w:p>
              </w:tc>
              <w:tc>
                <w:tcPr>
                  <w:tcW w:w="576" w:type="pct"/>
                  <w:tcBorders>
                    <w:tl2br w:val="nil"/>
                    <w:tr2bl w:val="nil"/>
                  </w:tcBorders>
                  <w:noWrap w:val="0"/>
                  <w:vAlign w:val="center"/>
                </w:tcPr>
                <w:p w14:paraId="5C4355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000000" w:themeColor="text1"/>
                      <w:kern w:val="44"/>
                      <w:sz w:val="21"/>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44"/>
                      <w:sz w:val="21"/>
                      <w:szCs w:val="20"/>
                      <w:highlight w:val="none"/>
                      <w:lang w:val="en-US" w:eastAsia="zh-CN" w:bidi="ar-SA"/>
                      <w14:textFill>
                        <w14:solidFill>
                          <w14:schemeClr w14:val="tx1"/>
                        </w14:solidFill>
                      </w14:textFill>
                    </w:rPr>
                    <w:t>废气吸附量t/a</w:t>
                  </w:r>
                </w:p>
              </w:tc>
              <w:tc>
                <w:tcPr>
                  <w:tcW w:w="675" w:type="pct"/>
                  <w:tcBorders>
                    <w:tl2br w:val="nil"/>
                    <w:tr2bl w:val="nil"/>
                  </w:tcBorders>
                  <w:noWrap w:val="0"/>
                  <w:vAlign w:val="center"/>
                </w:tcPr>
                <w:p w14:paraId="300B36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000000" w:themeColor="text1"/>
                      <w:kern w:val="44"/>
                      <w:sz w:val="21"/>
                      <w:szCs w:val="20"/>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44"/>
                      <w:sz w:val="21"/>
                      <w:szCs w:val="20"/>
                      <w:highlight w:val="none"/>
                      <w:lang w:val="en-US" w:eastAsia="zh-CN" w:bidi="ar-SA"/>
                      <w14:textFill>
                        <w14:solidFill>
                          <w14:schemeClr w14:val="tx1"/>
                        </w14:solidFill>
                      </w14:textFill>
                    </w:rPr>
                    <w:t>更换周期/天</w:t>
                  </w:r>
                </w:p>
              </w:tc>
              <w:tc>
                <w:tcPr>
                  <w:tcW w:w="675" w:type="pct"/>
                  <w:tcBorders>
                    <w:tl2br w:val="nil"/>
                    <w:tr2bl w:val="nil"/>
                  </w:tcBorders>
                  <w:noWrap w:val="0"/>
                  <w:vAlign w:val="center"/>
                </w:tcPr>
                <w:p w14:paraId="392252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000000" w:themeColor="text1"/>
                      <w:kern w:val="44"/>
                      <w:sz w:val="21"/>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44"/>
                      <w:sz w:val="21"/>
                      <w:szCs w:val="20"/>
                      <w:highlight w:val="none"/>
                      <w:lang w:val="en-US" w:eastAsia="zh-CN" w:bidi="ar-SA"/>
                      <w14:textFill>
                        <w14:solidFill>
                          <w14:schemeClr w14:val="tx1"/>
                        </w14:solidFill>
                      </w14:textFill>
                    </w:rPr>
                    <w:t>年更换次数/次</w:t>
                  </w:r>
                </w:p>
              </w:tc>
              <w:tc>
                <w:tcPr>
                  <w:tcW w:w="819" w:type="pct"/>
                  <w:tcBorders>
                    <w:tl2br w:val="nil"/>
                    <w:tr2bl w:val="nil"/>
                  </w:tcBorders>
                  <w:noWrap w:val="0"/>
                  <w:vAlign w:val="center"/>
                </w:tcPr>
                <w:p w14:paraId="1842AAE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0"/>
                      <w:highlight w:val="none"/>
                      <w:lang w:val="en-US" w:eastAsia="zh-CN"/>
                      <w14:textFill>
                        <w14:solidFill>
                          <w14:schemeClr w14:val="tx1"/>
                        </w14:solidFill>
                      </w14:textFill>
                    </w:rPr>
                    <w:t>废活性炭产生量t/a</w:t>
                  </w:r>
                </w:p>
              </w:tc>
            </w:tr>
            <w:tr w14:paraId="6F2700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184" w:type="pct"/>
                  <w:tcBorders>
                    <w:tl2br w:val="nil"/>
                    <w:tr2bl w:val="nil"/>
                  </w:tcBorders>
                  <w:noWrap w:val="0"/>
                  <w:vAlign w:val="center"/>
                </w:tcPr>
                <w:p w14:paraId="20A019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44"/>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44"/>
                      <w:sz w:val="21"/>
                      <w:szCs w:val="20"/>
                      <w:highlight w:val="none"/>
                      <w:lang w:val="en-US" w:eastAsia="zh-CN" w:bidi="ar-SA"/>
                      <w14:textFill>
                        <w14:solidFill>
                          <w14:schemeClr w14:val="tx1"/>
                        </w14:solidFill>
                      </w14:textFill>
                    </w:rPr>
                    <w:t>二级活性炭（FQ</w:t>
                  </w:r>
                  <w:r>
                    <w:rPr>
                      <w:rFonts w:hint="eastAsia" w:ascii="Times New Roman" w:hAnsi="Times New Roman" w:eastAsia="宋体" w:cs="Times New Roman"/>
                      <w:color w:val="000000" w:themeColor="text1"/>
                      <w:kern w:val="44"/>
                      <w:sz w:val="21"/>
                      <w:szCs w:val="20"/>
                      <w:highlight w:val="none"/>
                      <w:lang w:val="en-US" w:eastAsia="zh-CN" w:bidi="ar-SA"/>
                      <w14:textFill>
                        <w14:solidFill>
                          <w14:schemeClr w14:val="tx1"/>
                        </w14:solidFill>
                      </w14:textFill>
                    </w:rPr>
                    <w:t>0</w:t>
                  </w:r>
                  <w:r>
                    <w:rPr>
                      <w:rFonts w:hint="eastAsia" w:cs="Times New Roman"/>
                      <w:color w:val="000000" w:themeColor="text1"/>
                      <w:kern w:val="44"/>
                      <w:sz w:val="21"/>
                      <w:szCs w:val="20"/>
                      <w:highlight w:val="none"/>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44"/>
                      <w:sz w:val="21"/>
                      <w:szCs w:val="20"/>
                      <w:highlight w:val="none"/>
                      <w:lang w:val="en-US" w:eastAsia="zh-CN" w:bidi="ar-SA"/>
                      <w14:textFill>
                        <w14:solidFill>
                          <w14:schemeClr w14:val="tx1"/>
                        </w14:solidFill>
                      </w14:textFill>
                    </w:rPr>
                    <w:t>）</w:t>
                  </w:r>
                </w:p>
              </w:tc>
              <w:tc>
                <w:tcPr>
                  <w:tcW w:w="590" w:type="pct"/>
                  <w:tcBorders>
                    <w:tl2br w:val="nil"/>
                    <w:tr2bl w:val="nil"/>
                  </w:tcBorders>
                  <w:noWrap w:val="0"/>
                  <w:vAlign w:val="center"/>
                </w:tcPr>
                <w:p w14:paraId="1E95F6C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eastAsia" w:cs="Times New Roman"/>
                      <w:color w:val="000000" w:themeColor="text1"/>
                      <w:sz w:val="21"/>
                      <w:szCs w:val="20"/>
                      <w:highlight w:val="none"/>
                      <w:lang w:val="en-US" w:eastAsia="zh-CN"/>
                      <w14:textFill>
                        <w14:solidFill>
                          <w14:schemeClr w14:val="tx1"/>
                        </w14:solidFill>
                      </w14:textFill>
                    </w:rPr>
                    <w:t>0.45</w:t>
                  </w:r>
                </w:p>
              </w:tc>
              <w:tc>
                <w:tcPr>
                  <w:tcW w:w="477" w:type="pct"/>
                  <w:tcBorders>
                    <w:tl2br w:val="nil"/>
                    <w:tr2bl w:val="nil"/>
                  </w:tcBorders>
                  <w:noWrap w:val="0"/>
                  <w:vAlign w:val="center"/>
                </w:tcPr>
                <w:p w14:paraId="54FB8C8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t>10%</w:t>
                  </w:r>
                </w:p>
              </w:tc>
              <w:tc>
                <w:tcPr>
                  <w:tcW w:w="576" w:type="pct"/>
                  <w:tcBorders>
                    <w:tl2br w:val="nil"/>
                    <w:tr2bl w:val="nil"/>
                  </w:tcBorders>
                  <w:noWrap w:val="0"/>
                  <w:vAlign w:val="center"/>
                </w:tcPr>
                <w:p w14:paraId="2228B0B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eastAsia" w:cs="Times New Roman"/>
                      <w:color w:val="000000" w:themeColor="text1"/>
                      <w:sz w:val="21"/>
                      <w:szCs w:val="20"/>
                      <w:highlight w:val="none"/>
                      <w:lang w:val="en-US" w:eastAsia="zh-CN"/>
                      <w14:textFill>
                        <w14:solidFill>
                          <w14:schemeClr w14:val="tx1"/>
                        </w14:solidFill>
                      </w14:textFill>
                    </w:rPr>
                    <w:t>0.041</w:t>
                  </w:r>
                </w:p>
              </w:tc>
              <w:tc>
                <w:tcPr>
                  <w:tcW w:w="675" w:type="pct"/>
                  <w:tcBorders>
                    <w:tl2br w:val="nil"/>
                    <w:tr2bl w:val="nil"/>
                  </w:tcBorders>
                  <w:noWrap w:val="0"/>
                  <w:vAlign w:val="center"/>
                </w:tcPr>
                <w:p w14:paraId="4E9235B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eastAsia" w:cs="Times New Roman"/>
                      <w:color w:val="000000" w:themeColor="text1"/>
                      <w:sz w:val="21"/>
                      <w:szCs w:val="20"/>
                      <w:highlight w:val="none"/>
                      <w:lang w:val="en-US" w:eastAsia="zh-CN"/>
                      <w14:textFill>
                        <w14:solidFill>
                          <w14:schemeClr w14:val="tx1"/>
                        </w14:solidFill>
                      </w14:textFill>
                    </w:rPr>
                    <w:t>92</w:t>
                  </w:r>
                </w:p>
              </w:tc>
              <w:tc>
                <w:tcPr>
                  <w:tcW w:w="675" w:type="pct"/>
                  <w:tcBorders>
                    <w:tl2br w:val="nil"/>
                    <w:tr2bl w:val="nil"/>
                  </w:tcBorders>
                  <w:noWrap w:val="0"/>
                  <w:vAlign w:val="center"/>
                </w:tcPr>
                <w:p w14:paraId="61F23C0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eastAsia" w:cs="Times New Roman"/>
                      <w:color w:val="000000" w:themeColor="text1"/>
                      <w:sz w:val="21"/>
                      <w:szCs w:val="20"/>
                      <w:highlight w:val="none"/>
                      <w:lang w:val="en-US" w:eastAsia="zh-CN"/>
                      <w14:textFill>
                        <w14:solidFill>
                          <w14:schemeClr w14:val="tx1"/>
                        </w14:solidFill>
                      </w14:textFill>
                    </w:rPr>
                    <w:t>4</w:t>
                  </w:r>
                </w:p>
              </w:tc>
              <w:tc>
                <w:tcPr>
                  <w:tcW w:w="819" w:type="pct"/>
                  <w:tcBorders>
                    <w:tl2br w:val="nil"/>
                    <w:tr2bl w:val="nil"/>
                  </w:tcBorders>
                  <w:noWrap w:val="0"/>
                  <w:vAlign w:val="center"/>
                </w:tcPr>
                <w:p w14:paraId="60A5475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eastAsia" w:cs="Times New Roman"/>
                      <w:color w:val="000000" w:themeColor="text1"/>
                      <w:sz w:val="21"/>
                      <w:szCs w:val="20"/>
                      <w:highlight w:val="none"/>
                      <w:lang w:val="en-US" w:eastAsia="zh-CN"/>
                      <w14:textFill>
                        <w14:solidFill>
                          <w14:schemeClr w14:val="tx1"/>
                        </w14:solidFill>
                      </w14:textFill>
                    </w:rPr>
                    <w:t>1.841</w:t>
                  </w:r>
                </w:p>
              </w:tc>
            </w:tr>
          </w:tbl>
          <w:p w14:paraId="01CF2D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*注：</w:t>
            </w:r>
            <w:r>
              <w:rPr>
                <w:rFonts w:hint="eastAsia" w:ascii="Times New Roman" w:hAnsi="Times New Roman" w:eastAsia="宋体"/>
                <w:color w:val="000000" w:themeColor="text1"/>
                <w:sz w:val="21"/>
                <w:szCs w:val="21"/>
                <w:highlight w:val="none"/>
                <w:vertAlign w:val="baseline"/>
                <w:lang w:val="en-US" w:eastAsia="zh-CN"/>
                <w14:textFill>
                  <w14:solidFill>
                    <w14:schemeClr w14:val="tx1"/>
                  </w14:solidFill>
                </w14:textFill>
              </w:rPr>
              <w:t>《省生态环境厅关于深入开展涉VOCs治理重点工作核查的通知》（苏环办[2022]218号）中规定活性炭更换周期一般不应超过累计运行500小时或3个月</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w:t>
            </w:r>
          </w:p>
          <w:p w14:paraId="0B105CD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z w:val="24"/>
                <w:highlight w:val="none"/>
                <w:shd w:val="clear" w:color="auto" w:fill="auto"/>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由上表计算可知，</w:t>
            </w:r>
            <w:r>
              <w:rPr>
                <w:rFonts w:hint="eastAsia" w:cs="Times New Roman"/>
                <w:b w:val="0"/>
                <w:bCs/>
                <w:color w:val="000000" w:themeColor="text1"/>
                <w:sz w:val="24"/>
                <w:highlight w:val="none"/>
                <w:lang w:val="en-US" w:eastAsia="zh-CN"/>
                <w14:textFill>
                  <w14:solidFill>
                    <w14:schemeClr w14:val="tx1"/>
                  </w14:solidFill>
                </w14:textFill>
              </w:rPr>
              <w:t>本项目废活性炭产生</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量</w:t>
            </w:r>
            <w:r>
              <w:rPr>
                <w:rFonts w:hint="eastAsia" w:cs="Times New Roman"/>
                <w:b w:val="0"/>
                <w:bCs/>
                <w:color w:val="000000" w:themeColor="text1"/>
                <w:sz w:val="24"/>
                <w:highlight w:val="none"/>
                <w:lang w:val="en-US" w:eastAsia="zh-CN"/>
                <w14:textFill>
                  <w14:solidFill>
                    <w14:schemeClr w14:val="tx1"/>
                  </w14:solidFill>
                </w14:textFill>
              </w:rPr>
              <w:t>1.841</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t/a</w:t>
            </w:r>
            <w:r>
              <w:rPr>
                <w:rFonts w:hint="eastAsia" w:cs="Times New Roman"/>
                <w:b w:val="0"/>
                <w:bCs/>
                <w:color w:val="000000" w:themeColor="text1"/>
                <w:sz w:val="24"/>
                <w:highlight w:val="none"/>
                <w:lang w:val="en-US" w:eastAsia="zh-CN"/>
                <w14:textFill>
                  <w14:solidFill>
                    <w14:schemeClr w14:val="tx1"/>
                  </w14:solidFill>
                </w14:textFill>
              </w:rPr>
              <w:t>。</w:t>
            </w:r>
          </w:p>
          <w:p w14:paraId="490EC8CA">
            <w:pPr>
              <w:pStyle w:val="13"/>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textAlignment w:val="auto"/>
              <w:rPr>
                <w:rFonts w:hint="default" w:ascii="Times New Roman" w:hAnsi="Times New Roman" w:eastAsia="宋体" w:cs="宋体"/>
                <w:b/>
                <w:bCs/>
                <w:color w:val="auto"/>
                <w:sz w:val="24"/>
                <w:highlight w:val="none"/>
                <w:lang w:val="en-US" w:eastAsia="zh-CN"/>
              </w:rPr>
            </w:pPr>
            <w:r>
              <w:rPr>
                <w:rFonts w:hint="eastAsia" w:ascii="Times New Roman" w:hAnsi="Times New Roman" w:eastAsia="宋体" w:cs="宋体"/>
                <w:b/>
                <w:bCs/>
                <w:color w:val="000000" w:themeColor="text1"/>
                <w:sz w:val="24"/>
                <w:highlight w:val="none"/>
                <w:lang w:val="en-US" w:eastAsia="zh-CN"/>
                <w14:textFill>
                  <w14:solidFill>
                    <w14:schemeClr w14:val="tx1"/>
                  </w14:solidFill>
                </w14:textFill>
              </w:rPr>
              <w:t>⑨生活垃圾：</w:t>
            </w:r>
            <w:r>
              <w:rPr>
                <w:rFonts w:hint="eastAsia" w:cs="宋体"/>
                <w:b w:val="0"/>
                <w:bCs w:val="0"/>
                <w:color w:val="000000" w:themeColor="text1"/>
                <w:kern w:val="2"/>
                <w:sz w:val="24"/>
                <w:szCs w:val="24"/>
                <w:highlight w:val="none"/>
                <w:lang w:val="en-US" w:eastAsia="zh-CN" w:bidi="ar-SA"/>
                <w14:textFill>
                  <w14:solidFill>
                    <w14:schemeClr w14:val="tx1"/>
                  </w14:solidFill>
                </w14:textFill>
              </w:rPr>
              <w:t>本项目建成后</w:t>
            </w:r>
            <w:r>
              <w:rPr>
                <w:rFonts w:hint="default"/>
                <w:b w:val="0"/>
                <w:bCs w:val="0"/>
                <w:color w:val="000000" w:themeColor="text1"/>
                <w:sz w:val="24"/>
                <w:highlight w:val="none"/>
                <w14:textFill>
                  <w14:solidFill>
                    <w14:schemeClr w14:val="tx1"/>
                  </w14:solidFill>
                </w14:textFill>
              </w:rPr>
              <w:t>职工</w:t>
            </w:r>
            <w:r>
              <w:rPr>
                <w:rFonts w:hint="default"/>
                <w:color w:val="000000" w:themeColor="text1"/>
                <w:sz w:val="24"/>
                <w:highlight w:val="none"/>
                <w14:textFill>
                  <w14:solidFill>
                    <w14:schemeClr w14:val="tx1"/>
                  </w14:solidFill>
                </w14:textFill>
              </w:rPr>
              <w:t>人数共</w:t>
            </w:r>
            <w:r>
              <w:rPr>
                <w:rFonts w:hint="eastAsia"/>
                <w:color w:val="000000" w:themeColor="text1"/>
                <w:sz w:val="24"/>
                <w:highlight w:val="none"/>
                <w:lang w:val="en-US" w:eastAsia="zh-CN"/>
                <w14:textFill>
                  <w14:solidFill>
                    <w14:schemeClr w14:val="tx1"/>
                  </w14:solidFill>
                </w14:textFill>
              </w:rPr>
              <w:t>10</w:t>
            </w:r>
            <w:r>
              <w:rPr>
                <w:rFonts w:hint="default"/>
                <w:color w:val="000000" w:themeColor="text1"/>
                <w:sz w:val="24"/>
                <w:highlight w:val="none"/>
                <w14:textFill>
                  <w14:solidFill>
                    <w14:schemeClr w14:val="tx1"/>
                  </w14:solidFill>
                </w14:textFill>
              </w:rPr>
              <w:t>人，</w:t>
            </w:r>
            <w:r>
              <w:rPr>
                <w:rFonts w:hint="eastAsia"/>
                <w:color w:val="000000" w:themeColor="text1"/>
                <w:sz w:val="24"/>
                <w:highlight w:val="none"/>
                <w:lang w:val="en-US" w:eastAsia="zh-CN"/>
                <w14:textFill>
                  <w14:solidFill>
                    <w14:schemeClr w14:val="tx1"/>
                  </w14:solidFill>
                </w14:textFill>
              </w:rPr>
              <w:t>生产天数250天/年；</w:t>
            </w:r>
            <w:r>
              <w:rPr>
                <w:rFonts w:hint="default"/>
                <w:color w:val="000000" w:themeColor="text1"/>
                <w:sz w:val="24"/>
                <w:highlight w:val="none"/>
                <w14:textFill>
                  <w14:solidFill>
                    <w14:schemeClr w14:val="tx1"/>
                  </w14:solidFill>
                </w14:textFill>
              </w:rPr>
              <w:t>根据环卫部门的统计，生活垃圾按1.23kg/d·人计算，生活垃圾产生量为</w:t>
            </w:r>
            <w:r>
              <w:rPr>
                <w:rFonts w:hint="eastAsia"/>
                <w:color w:val="000000" w:themeColor="text1"/>
                <w:sz w:val="24"/>
                <w:highlight w:val="none"/>
                <w:lang w:val="en-US" w:eastAsia="zh-CN"/>
                <w14:textFill>
                  <w14:solidFill>
                    <w14:schemeClr w14:val="tx1"/>
                  </w14:solidFill>
                </w14:textFill>
              </w:rPr>
              <w:t>3.075</w:t>
            </w:r>
            <w:r>
              <w:rPr>
                <w:rFonts w:hint="default"/>
                <w:color w:val="000000" w:themeColor="text1"/>
                <w:sz w:val="24"/>
                <w:highlight w:val="none"/>
                <w14:textFill>
                  <w14:solidFill>
                    <w14:schemeClr w14:val="tx1"/>
                  </w14:solidFill>
                </w14:textFill>
              </w:rPr>
              <w:t>t/a。</w:t>
            </w:r>
          </w:p>
          <w:p w14:paraId="0BAAE4DC">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rPr>
              <w:t>固体废物属性判定</w:t>
            </w:r>
          </w:p>
          <w:p w14:paraId="4A21BB63">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根据《中华人民共和国固体废物污染环境防治法》及《固体废物鉴别标准 通则》（GB34330-2017）的规定，判断项目生产过程中产生的副产物是否属于固体废物，判定结果见下表。</w:t>
            </w:r>
          </w:p>
          <w:p w14:paraId="134342AB">
            <w:pPr>
              <w:keepNext w:val="0"/>
              <w:keepLines w:val="0"/>
              <w:widowControl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color w:val="auto"/>
                <w:kern w:val="2"/>
                <w:sz w:val="24"/>
                <w:szCs w:val="20"/>
                <w:highlight w:val="none"/>
                <w:lang w:val="en-US" w:eastAsia="zh-CN" w:bidi="ar-SA"/>
              </w:rPr>
            </w:pPr>
            <w:r>
              <w:rPr>
                <w:rFonts w:hint="default" w:ascii="Times New Roman" w:hAnsi="Times New Roman" w:eastAsia="宋体" w:cs="Times New Roman"/>
                <w:b/>
                <w:bCs/>
                <w:color w:val="auto"/>
                <w:kern w:val="2"/>
                <w:sz w:val="24"/>
                <w:szCs w:val="24"/>
                <w:lang w:val="en-US" w:eastAsia="zh-CN" w:bidi="ar-SA"/>
              </w:rPr>
              <w:t>表4-</w:t>
            </w:r>
            <w:r>
              <w:rPr>
                <w:rFonts w:hint="eastAsia" w:ascii="Times New Roman" w:hAnsi="Times New Roman" w:eastAsia="宋体" w:cs="Times New Roman"/>
                <w:b/>
                <w:bCs/>
                <w:color w:val="auto"/>
                <w:kern w:val="2"/>
                <w:sz w:val="24"/>
                <w:szCs w:val="24"/>
                <w:lang w:val="en-US" w:eastAsia="zh-CN" w:bidi="ar-SA"/>
              </w:rPr>
              <w:t xml:space="preserve">21  </w:t>
            </w:r>
            <w:r>
              <w:rPr>
                <w:rFonts w:hint="default" w:ascii="Times New Roman" w:hAnsi="Times New Roman" w:eastAsia="宋体" w:cs="Times New Roman"/>
                <w:b/>
                <w:color w:val="auto"/>
                <w:kern w:val="2"/>
                <w:sz w:val="24"/>
                <w:szCs w:val="20"/>
                <w:highlight w:val="none"/>
                <w:lang w:val="en-US" w:eastAsia="zh-CN" w:bidi="ar-SA"/>
              </w:rPr>
              <w:t>本项目副产物产生情况及副产物属性判定表（固体废物属性）汇总表</w:t>
            </w:r>
          </w:p>
          <w:tbl>
            <w:tblPr>
              <w:tblStyle w:val="25"/>
              <w:tblW w:w="493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9"/>
              <w:gridCol w:w="1098"/>
              <w:gridCol w:w="985"/>
              <w:gridCol w:w="583"/>
              <w:gridCol w:w="1330"/>
              <w:gridCol w:w="803"/>
              <w:gridCol w:w="849"/>
              <w:gridCol w:w="705"/>
              <w:gridCol w:w="1777"/>
            </w:tblGrid>
            <w:tr w14:paraId="7FCA8B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3" w:hRule="atLeast"/>
                <w:jc w:val="center"/>
              </w:trPr>
              <w:tc>
                <w:tcPr>
                  <w:tcW w:w="267" w:type="pct"/>
                  <w:vMerge w:val="restart"/>
                  <w:tcMar>
                    <w:top w:w="0" w:type="dxa"/>
                    <w:left w:w="51" w:type="dxa"/>
                    <w:bottom w:w="0" w:type="dxa"/>
                    <w:right w:w="51" w:type="dxa"/>
                  </w:tcMar>
                  <w:vAlign w:val="center"/>
                </w:tcPr>
                <w:p w14:paraId="2983A8D8">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pacing w:val="-8"/>
                      <w:kern w:val="0"/>
                      <w:szCs w:val="21"/>
                      <w:highlight w:val="none"/>
                    </w:rPr>
                    <w:t>序号</w:t>
                  </w:r>
                </w:p>
              </w:tc>
              <w:tc>
                <w:tcPr>
                  <w:tcW w:w="639" w:type="pct"/>
                  <w:vMerge w:val="restart"/>
                  <w:tcMar>
                    <w:top w:w="0" w:type="dxa"/>
                    <w:left w:w="51" w:type="dxa"/>
                    <w:bottom w:w="0" w:type="dxa"/>
                    <w:right w:w="51" w:type="dxa"/>
                  </w:tcMar>
                  <w:vAlign w:val="center"/>
                </w:tcPr>
                <w:p w14:paraId="2E1304C9">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副产物名称</w:t>
                  </w:r>
                </w:p>
              </w:tc>
              <w:tc>
                <w:tcPr>
                  <w:tcW w:w="573" w:type="pct"/>
                  <w:vMerge w:val="restart"/>
                  <w:tcMar>
                    <w:top w:w="0" w:type="dxa"/>
                    <w:left w:w="51" w:type="dxa"/>
                    <w:bottom w:w="0" w:type="dxa"/>
                    <w:right w:w="51" w:type="dxa"/>
                  </w:tcMar>
                  <w:vAlign w:val="center"/>
                </w:tcPr>
                <w:p w14:paraId="5232D56E">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产生工序</w:t>
                  </w:r>
                </w:p>
              </w:tc>
              <w:tc>
                <w:tcPr>
                  <w:tcW w:w="339" w:type="pct"/>
                  <w:vMerge w:val="restart"/>
                  <w:tcMar>
                    <w:top w:w="0" w:type="dxa"/>
                    <w:left w:w="51" w:type="dxa"/>
                    <w:bottom w:w="0" w:type="dxa"/>
                    <w:right w:w="51" w:type="dxa"/>
                  </w:tcMar>
                  <w:vAlign w:val="center"/>
                </w:tcPr>
                <w:p w14:paraId="7F12A39C">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形态</w:t>
                  </w:r>
                </w:p>
              </w:tc>
              <w:tc>
                <w:tcPr>
                  <w:tcW w:w="774" w:type="pct"/>
                  <w:vMerge w:val="restart"/>
                  <w:tcMar>
                    <w:top w:w="0" w:type="dxa"/>
                    <w:left w:w="51" w:type="dxa"/>
                    <w:bottom w:w="0" w:type="dxa"/>
                    <w:right w:w="51" w:type="dxa"/>
                  </w:tcMar>
                  <w:vAlign w:val="center"/>
                </w:tcPr>
                <w:p w14:paraId="518E241D">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主要成分</w:t>
                  </w:r>
                </w:p>
              </w:tc>
              <w:tc>
                <w:tcPr>
                  <w:tcW w:w="467" w:type="pct"/>
                  <w:vMerge w:val="restart"/>
                  <w:tcMar>
                    <w:top w:w="0" w:type="dxa"/>
                    <w:left w:w="51" w:type="dxa"/>
                    <w:bottom w:w="0" w:type="dxa"/>
                    <w:right w:w="51" w:type="dxa"/>
                  </w:tcMar>
                  <w:vAlign w:val="center"/>
                </w:tcPr>
                <w:p w14:paraId="7CC2DEE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预测产生量t/a</w:t>
                  </w:r>
                </w:p>
              </w:tc>
              <w:tc>
                <w:tcPr>
                  <w:tcW w:w="1938" w:type="pct"/>
                  <w:gridSpan w:val="3"/>
                  <w:tcMar>
                    <w:top w:w="0" w:type="dxa"/>
                    <w:left w:w="51" w:type="dxa"/>
                    <w:bottom w:w="0" w:type="dxa"/>
                    <w:right w:w="51" w:type="dxa"/>
                  </w:tcMar>
                  <w:vAlign w:val="center"/>
                </w:tcPr>
                <w:p w14:paraId="5F673EB4">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种类判断</w:t>
                  </w:r>
                </w:p>
              </w:tc>
            </w:tr>
            <w:tr w14:paraId="5A2611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5" w:hRule="atLeast"/>
                <w:jc w:val="center"/>
              </w:trPr>
              <w:tc>
                <w:tcPr>
                  <w:tcW w:w="267" w:type="pct"/>
                  <w:vMerge w:val="continue"/>
                  <w:tcMar>
                    <w:top w:w="0" w:type="dxa"/>
                    <w:left w:w="51" w:type="dxa"/>
                    <w:bottom w:w="0" w:type="dxa"/>
                    <w:right w:w="51" w:type="dxa"/>
                  </w:tcMar>
                  <w:vAlign w:val="center"/>
                </w:tcPr>
                <w:p w14:paraId="15EC022D">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auto"/>
                      <w:szCs w:val="21"/>
                      <w:highlight w:val="none"/>
                    </w:rPr>
                  </w:pPr>
                </w:p>
              </w:tc>
              <w:tc>
                <w:tcPr>
                  <w:tcW w:w="639" w:type="pct"/>
                  <w:vMerge w:val="continue"/>
                  <w:tcMar>
                    <w:top w:w="0" w:type="dxa"/>
                    <w:left w:w="51" w:type="dxa"/>
                    <w:bottom w:w="0" w:type="dxa"/>
                    <w:right w:w="51" w:type="dxa"/>
                  </w:tcMar>
                  <w:vAlign w:val="center"/>
                </w:tcPr>
                <w:p w14:paraId="79D74F77">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auto"/>
                      <w:szCs w:val="21"/>
                      <w:highlight w:val="none"/>
                    </w:rPr>
                  </w:pPr>
                </w:p>
              </w:tc>
              <w:tc>
                <w:tcPr>
                  <w:tcW w:w="573" w:type="pct"/>
                  <w:vMerge w:val="continue"/>
                  <w:tcMar>
                    <w:top w:w="0" w:type="dxa"/>
                    <w:left w:w="51" w:type="dxa"/>
                    <w:bottom w:w="0" w:type="dxa"/>
                    <w:right w:w="51" w:type="dxa"/>
                  </w:tcMar>
                  <w:vAlign w:val="center"/>
                </w:tcPr>
                <w:p w14:paraId="668AB2F9">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auto"/>
                      <w:szCs w:val="21"/>
                      <w:highlight w:val="none"/>
                    </w:rPr>
                  </w:pPr>
                </w:p>
              </w:tc>
              <w:tc>
                <w:tcPr>
                  <w:tcW w:w="339" w:type="pct"/>
                  <w:vMerge w:val="continue"/>
                  <w:tcMar>
                    <w:top w:w="0" w:type="dxa"/>
                    <w:left w:w="51" w:type="dxa"/>
                    <w:bottom w:w="0" w:type="dxa"/>
                    <w:right w:w="51" w:type="dxa"/>
                  </w:tcMar>
                  <w:vAlign w:val="center"/>
                </w:tcPr>
                <w:p w14:paraId="7FFB0C8E">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auto"/>
                      <w:szCs w:val="21"/>
                      <w:highlight w:val="none"/>
                    </w:rPr>
                  </w:pPr>
                </w:p>
              </w:tc>
              <w:tc>
                <w:tcPr>
                  <w:tcW w:w="774" w:type="pct"/>
                  <w:vMerge w:val="continue"/>
                  <w:tcMar>
                    <w:top w:w="0" w:type="dxa"/>
                    <w:left w:w="51" w:type="dxa"/>
                    <w:bottom w:w="0" w:type="dxa"/>
                    <w:right w:w="51" w:type="dxa"/>
                  </w:tcMar>
                  <w:vAlign w:val="center"/>
                </w:tcPr>
                <w:p w14:paraId="4C623B12">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auto"/>
                      <w:szCs w:val="21"/>
                      <w:highlight w:val="none"/>
                    </w:rPr>
                  </w:pPr>
                </w:p>
              </w:tc>
              <w:tc>
                <w:tcPr>
                  <w:tcW w:w="467" w:type="pct"/>
                  <w:vMerge w:val="continue"/>
                  <w:tcMar>
                    <w:top w:w="0" w:type="dxa"/>
                    <w:left w:w="51" w:type="dxa"/>
                    <w:bottom w:w="0" w:type="dxa"/>
                    <w:right w:w="51" w:type="dxa"/>
                  </w:tcMar>
                  <w:vAlign w:val="center"/>
                </w:tcPr>
                <w:p w14:paraId="3C064092">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auto"/>
                      <w:szCs w:val="21"/>
                      <w:highlight w:val="none"/>
                    </w:rPr>
                  </w:pPr>
                </w:p>
              </w:tc>
              <w:tc>
                <w:tcPr>
                  <w:tcW w:w="494" w:type="pct"/>
                  <w:tcMar>
                    <w:top w:w="0" w:type="dxa"/>
                    <w:left w:w="51" w:type="dxa"/>
                    <w:bottom w:w="0" w:type="dxa"/>
                    <w:right w:w="51" w:type="dxa"/>
                  </w:tcMar>
                  <w:vAlign w:val="center"/>
                </w:tcPr>
                <w:p w14:paraId="0F69B81C">
                  <w:pPr>
                    <w:keepNext w:val="0"/>
                    <w:keepLines w:val="0"/>
                    <w:suppressLineNumbers w:val="0"/>
                    <w:adjustRightInd w:val="0"/>
                    <w:snapToGrid w:val="0"/>
                    <w:spacing w:before="0" w:beforeAutospacing="0" w:after="0" w:afterAutospacing="0"/>
                    <w:ind w:left="-113" w:right="-113"/>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固体废物</w:t>
                  </w:r>
                </w:p>
              </w:tc>
              <w:tc>
                <w:tcPr>
                  <w:tcW w:w="410" w:type="pct"/>
                  <w:tcMar>
                    <w:top w:w="0" w:type="dxa"/>
                    <w:left w:w="51" w:type="dxa"/>
                    <w:bottom w:w="0" w:type="dxa"/>
                    <w:right w:w="51" w:type="dxa"/>
                  </w:tcMar>
                  <w:vAlign w:val="center"/>
                </w:tcPr>
                <w:p w14:paraId="50FD7C65">
                  <w:pPr>
                    <w:keepNext w:val="0"/>
                    <w:keepLines w:val="0"/>
                    <w:suppressLineNumbers w:val="0"/>
                    <w:adjustRightInd w:val="0"/>
                    <w:snapToGrid w:val="0"/>
                    <w:spacing w:before="0" w:beforeAutospacing="0" w:after="0" w:afterAutospacing="0"/>
                    <w:ind w:left="-113" w:right="-113"/>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副产品</w:t>
                  </w:r>
                </w:p>
              </w:tc>
              <w:tc>
                <w:tcPr>
                  <w:tcW w:w="1033" w:type="pct"/>
                  <w:tcMar>
                    <w:top w:w="0" w:type="dxa"/>
                    <w:left w:w="51" w:type="dxa"/>
                    <w:bottom w:w="0" w:type="dxa"/>
                    <w:right w:w="51" w:type="dxa"/>
                  </w:tcMar>
                  <w:vAlign w:val="center"/>
                </w:tcPr>
                <w:p w14:paraId="5AC0DF8A">
                  <w:pPr>
                    <w:keepNext w:val="0"/>
                    <w:keepLines w:val="0"/>
                    <w:suppressLineNumbers w:val="0"/>
                    <w:adjustRightInd w:val="0"/>
                    <w:snapToGrid w:val="0"/>
                    <w:spacing w:before="0" w:beforeAutospacing="0" w:after="0" w:afterAutospacing="0"/>
                    <w:ind w:left="-50" w:right="-5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判定依据</w:t>
                  </w:r>
                </w:p>
              </w:tc>
            </w:tr>
            <w:tr w14:paraId="0D0E9C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8" w:hRule="atLeast"/>
                <w:jc w:val="center"/>
              </w:trPr>
              <w:tc>
                <w:tcPr>
                  <w:tcW w:w="267" w:type="pct"/>
                  <w:tcMar>
                    <w:top w:w="0" w:type="dxa"/>
                    <w:left w:w="51" w:type="dxa"/>
                    <w:bottom w:w="0" w:type="dxa"/>
                    <w:right w:w="51" w:type="dxa"/>
                  </w:tcMar>
                  <w:vAlign w:val="center"/>
                </w:tcPr>
                <w:p w14:paraId="50349B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kern w:val="0"/>
                      <w:szCs w:val="21"/>
                      <w:highlight w:val="none"/>
                      <w:lang w:val="en-US" w:eastAsia="zh-CN" w:bidi="ar"/>
                    </w:rPr>
                    <w:t>1</w:t>
                  </w:r>
                </w:p>
              </w:tc>
              <w:tc>
                <w:tcPr>
                  <w:tcW w:w="639" w:type="pct"/>
                  <w:tcMar>
                    <w:top w:w="0" w:type="dxa"/>
                    <w:left w:w="51" w:type="dxa"/>
                    <w:bottom w:w="0" w:type="dxa"/>
                    <w:right w:w="51" w:type="dxa"/>
                  </w:tcMar>
                  <w:vAlign w:val="center"/>
                </w:tcPr>
                <w:p w14:paraId="3203E8F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0"/>
                      <w:szCs w:val="21"/>
                      <w:highlight w:val="none"/>
                    </w:rPr>
                    <w:t>实验废液</w:t>
                  </w:r>
                </w:p>
              </w:tc>
              <w:tc>
                <w:tcPr>
                  <w:tcW w:w="573" w:type="pct"/>
                  <w:tcMar>
                    <w:top w:w="0" w:type="dxa"/>
                    <w:left w:w="51" w:type="dxa"/>
                    <w:bottom w:w="0" w:type="dxa"/>
                    <w:right w:w="51" w:type="dxa"/>
                  </w:tcMar>
                  <w:vAlign w:val="center"/>
                </w:tcPr>
                <w:p w14:paraId="1F9CC82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0"/>
                      <w:szCs w:val="21"/>
                      <w:highlight w:val="none"/>
                      <w:lang w:val="en-US" w:eastAsia="zh-CN"/>
                    </w:rPr>
                  </w:pPr>
                  <w:r>
                    <w:rPr>
                      <w:rFonts w:hint="eastAsia" w:cs="Times New Roman"/>
                      <w:color w:val="auto"/>
                      <w:szCs w:val="21"/>
                      <w:highlight w:val="none"/>
                      <w:lang w:val="en-US" w:eastAsia="zh-CN"/>
                    </w:rPr>
                    <w:t>实验过程</w:t>
                  </w:r>
                </w:p>
              </w:tc>
              <w:tc>
                <w:tcPr>
                  <w:tcW w:w="339" w:type="pct"/>
                  <w:tcMar>
                    <w:top w:w="0" w:type="dxa"/>
                    <w:left w:w="51" w:type="dxa"/>
                    <w:bottom w:w="0" w:type="dxa"/>
                    <w:right w:w="51" w:type="dxa"/>
                  </w:tcMar>
                  <w:vAlign w:val="center"/>
                </w:tcPr>
                <w:p w14:paraId="313797F0">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液态</w:t>
                  </w:r>
                </w:p>
              </w:tc>
              <w:tc>
                <w:tcPr>
                  <w:tcW w:w="774" w:type="pct"/>
                  <w:tcMar>
                    <w:top w:w="0" w:type="dxa"/>
                    <w:left w:w="51" w:type="dxa"/>
                    <w:bottom w:w="0" w:type="dxa"/>
                    <w:right w:w="51" w:type="dxa"/>
                  </w:tcMar>
                  <w:vAlign w:val="center"/>
                </w:tcPr>
                <w:p w14:paraId="6965B47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szCs w:val="21"/>
                      <w:highlight w:val="none"/>
                      <w:lang w:val="en-US"/>
                    </w:rPr>
                    <w:t>废试剂、废样品</w:t>
                  </w:r>
                </w:p>
              </w:tc>
              <w:tc>
                <w:tcPr>
                  <w:tcW w:w="467" w:type="pct"/>
                  <w:tcMar>
                    <w:top w:w="0" w:type="dxa"/>
                    <w:left w:w="51" w:type="dxa"/>
                    <w:bottom w:w="0" w:type="dxa"/>
                    <w:right w:w="51" w:type="dxa"/>
                  </w:tcMar>
                  <w:vAlign w:val="center"/>
                </w:tcPr>
                <w:p w14:paraId="55FBD5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p>
              </w:tc>
              <w:tc>
                <w:tcPr>
                  <w:tcW w:w="494" w:type="pct"/>
                  <w:tcMar>
                    <w:top w:w="0" w:type="dxa"/>
                    <w:left w:w="51" w:type="dxa"/>
                    <w:bottom w:w="0" w:type="dxa"/>
                    <w:right w:w="51" w:type="dxa"/>
                  </w:tcMar>
                  <w:vAlign w:val="center"/>
                </w:tcPr>
                <w:p w14:paraId="1B6AB36D">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410" w:type="pct"/>
                  <w:tcMar>
                    <w:top w:w="0" w:type="dxa"/>
                    <w:left w:w="51" w:type="dxa"/>
                    <w:bottom w:w="0" w:type="dxa"/>
                    <w:right w:w="51" w:type="dxa"/>
                  </w:tcMar>
                  <w:vAlign w:val="center"/>
                </w:tcPr>
                <w:p w14:paraId="274F4C40">
                  <w:pPr>
                    <w:keepNext w:val="0"/>
                    <w:keepLines w:val="0"/>
                    <w:suppressLineNumbers w:val="0"/>
                    <w:adjustRightInd w:val="0"/>
                    <w:snapToGrid w:val="0"/>
                    <w:spacing w:before="0" w:beforeAutospacing="0" w:after="0" w:afterAutospacing="0"/>
                    <w:ind w:left="-50" w:right="-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033" w:type="pct"/>
                  <w:vMerge w:val="restart"/>
                  <w:tcMar>
                    <w:top w:w="0" w:type="dxa"/>
                    <w:left w:w="51" w:type="dxa"/>
                    <w:bottom w:w="0" w:type="dxa"/>
                    <w:right w:w="51" w:type="dxa"/>
                  </w:tcMar>
                  <w:vAlign w:val="center"/>
                </w:tcPr>
                <w:p w14:paraId="2700D8CD">
                  <w:pPr>
                    <w:keepNext w:val="0"/>
                    <w:keepLines w:val="0"/>
                    <w:suppressLineNumbers w:val="0"/>
                    <w:adjustRightInd w:val="0"/>
                    <w:snapToGrid w:val="0"/>
                    <w:spacing w:before="0" w:beforeAutospacing="0" w:after="0" w:afterAutospacing="0"/>
                    <w:ind w:left="-50" w:right="-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《固体废物鉴别标准通则》（GB34330-2017）</w:t>
                  </w:r>
                </w:p>
              </w:tc>
            </w:tr>
            <w:tr w14:paraId="6BC2D7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8" w:hRule="atLeast"/>
                <w:jc w:val="center"/>
              </w:trPr>
              <w:tc>
                <w:tcPr>
                  <w:tcW w:w="267" w:type="pct"/>
                  <w:tcMar>
                    <w:top w:w="0" w:type="dxa"/>
                    <w:left w:w="51" w:type="dxa"/>
                    <w:bottom w:w="0" w:type="dxa"/>
                    <w:right w:w="51" w:type="dxa"/>
                  </w:tcMar>
                  <w:vAlign w:val="center"/>
                </w:tcPr>
                <w:p w14:paraId="626F84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eastAsia="zh-CN" w:bidi="ar"/>
                    </w:rPr>
                  </w:pPr>
                  <w:r>
                    <w:rPr>
                      <w:rFonts w:hint="default" w:ascii="Times New Roman" w:hAnsi="Times New Roman" w:eastAsia="宋体" w:cs="Times New Roman"/>
                      <w:color w:val="auto"/>
                      <w:kern w:val="0"/>
                      <w:szCs w:val="21"/>
                      <w:highlight w:val="none"/>
                      <w:lang w:val="en-US" w:eastAsia="zh-CN" w:bidi="ar"/>
                    </w:rPr>
                    <w:t>2</w:t>
                  </w:r>
                </w:p>
              </w:tc>
              <w:tc>
                <w:tcPr>
                  <w:tcW w:w="639" w:type="pct"/>
                  <w:tcMar>
                    <w:top w:w="0" w:type="dxa"/>
                    <w:left w:w="51" w:type="dxa"/>
                    <w:bottom w:w="0" w:type="dxa"/>
                    <w:right w:w="51" w:type="dxa"/>
                  </w:tcMar>
                  <w:vAlign w:val="center"/>
                </w:tcPr>
                <w:p w14:paraId="07DD99FA">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val="en-US" w:eastAsia="zh-CN" w:bidi="ar"/>
                    </w:rPr>
                    <w:t>废生物材料</w:t>
                  </w:r>
                </w:p>
              </w:tc>
              <w:tc>
                <w:tcPr>
                  <w:tcW w:w="573" w:type="pct"/>
                  <w:tcMar>
                    <w:top w:w="0" w:type="dxa"/>
                    <w:left w:w="51" w:type="dxa"/>
                    <w:bottom w:w="0" w:type="dxa"/>
                    <w:right w:w="51" w:type="dxa"/>
                  </w:tcMar>
                  <w:vAlign w:val="center"/>
                </w:tcPr>
                <w:p w14:paraId="35DB084F">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snapToGrid w:val="0"/>
                      <w:color w:val="auto"/>
                      <w:kern w:val="0"/>
                      <w:szCs w:val="21"/>
                      <w:highlight w:val="none"/>
                      <w:lang w:val="en-US" w:eastAsia="zh-CN"/>
                    </w:rPr>
                    <w:t>实验过程</w:t>
                  </w:r>
                </w:p>
              </w:tc>
              <w:tc>
                <w:tcPr>
                  <w:tcW w:w="339" w:type="pct"/>
                  <w:tcMar>
                    <w:top w:w="0" w:type="dxa"/>
                    <w:left w:w="51" w:type="dxa"/>
                    <w:bottom w:w="0" w:type="dxa"/>
                    <w:right w:w="51" w:type="dxa"/>
                  </w:tcMar>
                  <w:vAlign w:val="center"/>
                </w:tcPr>
                <w:p w14:paraId="6F5E49B5">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bidi="ar"/>
                    </w:rPr>
                  </w:pPr>
                  <w:r>
                    <w:rPr>
                      <w:rFonts w:hint="eastAsia" w:cs="Times New Roman"/>
                      <w:color w:val="auto"/>
                      <w:kern w:val="0"/>
                      <w:szCs w:val="21"/>
                      <w:highlight w:val="none"/>
                      <w:lang w:val="en-US" w:eastAsia="zh-CN" w:bidi="ar"/>
                    </w:rPr>
                    <w:t>固态</w:t>
                  </w:r>
                </w:p>
              </w:tc>
              <w:tc>
                <w:tcPr>
                  <w:tcW w:w="774" w:type="pct"/>
                  <w:tcMar>
                    <w:top w:w="0" w:type="dxa"/>
                    <w:left w:w="51" w:type="dxa"/>
                    <w:bottom w:w="0" w:type="dxa"/>
                    <w:right w:w="51" w:type="dxa"/>
                  </w:tcMar>
                  <w:vAlign w:val="center"/>
                </w:tcPr>
                <w:p w14:paraId="01A4C457">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eastAsia="zh-CN" w:bidi="ar"/>
                    </w:rPr>
                  </w:pPr>
                  <w:r>
                    <w:rPr>
                      <w:rFonts w:hint="default" w:ascii="Times New Roman" w:hAnsi="Times New Roman" w:eastAsia="宋体" w:cs="Times New Roman"/>
                      <w:color w:val="auto"/>
                      <w:szCs w:val="21"/>
                      <w:highlight w:val="none"/>
                    </w:rPr>
                    <w:t>废细胞等</w:t>
                  </w:r>
                </w:p>
              </w:tc>
              <w:tc>
                <w:tcPr>
                  <w:tcW w:w="467" w:type="pct"/>
                  <w:tcMar>
                    <w:top w:w="0" w:type="dxa"/>
                    <w:left w:w="51" w:type="dxa"/>
                    <w:bottom w:w="0" w:type="dxa"/>
                    <w:right w:w="51" w:type="dxa"/>
                  </w:tcMar>
                  <w:vAlign w:val="center"/>
                </w:tcPr>
                <w:p w14:paraId="1ABB66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p>
              </w:tc>
              <w:tc>
                <w:tcPr>
                  <w:tcW w:w="494" w:type="pct"/>
                  <w:tcMar>
                    <w:top w:w="0" w:type="dxa"/>
                    <w:left w:w="51" w:type="dxa"/>
                    <w:bottom w:w="0" w:type="dxa"/>
                    <w:right w:w="51" w:type="dxa"/>
                  </w:tcMar>
                  <w:vAlign w:val="center"/>
                </w:tcPr>
                <w:p w14:paraId="1CD1FEC3">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410" w:type="pct"/>
                  <w:tcMar>
                    <w:top w:w="0" w:type="dxa"/>
                    <w:left w:w="51" w:type="dxa"/>
                    <w:bottom w:w="0" w:type="dxa"/>
                    <w:right w:w="51" w:type="dxa"/>
                  </w:tcMar>
                  <w:vAlign w:val="center"/>
                </w:tcPr>
                <w:p w14:paraId="5B17F9FD">
                  <w:pPr>
                    <w:keepNext w:val="0"/>
                    <w:keepLines w:val="0"/>
                    <w:suppressLineNumbers w:val="0"/>
                    <w:adjustRightInd w:val="0"/>
                    <w:snapToGrid w:val="0"/>
                    <w:spacing w:before="0" w:beforeAutospacing="0" w:after="0" w:afterAutospacing="0"/>
                    <w:ind w:left="-50" w:right="-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033" w:type="pct"/>
                  <w:vMerge w:val="continue"/>
                  <w:tcMar>
                    <w:top w:w="0" w:type="dxa"/>
                    <w:left w:w="51" w:type="dxa"/>
                    <w:bottom w:w="0" w:type="dxa"/>
                    <w:right w:w="51" w:type="dxa"/>
                  </w:tcMar>
                  <w:vAlign w:val="center"/>
                </w:tcPr>
                <w:p w14:paraId="08830CF4">
                  <w:pPr>
                    <w:keepNext w:val="0"/>
                    <w:keepLines w:val="0"/>
                    <w:suppressLineNumbers w:val="0"/>
                    <w:adjustRightInd w:val="0"/>
                    <w:snapToGrid w:val="0"/>
                    <w:spacing w:before="0" w:beforeAutospacing="0" w:after="0" w:afterAutospacing="0"/>
                    <w:ind w:left="-50" w:right="-50"/>
                    <w:jc w:val="center"/>
                    <w:rPr>
                      <w:rFonts w:hint="default" w:ascii="Times New Roman" w:hAnsi="Times New Roman" w:eastAsia="宋体" w:cs="Times New Roman"/>
                      <w:color w:val="auto"/>
                      <w:szCs w:val="21"/>
                      <w:highlight w:val="none"/>
                    </w:rPr>
                  </w:pPr>
                </w:p>
              </w:tc>
            </w:tr>
            <w:tr w14:paraId="1C8F43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8" w:hRule="atLeast"/>
                <w:jc w:val="center"/>
              </w:trPr>
              <w:tc>
                <w:tcPr>
                  <w:tcW w:w="267" w:type="pct"/>
                  <w:tcMar>
                    <w:top w:w="0" w:type="dxa"/>
                    <w:left w:w="51" w:type="dxa"/>
                    <w:bottom w:w="0" w:type="dxa"/>
                    <w:right w:w="51" w:type="dxa"/>
                  </w:tcMar>
                  <w:vAlign w:val="center"/>
                </w:tcPr>
                <w:p w14:paraId="07AA37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3</w:t>
                  </w:r>
                </w:p>
              </w:tc>
              <w:tc>
                <w:tcPr>
                  <w:tcW w:w="639" w:type="pct"/>
                  <w:tcMar>
                    <w:top w:w="0" w:type="dxa"/>
                    <w:left w:w="51" w:type="dxa"/>
                    <w:bottom w:w="0" w:type="dxa"/>
                    <w:right w:w="51" w:type="dxa"/>
                  </w:tcMar>
                  <w:vAlign w:val="center"/>
                </w:tcPr>
                <w:p w14:paraId="33DB730A">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rPr>
                    <w:t>废化学</w:t>
                  </w:r>
                  <w:r>
                    <w:rPr>
                      <w:rFonts w:hint="eastAsia" w:cs="Times New Roman"/>
                      <w:color w:val="auto"/>
                      <w:kern w:val="0"/>
                      <w:szCs w:val="21"/>
                      <w:highlight w:val="none"/>
                      <w:lang w:val="en-US" w:eastAsia="zh-CN"/>
                    </w:rPr>
                    <w:t>品</w:t>
                  </w:r>
                  <w:r>
                    <w:rPr>
                      <w:rFonts w:hint="default" w:ascii="Times New Roman" w:hAnsi="Times New Roman" w:eastAsia="宋体" w:cs="Times New Roman"/>
                      <w:color w:val="auto"/>
                      <w:kern w:val="0"/>
                      <w:szCs w:val="21"/>
                      <w:highlight w:val="none"/>
                    </w:rPr>
                    <w:t>包装</w:t>
                  </w:r>
                </w:p>
              </w:tc>
              <w:tc>
                <w:tcPr>
                  <w:tcW w:w="573" w:type="pct"/>
                  <w:tcMar>
                    <w:top w:w="0" w:type="dxa"/>
                    <w:left w:w="51" w:type="dxa"/>
                    <w:bottom w:w="0" w:type="dxa"/>
                    <w:right w:w="51" w:type="dxa"/>
                  </w:tcMar>
                  <w:vAlign w:val="center"/>
                </w:tcPr>
                <w:p w14:paraId="2EE0FA6A">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snapToGrid w:val="0"/>
                      <w:color w:val="auto"/>
                      <w:kern w:val="0"/>
                      <w:szCs w:val="21"/>
                      <w:highlight w:val="none"/>
                      <w:lang w:val="en-US" w:eastAsia="zh-CN"/>
                    </w:rPr>
                  </w:pPr>
                  <w:r>
                    <w:rPr>
                      <w:rFonts w:hint="eastAsia" w:cs="Times New Roman"/>
                      <w:color w:val="auto"/>
                      <w:szCs w:val="21"/>
                      <w:highlight w:val="none"/>
                      <w:lang w:val="en-US" w:eastAsia="zh-CN"/>
                    </w:rPr>
                    <w:t>原料包装</w:t>
                  </w:r>
                </w:p>
              </w:tc>
              <w:tc>
                <w:tcPr>
                  <w:tcW w:w="339" w:type="pct"/>
                  <w:tcMar>
                    <w:top w:w="0" w:type="dxa"/>
                    <w:left w:w="51" w:type="dxa"/>
                    <w:bottom w:w="0" w:type="dxa"/>
                    <w:right w:w="51" w:type="dxa"/>
                  </w:tcMar>
                  <w:vAlign w:val="center"/>
                </w:tcPr>
                <w:p w14:paraId="74AEDF27">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cs="Times New Roman"/>
                      <w:color w:val="auto"/>
                      <w:szCs w:val="21"/>
                      <w:highlight w:val="none"/>
                      <w:lang w:val="en-US" w:eastAsia="zh-CN"/>
                    </w:rPr>
                    <w:t>固态/液态</w:t>
                  </w:r>
                </w:p>
              </w:tc>
              <w:tc>
                <w:tcPr>
                  <w:tcW w:w="774" w:type="pct"/>
                  <w:tcMar>
                    <w:top w:w="0" w:type="dxa"/>
                    <w:left w:w="51" w:type="dxa"/>
                    <w:bottom w:w="0" w:type="dxa"/>
                    <w:right w:w="51" w:type="dxa"/>
                  </w:tcMar>
                  <w:vAlign w:val="center"/>
                </w:tcPr>
                <w:p w14:paraId="4DB7078F">
                  <w:pPr>
                    <w:keepNext w:val="0"/>
                    <w:keepLines w:val="0"/>
                    <w:pageBreakBefore w:val="0"/>
                    <w:widowControl/>
                    <w:suppressLineNumbers w:val="0"/>
                    <w:kinsoku/>
                    <w:wordWrap/>
                    <w:overflowPunct/>
                    <w:topLinePunct w:val="0"/>
                    <w:autoSpaceDE/>
                    <w:bidi w:val="0"/>
                    <w:spacing w:before="0" w:beforeAutospacing="0" w:after="0" w:afterAutospacing="0"/>
                    <w:ind w:left="0" w:leftChars="0" w:right="-42" w:rightChars="-2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沾染化学品的废包装材料</w:t>
                  </w:r>
                </w:p>
              </w:tc>
              <w:tc>
                <w:tcPr>
                  <w:tcW w:w="467" w:type="pct"/>
                  <w:tcMar>
                    <w:top w:w="0" w:type="dxa"/>
                    <w:left w:w="51" w:type="dxa"/>
                    <w:bottom w:w="0" w:type="dxa"/>
                    <w:right w:w="51" w:type="dxa"/>
                  </w:tcMar>
                  <w:vAlign w:val="center"/>
                </w:tcPr>
                <w:p w14:paraId="47AC7A8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lang w:val="en-US" w:eastAsia="zh-CN"/>
                    </w:rPr>
                  </w:pPr>
                </w:p>
              </w:tc>
              <w:tc>
                <w:tcPr>
                  <w:tcW w:w="494" w:type="pct"/>
                  <w:tcMar>
                    <w:top w:w="0" w:type="dxa"/>
                    <w:left w:w="51" w:type="dxa"/>
                    <w:bottom w:w="0" w:type="dxa"/>
                    <w:right w:w="51" w:type="dxa"/>
                  </w:tcMar>
                  <w:vAlign w:val="center"/>
                </w:tcPr>
                <w:p w14:paraId="48F2836B">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410" w:type="pct"/>
                  <w:tcMar>
                    <w:top w:w="0" w:type="dxa"/>
                    <w:left w:w="51" w:type="dxa"/>
                    <w:bottom w:w="0" w:type="dxa"/>
                    <w:right w:w="51" w:type="dxa"/>
                  </w:tcMar>
                  <w:vAlign w:val="center"/>
                </w:tcPr>
                <w:p w14:paraId="03FA2610">
                  <w:pPr>
                    <w:keepNext w:val="0"/>
                    <w:keepLines w:val="0"/>
                    <w:suppressLineNumbers w:val="0"/>
                    <w:adjustRightInd w:val="0"/>
                    <w:snapToGrid w:val="0"/>
                    <w:spacing w:before="0" w:beforeAutospacing="0" w:after="0" w:afterAutospacing="0"/>
                    <w:ind w:left="-50" w:leftChars="0" w:right="-50" w:right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033" w:type="pct"/>
                  <w:vMerge w:val="continue"/>
                  <w:tcMar>
                    <w:top w:w="0" w:type="dxa"/>
                    <w:left w:w="51" w:type="dxa"/>
                    <w:bottom w:w="0" w:type="dxa"/>
                    <w:right w:w="51" w:type="dxa"/>
                  </w:tcMar>
                  <w:vAlign w:val="center"/>
                </w:tcPr>
                <w:p w14:paraId="0A9B1F4A">
                  <w:pPr>
                    <w:keepNext w:val="0"/>
                    <w:keepLines w:val="0"/>
                    <w:suppressLineNumbers w:val="0"/>
                    <w:adjustRightInd w:val="0"/>
                    <w:snapToGrid w:val="0"/>
                    <w:spacing w:before="0" w:beforeAutospacing="0" w:after="0" w:afterAutospacing="0"/>
                    <w:ind w:left="-50" w:right="-50"/>
                    <w:jc w:val="center"/>
                    <w:rPr>
                      <w:rFonts w:hint="default" w:ascii="Times New Roman" w:hAnsi="Times New Roman" w:eastAsia="宋体" w:cs="Times New Roman"/>
                      <w:color w:val="auto"/>
                      <w:szCs w:val="21"/>
                      <w:highlight w:val="none"/>
                    </w:rPr>
                  </w:pPr>
                </w:p>
              </w:tc>
            </w:tr>
            <w:tr w14:paraId="76714F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8" w:hRule="atLeast"/>
                <w:jc w:val="center"/>
              </w:trPr>
              <w:tc>
                <w:tcPr>
                  <w:tcW w:w="267" w:type="pct"/>
                  <w:tcMar>
                    <w:top w:w="0" w:type="dxa"/>
                    <w:left w:w="51" w:type="dxa"/>
                    <w:bottom w:w="0" w:type="dxa"/>
                    <w:right w:w="51" w:type="dxa"/>
                  </w:tcMar>
                  <w:vAlign w:val="center"/>
                </w:tcPr>
                <w:p w14:paraId="39C74D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4</w:t>
                  </w:r>
                </w:p>
              </w:tc>
              <w:tc>
                <w:tcPr>
                  <w:tcW w:w="639" w:type="pct"/>
                  <w:tcMar>
                    <w:top w:w="0" w:type="dxa"/>
                    <w:left w:w="51" w:type="dxa"/>
                    <w:bottom w:w="0" w:type="dxa"/>
                    <w:right w:w="51" w:type="dxa"/>
                  </w:tcMar>
                  <w:vAlign w:val="center"/>
                </w:tcPr>
                <w:p w14:paraId="50E0232E">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废实验耗材</w:t>
                  </w:r>
                </w:p>
              </w:tc>
              <w:tc>
                <w:tcPr>
                  <w:tcW w:w="573" w:type="pct"/>
                  <w:tcMar>
                    <w:top w:w="0" w:type="dxa"/>
                    <w:left w:w="51" w:type="dxa"/>
                    <w:bottom w:w="0" w:type="dxa"/>
                    <w:right w:w="51" w:type="dxa"/>
                  </w:tcMar>
                  <w:vAlign w:val="center"/>
                </w:tcPr>
                <w:p w14:paraId="6B701D9B">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snapToGrid w:val="0"/>
                      <w:color w:val="auto"/>
                      <w:kern w:val="0"/>
                      <w:szCs w:val="21"/>
                      <w:highlight w:val="none"/>
                      <w:lang w:val="en-US" w:eastAsia="zh-CN"/>
                    </w:rPr>
                  </w:pPr>
                  <w:r>
                    <w:rPr>
                      <w:rFonts w:hint="eastAsia" w:cs="Times New Roman"/>
                      <w:snapToGrid w:val="0"/>
                      <w:color w:val="auto"/>
                      <w:kern w:val="0"/>
                      <w:szCs w:val="21"/>
                      <w:highlight w:val="none"/>
                      <w:lang w:val="en-US" w:eastAsia="zh-CN"/>
                    </w:rPr>
                    <w:t>实验过程</w:t>
                  </w:r>
                </w:p>
              </w:tc>
              <w:tc>
                <w:tcPr>
                  <w:tcW w:w="339" w:type="pct"/>
                  <w:tcMar>
                    <w:top w:w="0" w:type="dxa"/>
                    <w:left w:w="51" w:type="dxa"/>
                    <w:bottom w:w="0" w:type="dxa"/>
                    <w:right w:w="51" w:type="dxa"/>
                  </w:tcMar>
                  <w:vAlign w:val="center"/>
                </w:tcPr>
                <w:p w14:paraId="679161ED">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固态</w:t>
                  </w:r>
                </w:p>
              </w:tc>
              <w:tc>
                <w:tcPr>
                  <w:tcW w:w="774" w:type="pct"/>
                  <w:tcMar>
                    <w:top w:w="0" w:type="dxa"/>
                    <w:left w:w="51" w:type="dxa"/>
                    <w:bottom w:w="0" w:type="dxa"/>
                    <w:right w:w="51" w:type="dxa"/>
                  </w:tcMar>
                  <w:vAlign w:val="center"/>
                </w:tcPr>
                <w:p w14:paraId="5FECCE6F">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沾有化学试剂的一次性手套、实验器皿等</w:t>
                  </w:r>
                </w:p>
              </w:tc>
              <w:tc>
                <w:tcPr>
                  <w:tcW w:w="467" w:type="pct"/>
                  <w:tcMar>
                    <w:top w:w="0" w:type="dxa"/>
                    <w:left w:w="51" w:type="dxa"/>
                    <w:bottom w:w="0" w:type="dxa"/>
                    <w:right w:w="51" w:type="dxa"/>
                  </w:tcMar>
                  <w:vAlign w:val="center"/>
                </w:tcPr>
                <w:p w14:paraId="3508934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lang w:val="en-US" w:eastAsia="zh-CN"/>
                    </w:rPr>
                  </w:pPr>
                </w:p>
              </w:tc>
              <w:tc>
                <w:tcPr>
                  <w:tcW w:w="494" w:type="pct"/>
                  <w:tcMar>
                    <w:top w:w="0" w:type="dxa"/>
                    <w:left w:w="51" w:type="dxa"/>
                    <w:bottom w:w="0" w:type="dxa"/>
                    <w:right w:w="51" w:type="dxa"/>
                  </w:tcMar>
                  <w:vAlign w:val="center"/>
                </w:tcPr>
                <w:p w14:paraId="668F56D2">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410" w:type="pct"/>
                  <w:tcMar>
                    <w:top w:w="0" w:type="dxa"/>
                    <w:left w:w="51" w:type="dxa"/>
                    <w:bottom w:w="0" w:type="dxa"/>
                    <w:right w:w="51" w:type="dxa"/>
                  </w:tcMar>
                  <w:vAlign w:val="center"/>
                </w:tcPr>
                <w:p w14:paraId="3CF6EAC1">
                  <w:pPr>
                    <w:keepNext w:val="0"/>
                    <w:keepLines w:val="0"/>
                    <w:suppressLineNumbers w:val="0"/>
                    <w:adjustRightInd w:val="0"/>
                    <w:snapToGrid w:val="0"/>
                    <w:spacing w:before="0" w:beforeAutospacing="0" w:after="0" w:afterAutospacing="0"/>
                    <w:ind w:left="-50" w:leftChars="0" w:right="-50" w:right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033" w:type="pct"/>
                  <w:vMerge w:val="continue"/>
                  <w:tcMar>
                    <w:top w:w="0" w:type="dxa"/>
                    <w:left w:w="51" w:type="dxa"/>
                    <w:bottom w:w="0" w:type="dxa"/>
                    <w:right w:w="51" w:type="dxa"/>
                  </w:tcMar>
                  <w:vAlign w:val="center"/>
                </w:tcPr>
                <w:p w14:paraId="0C85C599">
                  <w:pPr>
                    <w:keepNext w:val="0"/>
                    <w:keepLines w:val="0"/>
                    <w:suppressLineNumbers w:val="0"/>
                    <w:adjustRightInd w:val="0"/>
                    <w:snapToGrid w:val="0"/>
                    <w:spacing w:before="0" w:beforeAutospacing="0" w:after="0" w:afterAutospacing="0"/>
                    <w:ind w:left="-50" w:right="-50"/>
                    <w:jc w:val="center"/>
                    <w:rPr>
                      <w:rFonts w:hint="default" w:ascii="Times New Roman" w:hAnsi="Times New Roman" w:eastAsia="宋体" w:cs="Times New Roman"/>
                      <w:color w:val="auto"/>
                      <w:szCs w:val="21"/>
                      <w:highlight w:val="none"/>
                    </w:rPr>
                  </w:pPr>
                </w:p>
              </w:tc>
            </w:tr>
            <w:tr w14:paraId="7F0D80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8" w:hRule="atLeast"/>
                <w:jc w:val="center"/>
              </w:trPr>
              <w:tc>
                <w:tcPr>
                  <w:tcW w:w="267" w:type="pct"/>
                  <w:tcMar>
                    <w:top w:w="0" w:type="dxa"/>
                    <w:left w:w="51" w:type="dxa"/>
                    <w:bottom w:w="0" w:type="dxa"/>
                    <w:right w:w="51" w:type="dxa"/>
                  </w:tcMar>
                  <w:vAlign w:val="center"/>
                </w:tcPr>
                <w:p w14:paraId="0EE487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5</w:t>
                  </w:r>
                </w:p>
              </w:tc>
              <w:tc>
                <w:tcPr>
                  <w:tcW w:w="639" w:type="pct"/>
                  <w:tcMar>
                    <w:top w:w="0" w:type="dxa"/>
                    <w:left w:w="51" w:type="dxa"/>
                    <w:bottom w:w="0" w:type="dxa"/>
                    <w:right w:w="51" w:type="dxa"/>
                  </w:tcMar>
                  <w:vAlign w:val="center"/>
                </w:tcPr>
                <w:p w14:paraId="69DF0891">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生物安全柜废滤芯</w:t>
                  </w:r>
                </w:p>
              </w:tc>
              <w:tc>
                <w:tcPr>
                  <w:tcW w:w="573" w:type="pct"/>
                  <w:tcMar>
                    <w:top w:w="0" w:type="dxa"/>
                    <w:left w:w="51" w:type="dxa"/>
                    <w:bottom w:w="0" w:type="dxa"/>
                    <w:right w:w="51" w:type="dxa"/>
                  </w:tcMar>
                  <w:vAlign w:val="center"/>
                </w:tcPr>
                <w:p w14:paraId="00604E38">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snapToGrid w:val="0"/>
                      <w:color w:val="auto"/>
                      <w:kern w:val="0"/>
                      <w:szCs w:val="21"/>
                      <w:highlight w:val="none"/>
                      <w:lang w:val="en-US" w:eastAsia="zh-CN"/>
                    </w:rPr>
                  </w:pPr>
                  <w:r>
                    <w:rPr>
                      <w:rFonts w:hint="eastAsia" w:cs="Times New Roman"/>
                      <w:snapToGrid w:val="0"/>
                      <w:color w:val="auto"/>
                      <w:kern w:val="0"/>
                      <w:szCs w:val="21"/>
                      <w:highlight w:val="none"/>
                      <w:lang w:val="en-US" w:eastAsia="zh-CN"/>
                    </w:rPr>
                    <w:t>生物安全柜</w:t>
                  </w:r>
                </w:p>
              </w:tc>
              <w:tc>
                <w:tcPr>
                  <w:tcW w:w="339" w:type="pct"/>
                  <w:tcMar>
                    <w:top w:w="0" w:type="dxa"/>
                    <w:left w:w="51" w:type="dxa"/>
                    <w:bottom w:w="0" w:type="dxa"/>
                    <w:right w:w="51" w:type="dxa"/>
                  </w:tcMar>
                  <w:vAlign w:val="center"/>
                </w:tcPr>
                <w:p w14:paraId="19BD2E4F">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固态</w:t>
                  </w:r>
                </w:p>
              </w:tc>
              <w:tc>
                <w:tcPr>
                  <w:tcW w:w="774" w:type="pct"/>
                  <w:tcMar>
                    <w:top w:w="0" w:type="dxa"/>
                    <w:left w:w="51" w:type="dxa"/>
                    <w:bottom w:w="0" w:type="dxa"/>
                    <w:right w:w="51" w:type="dxa"/>
                  </w:tcMar>
                  <w:vAlign w:val="center"/>
                </w:tcPr>
                <w:p w14:paraId="08F851D4">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生物安全柜过滤器滤材</w:t>
                  </w:r>
                </w:p>
              </w:tc>
              <w:tc>
                <w:tcPr>
                  <w:tcW w:w="467" w:type="pct"/>
                  <w:tcMar>
                    <w:top w:w="0" w:type="dxa"/>
                    <w:left w:w="51" w:type="dxa"/>
                    <w:bottom w:w="0" w:type="dxa"/>
                    <w:right w:w="51" w:type="dxa"/>
                  </w:tcMar>
                  <w:vAlign w:val="center"/>
                </w:tcPr>
                <w:p w14:paraId="1C772BF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lang w:val="en-US" w:eastAsia="zh-CN"/>
                    </w:rPr>
                  </w:pPr>
                </w:p>
              </w:tc>
              <w:tc>
                <w:tcPr>
                  <w:tcW w:w="494" w:type="pct"/>
                  <w:tcMar>
                    <w:top w:w="0" w:type="dxa"/>
                    <w:left w:w="51" w:type="dxa"/>
                    <w:bottom w:w="0" w:type="dxa"/>
                    <w:right w:w="51" w:type="dxa"/>
                  </w:tcMar>
                  <w:vAlign w:val="center"/>
                </w:tcPr>
                <w:p w14:paraId="6C3F36B4">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410" w:type="pct"/>
                  <w:tcMar>
                    <w:top w:w="0" w:type="dxa"/>
                    <w:left w:w="51" w:type="dxa"/>
                    <w:bottom w:w="0" w:type="dxa"/>
                    <w:right w:w="51" w:type="dxa"/>
                  </w:tcMar>
                  <w:vAlign w:val="center"/>
                </w:tcPr>
                <w:p w14:paraId="339F4835">
                  <w:pPr>
                    <w:keepNext w:val="0"/>
                    <w:keepLines w:val="0"/>
                    <w:suppressLineNumbers w:val="0"/>
                    <w:adjustRightInd w:val="0"/>
                    <w:snapToGrid w:val="0"/>
                    <w:spacing w:before="0" w:beforeAutospacing="0" w:after="0" w:afterAutospacing="0"/>
                    <w:ind w:left="-50" w:leftChars="0" w:right="-50" w:right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033" w:type="pct"/>
                  <w:vMerge w:val="continue"/>
                  <w:tcMar>
                    <w:top w:w="0" w:type="dxa"/>
                    <w:left w:w="51" w:type="dxa"/>
                    <w:bottom w:w="0" w:type="dxa"/>
                    <w:right w:w="51" w:type="dxa"/>
                  </w:tcMar>
                  <w:vAlign w:val="center"/>
                </w:tcPr>
                <w:p w14:paraId="6B6127B3">
                  <w:pPr>
                    <w:keepNext w:val="0"/>
                    <w:keepLines w:val="0"/>
                    <w:suppressLineNumbers w:val="0"/>
                    <w:adjustRightInd w:val="0"/>
                    <w:snapToGrid w:val="0"/>
                    <w:spacing w:before="0" w:beforeAutospacing="0" w:after="0" w:afterAutospacing="0"/>
                    <w:ind w:left="-50" w:right="-50"/>
                    <w:jc w:val="center"/>
                    <w:rPr>
                      <w:rFonts w:hint="default" w:ascii="Times New Roman" w:hAnsi="Times New Roman" w:eastAsia="宋体" w:cs="Times New Roman"/>
                      <w:color w:val="auto"/>
                      <w:szCs w:val="21"/>
                      <w:highlight w:val="none"/>
                    </w:rPr>
                  </w:pPr>
                </w:p>
              </w:tc>
            </w:tr>
            <w:tr w14:paraId="526C43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8" w:hRule="atLeast"/>
                <w:jc w:val="center"/>
              </w:trPr>
              <w:tc>
                <w:tcPr>
                  <w:tcW w:w="267" w:type="pct"/>
                  <w:tcMar>
                    <w:top w:w="0" w:type="dxa"/>
                    <w:left w:w="51" w:type="dxa"/>
                    <w:bottom w:w="0" w:type="dxa"/>
                    <w:right w:w="51" w:type="dxa"/>
                  </w:tcMar>
                  <w:vAlign w:val="center"/>
                </w:tcPr>
                <w:p w14:paraId="221BB4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6</w:t>
                  </w:r>
                </w:p>
              </w:tc>
              <w:tc>
                <w:tcPr>
                  <w:tcW w:w="639" w:type="pct"/>
                  <w:tcMar>
                    <w:top w:w="0" w:type="dxa"/>
                    <w:left w:w="51" w:type="dxa"/>
                    <w:bottom w:w="0" w:type="dxa"/>
                    <w:right w:w="51" w:type="dxa"/>
                  </w:tcMar>
                  <w:vAlign w:val="center"/>
                </w:tcPr>
                <w:p w14:paraId="166FA2A9">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纯水制备废滤芯</w:t>
                  </w:r>
                </w:p>
              </w:tc>
              <w:tc>
                <w:tcPr>
                  <w:tcW w:w="573" w:type="pct"/>
                  <w:tcMar>
                    <w:top w:w="0" w:type="dxa"/>
                    <w:left w:w="51" w:type="dxa"/>
                    <w:bottom w:w="0" w:type="dxa"/>
                    <w:right w:w="51" w:type="dxa"/>
                  </w:tcMar>
                  <w:vAlign w:val="center"/>
                </w:tcPr>
                <w:p w14:paraId="12AA75D1">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snapToGrid w:val="0"/>
                      <w:color w:val="auto"/>
                      <w:kern w:val="0"/>
                      <w:szCs w:val="21"/>
                      <w:highlight w:val="none"/>
                      <w:lang w:val="en-US" w:eastAsia="zh-CN"/>
                    </w:rPr>
                  </w:pPr>
                  <w:r>
                    <w:rPr>
                      <w:rFonts w:hint="eastAsia" w:cs="Times New Roman"/>
                      <w:snapToGrid w:val="0"/>
                      <w:color w:val="auto"/>
                      <w:kern w:val="0"/>
                      <w:szCs w:val="21"/>
                      <w:highlight w:val="none"/>
                      <w:lang w:val="en-US" w:eastAsia="zh-CN"/>
                    </w:rPr>
                    <w:t>纯水制备</w:t>
                  </w:r>
                </w:p>
              </w:tc>
              <w:tc>
                <w:tcPr>
                  <w:tcW w:w="339" w:type="pct"/>
                  <w:tcMar>
                    <w:top w:w="0" w:type="dxa"/>
                    <w:left w:w="51" w:type="dxa"/>
                    <w:bottom w:w="0" w:type="dxa"/>
                    <w:right w:w="51" w:type="dxa"/>
                  </w:tcMar>
                  <w:vAlign w:val="center"/>
                </w:tcPr>
                <w:p w14:paraId="569E5C7F">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固态</w:t>
                  </w:r>
                </w:p>
              </w:tc>
              <w:tc>
                <w:tcPr>
                  <w:tcW w:w="774" w:type="pct"/>
                  <w:tcMar>
                    <w:top w:w="0" w:type="dxa"/>
                    <w:left w:w="51" w:type="dxa"/>
                    <w:bottom w:w="0" w:type="dxa"/>
                    <w:right w:w="51" w:type="dxa"/>
                  </w:tcMar>
                  <w:vAlign w:val="center"/>
                </w:tcPr>
                <w:p w14:paraId="4D2FEBC1">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纯水制备废滤</w:t>
                  </w:r>
                </w:p>
              </w:tc>
              <w:tc>
                <w:tcPr>
                  <w:tcW w:w="467" w:type="pct"/>
                  <w:tcMar>
                    <w:top w:w="0" w:type="dxa"/>
                    <w:left w:w="51" w:type="dxa"/>
                    <w:bottom w:w="0" w:type="dxa"/>
                    <w:right w:w="51" w:type="dxa"/>
                  </w:tcMar>
                  <w:vAlign w:val="center"/>
                </w:tcPr>
                <w:p w14:paraId="0E0B6F9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lang w:val="en-US" w:eastAsia="zh-CN"/>
                    </w:rPr>
                  </w:pPr>
                </w:p>
              </w:tc>
              <w:tc>
                <w:tcPr>
                  <w:tcW w:w="494" w:type="pct"/>
                  <w:tcMar>
                    <w:top w:w="0" w:type="dxa"/>
                    <w:left w:w="51" w:type="dxa"/>
                    <w:bottom w:w="0" w:type="dxa"/>
                    <w:right w:w="51" w:type="dxa"/>
                  </w:tcMar>
                  <w:vAlign w:val="center"/>
                </w:tcPr>
                <w:p w14:paraId="1DBFDF18">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410" w:type="pct"/>
                  <w:tcMar>
                    <w:top w:w="0" w:type="dxa"/>
                    <w:left w:w="51" w:type="dxa"/>
                    <w:bottom w:w="0" w:type="dxa"/>
                    <w:right w:w="51" w:type="dxa"/>
                  </w:tcMar>
                  <w:vAlign w:val="center"/>
                </w:tcPr>
                <w:p w14:paraId="5B1E2029">
                  <w:pPr>
                    <w:keepNext w:val="0"/>
                    <w:keepLines w:val="0"/>
                    <w:suppressLineNumbers w:val="0"/>
                    <w:adjustRightInd w:val="0"/>
                    <w:snapToGrid w:val="0"/>
                    <w:spacing w:before="0" w:beforeAutospacing="0" w:after="0" w:afterAutospacing="0"/>
                    <w:ind w:left="-50" w:leftChars="0" w:right="-50" w:right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033" w:type="pct"/>
                  <w:vMerge w:val="continue"/>
                  <w:tcMar>
                    <w:top w:w="0" w:type="dxa"/>
                    <w:left w:w="51" w:type="dxa"/>
                    <w:bottom w:w="0" w:type="dxa"/>
                    <w:right w:w="51" w:type="dxa"/>
                  </w:tcMar>
                  <w:vAlign w:val="center"/>
                </w:tcPr>
                <w:p w14:paraId="731008F7">
                  <w:pPr>
                    <w:keepNext w:val="0"/>
                    <w:keepLines w:val="0"/>
                    <w:suppressLineNumbers w:val="0"/>
                    <w:adjustRightInd w:val="0"/>
                    <w:snapToGrid w:val="0"/>
                    <w:spacing w:before="0" w:beforeAutospacing="0" w:after="0" w:afterAutospacing="0"/>
                    <w:ind w:left="-50" w:right="-50"/>
                    <w:jc w:val="center"/>
                    <w:rPr>
                      <w:rFonts w:hint="default" w:ascii="Times New Roman" w:hAnsi="Times New Roman" w:eastAsia="宋体" w:cs="Times New Roman"/>
                      <w:color w:val="auto"/>
                      <w:szCs w:val="21"/>
                      <w:highlight w:val="none"/>
                    </w:rPr>
                  </w:pPr>
                </w:p>
              </w:tc>
            </w:tr>
            <w:tr w14:paraId="723F8A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8" w:hRule="atLeast"/>
                <w:jc w:val="center"/>
              </w:trPr>
              <w:tc>
                <w:tcPr>
                  <w:tcW w:w="267" w:type="pct"/>
                  <w:tcMar>
                    <w:top w:w="0" w:type="dxa"/>
                    <w:left w:w="51" w:type="dxa"/>
                    <w:bottom w:w="0" w:type="dxa"/>
                    <w:right w:w="51" w:type="dxa"/>
                  </w:tcMar>
                  <w:vAlign w:val="center"/>
                </w:tcPr>
                <w:p w14:paraId="61ED64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7</w:t>
                  </w:r>
                </w:p>
              </w:tc>
              <w:tc>
                <w:tcPr>
                  <w:tcW w:w="639" w:type="pct"/>
                  <w:tcMar>
                    <w:top w:w="0" w:type="dxa"/>
                    <w:left w:w="51" w:type="dxa"/>
                    <w:bottom w:w="0" w:type="dxa"/>
                    <w:right w:w="51" w:type="dxa"/>
                  </w:tcMar>
                  <w:vAlign w:val="center"/>
                </w:tcPr>
                <w:p w14:paraId="4F73784F">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蛋白纯化废滤芯</w:t>
                  </w:r>
                </w:p>
              </w:tc>
              <w:tc>
                <w:tcPr>
                  <w:tcW w:w="573" w:type="pct"/>
                  <w:tcMar>
                    <w:top w:w="0" w:type="dxa"/>
                    <w:left w:w="51" w:type="dxa"/>
                    <w:bottom w:w="0" w:type="dxa"/>
                    <w:right w:w="51" w:type="dxa"/>
                  </w:tcMar>
                  <w:vAlign w:val="center"/>
                </w:tcPr>
                <w:p w14:paraId="4EFA89AB">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snapToGrid w:val="0"/>
                      <w:color w:val="auto"/>
                      <w:kern w:val="0"/>
                      <w:szCs w:val="21"/>
                      <w:highlight w:val="none"/>
                      <w:lang w:val="en-US" w:eastAsia="zh-CN"/>
                    </w:rPr>
                  </w:pPr>
                  <w:r>
                    <w:rPr>
                      <w:rFonts w:hint="eastAsia" w:cs="Times New Roman"/>
                      <w:snapToGrid w:val="0"/>
                      <w:color w:val="auto"/>
                      <w:kern w:val="0"/>
                      <w:szCs w:val="21"/>
                      <w:highlight w:val="none"/>
                      <w:lang w:val="en-US" w:eastAsia="zh-CN"/>
                    </w:rPr>
                    <w:t>蛋白纯化</w:t>
                  </w:r>
                </w:p>
              </w:tc>
              <w:tc>
                <w:tcPr>
                  <w:tcW w:w="339" w:type="pct"/>
                  <w:tcMar>
                    <w:top w:w="0" w:type="dxa"/>
                    <w:left w:w="51" w:type="dxa"/>
                    <w:bottom w:w="0" w:type="dxa"/>
                    <w:right w:w="51" w:type="dxa"/>
                  </w:tcMar>
                  <w:vAlign w:val="center"/>
                </w:tcPr>
                <w:p w14:paraId="23824289">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固态</w:t>
                  </w:r>
                </w:p>
              </w:tc>
              <w:tc>
                <w:tcPr>
                  <w:tcW w:w="774" w:type="pct"/>
                  <w:tcMar>
                    <w:top w:w="0" w:type="dxa"/>
                    <w:left w:w="51" w:type="dxa"/>
                    <w:bottom w:w="0" w:type="dxa"/>
                    <w:right w:w="51" w:type="dxa"/>
                  </w:tcMar>
                  <w:vAlign w:val="center"/>
                </w:tcPr>
                <w:p w14:paraId="274F1CC3">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蛋白纯化过滤器材</w:t>
                  </w:r>
                </w:p>
              </w:tc>
              <w:tc>
                <w:tcPr>
                  <w:tcW w:w="467" w:type="pct"/>
                  <w:tcMar>
                    <w:top w:w="0" w:type="dxa"/>
                    <w:left w:w="51" w:type="dxa"/>
                    <w:bottom w:w="0" w:type="dxa"/>
                    <w:right w:w="51" w:type="dxa"/>
                  </w:tcMar>
                  <w:vAlign w:val="center"/>
                </w:tcPr>
                <w:p w14:paraId="1C1B5A1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lang w:val="en-US" w:eastAsia="zh-CN"/>
                    </w:rPr>
                  </w:pPr>
                </w:p>
              </w:tc>
              <w:tc>
                <w:tcPr>
                  <w:tcW w:w="494" w:type="pct"/>
                  <w:tcMar>
                    <w:top w:w="0" w:type="dxa"/>
                    <w:left w:w="51" w:type="dxa"/>
                    <w:bottom w:w="0" w:type="dxa"/>
                    <w:right w:w="51" w:type="dxa"/>
                  </w:tcMar>
                  <w:vAlign w:val="center"/>
                </w:tcPr>
                <w:p w14:paraId="0EB003CC">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410" w:type="pct"/>
                  <w:tcMar>
                    <w:top w:w="0" w:type="dxa"/>
                    <w:left w:w="51" w:type="dxa"/>
                    <w:bottom w:w="0" w:type="dxa"/>
                    <w:right w:w="51" w:type="dxa"/>
                  </w:tcMar>
                  <w:vAlign w:val="center"/>
                </w:tcPr>
                <w:p w14:paraId="52910250">
                  <w:pPr>
                    <w:keepNext w:val="0"/>
                    <w:keepLines w:val="0"/>
                    <w:suppressLineNumbers w:val="0"/>
                    <w:adjustRightInd w:val="0"/>
                    <w:snapToGrid w:val="0"/>
                    <w:spacing w:before="0" w:beforeAutospacing="0" w:after="0" w:afterAutospacing="0"/>
                    <w:ind w:left="-50" w:leftChars="0" w:right="-50" w:right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033" w:type="pct"/>
                  <w:vMerge w:val="continue"/>
                  <w:tcMar>
                    <w:top w:w="0" w:type="dxa"/>
                    <w:left w:w="51" w:type="dxa"/>
                    <w:bottom w:w="0" w:type="dxa"/>
                    <w:right w:w="51" w:type="dxa"/>
                  </w:tcMar>
                  <w:vAlign w:val="center"/>
                </w:tcPr>
                <w:p w14:paraId="08496114">
                  <w:pPr>
                    <w:keepNext w:val="0"/>
                    <w:keepLines w:val="0"/>
                    <w:suppressLineNumbers w:val="0"/>
                    <w:adjustRightInd w:val="0"/>
                    <w:snapToGrid w:val="0"/>
                    <w:spacing w:before="0" w:beforeAutospacing="0" w:after="0" w:afterAutospacing="0"/>
                    <w:ind w:left="-50" w:right="-50"/>
                    <w:jc w:val="center"/>
                    <w:rPr>
                      <w:rFonts w:hint="default" w:ascii="Times New Roman" w:hAnsi="Times New Roman" w:eastAsia="宋体" w:cs="Times New Roman"/>
                      <w:color w:val="auto"/>
                      <w:szCs w:val="21"/>
                      <w:highlight w:val="none"/>
                    </w:rPr>
                  </w:pPr>
                </w:p>
              </w:tc>
            </w:tr>
            <w:tr w14:paraId="49D841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8" w:hRule="atLeast"/>
                <w:jc w:val="center"/>
              </w:trPr>
              <w:tc>
                <w:tcPr>
                  <w:tcW w:w="267" w:type="pct"/>
                  <w:tcMar>
                    <w:top w:w="0" w:type="dxa"/>
                    <w:left w:w="51" w:type="dxa"/>
                    <w:bottom w:w="0" w:type="dxa"/>
                    <w:right w:w="51" w:type="dxa"/>
                  </w:tcMar>
                  <w:vAlign w:val="center"/>
                </w:tcPr>
                <w:p w14:paraId="07D09D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8</w:t>
                  </w:r>
                </w:p>
              </w:tc>
              <w:tc>
                <w:tcPr>
                  <w:tcW w:w="639" w:type="pct"/>
                  <w:tcMar>
                    <w:top w:w="0" w:type="dxa"/>
                    <w:left w:w="51" w:type="dxa"/>
                    <w:bottom w:w="0" w:type="dxa"/>
                    <w:right w:w="51" w:type="dxa"/>
                  </w:tcMar>
                  <w:vAlign w:val="center"/>
                </w:tcPr>
                <w:p w14:paraId="081D45BD">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废活性炭</w:t>
                  </w:r>
                </w:p>
              </w:tc>
              <w:tc>
                <w:tcPr>
                  <w:tcW w:w="573" w:type="pct"/>
                  <w:tcMar>
                    <w:top w:w="0" w:type="dxa"/>
                    <w:left w:w="51" w:type="dxa"/>
                    <w:bottom w:w="0" w:type="dxa"/>
                    <w:right w:w="51" w:type="dxa"/>
                  </w:tcMar>
                  <w:vAlign w:val="center"/>
                </w:tcPr>
                <w:p w14:paraId="453316AD">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snapToGrid w:val="0"/>
                      <w:color w:val="auto"/>
                      <w:kern w:val="0"/>
                      <w:szCs w:val="21"/>
                      <w:highlight w:val="none"/>
                      <w:lang w:val="en-US" w:eastAsia="zh-CN"/>
                    </w:rPr>
                  </w:pPr>
                  <w:r>
                    <w:rPr>
                      <w:rFonts w:hint="eastAsia" w:cs="Times New Roman"/>
                      <w:snapToGrid w:val="0"/>
                      <w:color w:val="auto"/>
                      <w:kern w:val="0"/>
                      <w:szCs w:val="21"/>
                      <w:highlight w:val="none"/>
                      <w:lang w:val="en-US" w:eastAsia="zh-CN"/>
                    </w:rPr>
                    <w:t>废气处理</w:t>
                  </w:r>
                </w:p>
              </w:tc>
              <w:tc>
                <w:tcPr>
                  <w:tcW w:w="339" w:type="pct"/>
                  <w:tcMar>
                    <w:top w:w="0" w:type="dxa"/>
                    <w:left w:w="51" w:type="dxa"/>
                    <w:bottom w:w="0" w:type="dxa"/>
                    <w:right w:w="51" w:type="dxa"/>
                  </w:tcMar>
                  <w:vAlign w:val="center"/>
                </w:tcPr>
                <w:p w14:paraId="3C237B26">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固态</w:t>
                  </w:r>
                </w:p>
              </w:tc>
              <w:tc>
                <w:tcPr>
                  <w:tcW w:w="774" w:type="pct"/>
                  <w:tcMar>
                    <w:top w:w="0" w:type="dxa"/>
                    <w:left w:w="51" w:type="dxa"/>
                    <w:bottom w:w="0" w:type="dxa"/>
                    <w:right w:w="51" w:type="dxa"/>
                  </w:tcMar>
                  <w:vAlign w:val="center"/>
                </w:tcPr>
                <w:p w14:paraId="64C443F3">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活性炭</w:t>
                  </w:r>
                </w:p>
              </w:tc>
              <w:tc>
                <w:tcPr>
                  <w:tcW w:w="467" w:type="pct"/>
                  <w:tcMar>
                    <w:top w:w="0" w:type="dxa"/>
                    <w:left w:w="51" w:type="dxa"/>
                    <w:bottom w:w="0" w:type="dxa"/>
                    <w:right w:w="51" w:type="dxa"/>
                  </w:tcMar>
                  <w:vAlign w:val="center"/>
                </w:tcPr>
                <w:p w14:paraId="6601EA9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1.841</w:t>
                  </w:r>
                </w:p>
              </w:tc>
              <w:tc>
                <w:tcPr>
                  <w:tcW w:w="494" w:type="pct"/>
                  <w:tcMar>
                    <w:top w:w="0" w:type="dxa"/>
                    <w:left w:w="51" w:type="dxa"/>
                    <w:bottom w:w="0" w:type="dxa"/>
                    <w:right w:w="51" w:type="dxa"/>
                  </w:tcMar>
                  <w:vAlign w:val="center"/>
                </w:tcPr>
                <w:p w14:paraId="656DE64E">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410" w:type="pct"/>
                  <w:tcMar>
                    <w:top w:w="0" w:type="dxa"/>
                    <w:left w:w="51" w:type="dxa"/>
                    <w:bottom w:w="0" w:type="dxa"/>
                    <w:right w:w="51" w:type="dxa"/>
                  </w:tcMar>
                  <w:vAlign w:val="center"/>
                </w:tcPr>
                <w:p w14:paraId="33A77681">
                  <w:pPr>
                    <w:keepNext w:val="0"/>
                    <w:keepLines w:val="0"/>
                    <w:suppressLineNumbers w:val="0"/>
                    <w:adjustRightInd w:val="0"/>
                    <w:snapToGrid w:val="0"/>
                    <w:spacing w:before="0" w:beforeAutospacing="0" w:after="0" w:afterAutospacing="0"/>
                    <w:ind w:left="-50" w:leftChars="0" w:right="-50" w:right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033" w:type="pct"/>
                  <w:vMerge w:val="continue"/>
                  <w:tcMar>
                    <w:top w:w="0" w:type="dxa"/>
                    <w:left w:w="51" w:type="dxa"/>
                    <w:bottom w:w="0" w:type="dxa"/>
                    <w:right w:w="51" w:type="dxa"/>
                  </w:tcMar>
                  <w:vAlign w:val="center"/>
                </w:tcPr>
                <w:p w14:paraId="55ACFD07">
                  <w:pPr>
                    <w:keepNext w:val="0"/>
                    <w:keepLines w:val="0"/>
                    <w:suppressLineNumbers w:val="0"/>
                    <w:adjustRightInd w:val="0"/>
                    <w:snapToGrid w:val="0"/>
                    <w:spacing w:before="0" w:beforeAutospacing="0" w:after="0" w:afterAutospacing="0"/>
                    <w:ind w:left="-50" w:right="-50"/>
                    <w:jc w:val="center"/>
                    <w:rPr>
                      <w:rFonts w:hint="default" w:ascii="Times New Roman" w:hAnsi="Times New Roman" w:eastAsia="宋体" w:cs="Times New Roman"/>
                      <w:color w:val="auto"/>
                      <w:szCs w:val="21"/>
                      <w:highlight w:val="none"/>
                    </w:rPr>
                  </w:pPr>
                </w:p>
              </w:tc>
            </w:tr>
            <w:tr w14:paraId="14E2D1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8" w:hRule="atLeast"/>
                <w:jc w:val="center"/>
              </w:trPr>
              <w:tc>
                <w:tcPr>
                  <w:tcW w:w="267" w:type="pct"/>
                  <w:tcMar>
                    <w:top w:w="0" w:type="dxa"/>
                    <w:left w:w="51" w:type="dxa"/>
                    <w:bottom w:w="0" w:type="dxa"/>
                    <w:right w:w="51" w:type="dxa"/>
                  </w:tcMar>
                  <w:vAlign w:val="center"/>
                </w:tcPr>
                <w:p w14:paraId="222EB3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9</w:t>
                  </w:r>
                </w:p>
              </w:tc>
              <w:tc>
                <w:tcPr>
                  <w:tcW w:w="639" w:type="pct"/>
                  <w:tcMar>
                    <w:top w:w="0" w:type="dxa"/>
                    <w:left w:w="51" w:type="dxa"/>
                    <w:bottom w:w="0" w:type="dxa"/>
                    <w:right w:w="51" w:type="dxa"/>
                  </w:tcMar>
                  <w:vAlign w:val="center"/>
                </w:tcPr>
                <w:p w14:paraId="65A90891">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生活垃圾</w:t>
                  </w:r>
                </w:p>
              </w:tc>
              <w:tc>
                <w:tcPr>
                  <w:tcW w:w="573" w:type="pct"/>
                  <w:tcMar>
                    <w:top w:w="0" w:type="dxa"/>
                    <w:left w:w="51" w:type="dxa"/>
                    <w:bottom w:w="0" w:type="dxa"/>
                    <w:right w:w="51" w:type="dxa"/>
                  </w:tcMar>
                  <w:vAlign w:val="center"/>
                </w:tcPr>
                <w:p w14:paraId="72D2CC2C">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snapToGrid w:val="0"/>
                      <w:color w:val="auto"/>
                      <w:kern w:val="0"/>
                      <w:szCs w:val="21"/>
                      <w:highlight w:val="none"/>
                      <w:lang w:val="en-US" w:eastAsia="zh-CN"/>
                    </w:rPr>
                  </w:pPr>
                  <w:r>
                    <w:rPr>
                      <w:rFonts w:hint="eastAsia" w:cs="Times New Roman"/>
                      <w:snapToGrid w:val="0"/>
                      <w:color w:val="auto"/>
                      <w:kern w:val="0"/>
                      <w:szCs w:val="21"/>
                      <w:highlight w:val="none"/>
                      <w:lang w:val="en-US" w:eastAsia="zh-CN"/>
                    </w:rPr>
                    <w:t>员工生活</w:t>
                  </w:r>
                </w:p>
              </w:tc>
              <w:tc>
                <w:tcPr>
                  <w:tcW w:w="339" w:type="pct"/>
                  <w:tcMar>
                    <w:top w:w="0" w:type="dxa"/>
                    <w:left w:w="51" w:type="dxa"/>
                    <w:bottom w:w="0" w:type="dxa"/>
                    <w:right w:w="51" w:type="dxa"/>
                  </w:tcMar>
                  <w:vAlign w:val="center"/>
                </w:tcPr>
                <w:p w14:paraId="71B93BBE">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固态</w:t>
                  </w:r>
                </w:p>
              </w:tc>
              <w:tc>
                <w:tcPr>
                  <w:tcW w:w="774" w:type="pct"/>
                  <w:tcMar>
                    <w:top w:w="0" w:type="dxa"/>
                    <w:left w:w="51" w:type="dxa"/>
                    <w:bottom w:w="0" w:type="dxa"/>
                    <w:right w:w="51" w:type="dxa"/>
                  </w:tcMar>
                  <w:vAlign w:val="center"/>
                </w:tcPr>
                <w:p w14:paraId="689719EA">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果皮、纸屑</w:t>
                  </w:r>
                </w:p>
              </w:tc>
              <w:tc>
                <w:tcPr>
                  <w:tcW w:w="467" w:type="pct"/>
                  <w:tcMar>
                    <w:top w:w="0" w:type="dxa"/>
                    <w:left w:w="51" w:type="dxa"/>
                    <w:bottom w:w="0" w:type="dxa"/>
                    <w:right w:w="51" w:type="dxa"/>
                  </w:tcMar>
                  <w:vAlign w:val="center"/>
                </w:tcPr>
                <w:p w14:paraId="6C58A36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3.075</w:t>
                  </w:r>
                </w:p>
              </w:tc>
              <w:tc>
                <w:tcPr>
                  <w:tcW w:w="494" w:type="pct"/>
                  <w:tcMar>
                    <w:top w:w="0" w:type="dxa"/>
                    <w:left w:w="51" w:type="dxa"/>
                    <w:bottom w:w="0" w:type="dxa"/>
                    <w:right w:w="51" w:type="dxa"/>
                  </w:tcMar>
                  <w:vAlign w:val="center"/>
                </w:tcPr>
                <w:p w14:paraId="4D83A732">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410" w:type="pct"/>
                  <w:tcMar>
                    <w:top w:w="0" w:type="dxa"/>
                    <w:left w:w="51" w:type="dxa"/>
                    <w:bottom w:w="0" w:type="dxa"/>
                    <w:right w:w="51" w:type="dxa"/>
                  </w:tcMar>
                  <w:vAlign w:val="center"/>
                </w:tcPr>
                <w:p w14:paraId="7B55C6EE">
                  <w:pPr>
                    <w:keepNext w:val="0"/>
                    <w:keepLines w:val="0"/>
                    <w:suppressLineNumbers w:val="0"/>
                    <w:adjustRightInd w:val="0"/>
                    <w:snapToGrid w:val="0"/>
                    <w:spacing w:before="0" w:beforeAutospacing="0" w:after="0" w:afterAutospacing="0"/>
                    <w:ind w:left="-50" w:leftChars="0" w:right="-50" w:right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033" w:type="pct"/>
                  <w:vMerge w:val="continue"/>
                  <w:tcMar>
                    <w:top w:w="0" w:type="dxa"/>
                    <w:left w:w="51" w:type="dxa"/>
                    <w:bottom w:w="0" w:type="dxa"/>
                    <w:right w:w="51" w:type="dxa"/>
                  </w:tcMar>
                  <w:vAlign w:val="center"/>
                </w:tcPr>
                <w:p w14:paraId="6B7AD09A">
                  <w:pPr>
                    <w:keepNext w:val="0"/>
                    <w:keepLines w:val="0"/>
                    <w:suppressLineNumbers w:val="0"/>
                    <w:adjustRightInd w:val="0"/>
                    <w:snapToGrid w:val="0"/>
                    <w:spacing w:before="0" w:beforeAutospacing="0" w:after="0" w:afterAutospacing="0"/>
                    <w:ind w:left="-50" w:right="-50"/>
                    <w:jc w:val="center"/>
                    <w:rPr>
                      <w:rFonts w:hint="default" w:ascii="Times New Roman" w:hAnsi="Times New Roman" w:eastAsia="宋体" w:cs="Times New Roman"/>
                      <w:color w:val="auto"/>
                      <w:szCs w:val="21"/>
                      <w:highlight w:val="none"/>
                    </w:rPr>
                  </w:pPr>
                </w:p>
              </w:tc>
            </w:tr>
          </w:tbl>
          <w:p w14:paraId="5CE5C66E">
            <w:pPr>
              <w:keepNext w:val="0"/>
              <w:keepLines w:val="0"/>
              <w:suppressLineNumbers w:val="0"/>
              <w:adjustRightInd w:val="0"/>
              <w:snapToGrid w:val="0"/>
              <w:spacing w:before="159" w:beforeLines="5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根据上表可知，本项目产生的各类副产物均属于固体废物。</w:t>
            </w:r>
          </w:p>
          <w:p w14:paraId="1FC6C17C">
            <w:pPr>
              <w:keepNext w:val="0"/>
              <w:keepLines w:val="0"/>
              <w:numPr>
                <w:ilvl w:val="0"/>
                <w:numId w:val="0"/>
              </w:numPr>
              <w:suppressLineNumbers w:val="0"/>
              <w:adjustRightInd w:val="0"/>
              <w:snapToGrid w:val="0"/>
              <w:spacing w:before="0" w:beforeAutospacing="0" w:after="0" w:afterAutospacing="0" w:line="360" w:lineRule="auto"/>
              <w:ind w:left="420" w:leftChars="200" w:right="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rPr>
              <w:t>危险废物属性判定</w:t>
            </w:r>
          </w:p>
          <w:p w14:paraId="265F32F6">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根据《国家危险废物名录（202</w:t>
            </w:r>
            <w:r>
              <w:rPr>
                <w:rFonts w:hint="eastAsia"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版）》以及《危险废物鉴别标准》，判定建设项目的固体废物是否属于危险废物。根据副产物产生情况分析和副产物属性判定，本项目固体废物分析结果及危险废物分析结果汇总下表。</w:t>
            </w:r>
          </w:p>
          <w:p w14:paraId="0B026546">
            <w:pPr>
              <w:keepNext w:val="0"/>
              <w:keepLines w:val="0"/>
              <w:widowControl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bCs/>
                <w:color w:val="auto"/>
                <w:kern w:val="2"/>
                <w:sz w:val="24"/>
                <w:szCs w:val="20"/>
                <w:highlight w:val="none"/>
                <w:lang w:val="en-US" w:eastAsia="zh-CN" w:bidi="ar-SA"/>
              </w:rPr>
            </w:pPr>
            <w:r>
              <w:rPr>
                <w:rFonts w:hint="default" w:ascii="Times New Roman" w:hAnsi="Times New Roman" w:eastAsia="宋体" w:cs="Times New Roman"/>
                <w:b/>
                <w:bCs/>
                <w:color w:val="auto"/>
                <w:kern w:val="2"/>
                <w:sz w:val="24"/>
                <w:szCs w:val="24"/>
                <w:lang w:val="en-US" w:eastAsia="zh-CN" w:bidi="ar-SA"/>
              </w:rPr>
              <w:t>表4-</w:t>
            </w:r>
            <w:r>
              <w:rPr>
                <w:rFonts w:hint="eastAsia" w:ascii="Times New Roman" w:hAnsi="Times New Roman" w:eastAsia="宋体" w:cs="Times New Roman"/>
                <w:b/>
                <w:bCs/>
                <w:color w:val="auto"/>
                <w:kern w:val="2"/>
                <w:sz w:val="24"/>
                <w:szCs w:val="24"/>
                <w:lang w:val="en-US" w:eastAsia="zh-CN" w:bidi="ar-SA"/>
              </w:rPr>
              <w:t xml:space="preserve">22  </w:t>
            </w:r>
            <w:r>
              <w:rPr>
                <w:rFonts w:hint="default" w:ascii="Times New Roman" w:hAnsi="Times New Roman" w:eastAsia="宋体" w:cs="Times New Roman"/>
                <w:b/>
                <w:bCs/>
                <w:color w:val="auto"/>
                <w:kern w:val="2"/>
                <w:sz w:val="24"/>
                <w:szCs w:val="20"/>
                <w:highlight w:val="none"/>
                <w:lang w:val="en-US" w:eastAsia="zh-CN" w:bidi="ar-SA"/>
              </w:rPr>
              <w:t>本项目固体废物分析结果汇总表</w:t>
            </w:r>
          </w:p>
          <w:tbl>
            <w:tblPr>
              <w:tblStyle w:val="25"/>
              <w:tblW w:w="4994"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343"/>
              <w:gridCol w:w="554"/>
              <w:gridCol w:w="864"/>
              <w:gridCol w:w="469"/>
              <w:gridCol w:w="923"/>
              <w:gridCol w:w="357"/>
              <w:gridCol w:w="762"/>
              <w:gridCol w:w="871"/>
              <w:gridCol w:w="777"/>
              <w:gridCol w:w="1314"/>
              <w:gridCol w:w="715"/>
              <w:gridCol w:w="748"/>
            </w:tblGrid>
            <w:tr w14:paraId="388B02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7" w:type="pct"/>
                  <w:tcBorders>
                    <w:top w:val="single" w:color="000000" w:sz="12" w:space="0"/>
                    <w:tl2br w:val="nil"/>
                    <w:tr2bl w:val="nil"/>
                  </w:tcBorders>
                  <w:vAlign w:val="center"/>
                </w:tcPr>
                <w:p w14:paraId="19E5525C">
                  <w:pPr>
                    <w:keepNext w:val="0"/>
                    <w:keepLines w:val="0"/>
                    <w:pageBreakBefore w:val="0"/>
                    <w:suppressLineNumbers w:val="0"/>
                    <w:kinsoku/>
                    <w:wordWrap/>
                    <w:overflowPunct/>
                    <w:topLinePunct w:val="0"/>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序号</w:t>
                  </w:r>
                </w:p>
              </w:tc>
              <w:tc>
                <w:tcPr>
                  <w:tcW w:w="325" w:type="pct"/>
                  <w:tcBorders>
                    <w:top w:val="single" w:color="000000" w:sz="12" w:space="0"/>
                    <w:tl2br w:val="nil"/>
                    <w:tr2bl w:val="nil"/>
                  </w:tcBorders>
                  <w:vAlign w:val="center"/>
                </w:tcPr>
                <w:p w14:paraId="06229371">
                  <w:pPr>
                    <w:keepNext w:val="0"/>
                    <w:keepLines w:val="0"/>
                    <w:pageBreakBefore w:val="0"/>
                    <w:suppressLineNumbers w:val="0"/>
                    <w:kinsoku/>
                    <w:wordWrap/>
                    <w:overflowPunct/>
                    <w:topLinePunct w:val="0"/>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固废名称</w:t>
                  </w:r>
                </w:p>
              </w:tc>
              <w:tc>
                <w:tcPr>
                  <w:tcW w:w="503" w:type="pct"/>
                  <w:tcBorders>
                    <w:top w:val="single" w:color="000000" w:sz="12" w:space="0"/>
                    <w:tl2br w:val="nil"/>
                    <w:tr2bl w:val="nil"/>
                  </w:tcBorders>
                  <w:vAlign w:val="center"/>
                </w:tcPr>
                <w:p w14:paraId="6FD7A116">
                  <w:pPr>
                    <w:keepNext w:val="0"/>
                    <w:keepLines w:val="0"/>
                    <w:pageBreakBefore w:val="0"/>
                    <w:suppressLineNumbers w:val="0"/>
                    <w:kinsoku/>
                    <w:wordWrap/>
                    <w:overflowPunct/>
                    <w:topLinePunct w:val="0"/>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产生工序</w:t>
                  </w:r>
                </w:p>
              </w:tc>
              <w:tc>
                <w:tcPr>
                  <w:tcW w:w="276" w:type="pct"/>
                  <w:tcBorders>
                    <w:top w:val="single" w:color="000000" w:sz="12" w:space="0"/>
                    <w:tl2br w:val="nil"/>
                    <w:tr2bl w:val="nil"/>
                  </w:tcBorders>
                  <w:vAlign w:val="center"/>
                </w:tcPr>
                <w:p w14:paraId="7D896C15">
                  <w:pPr>
                    <w:keepNext w:val="0"/>
                    <w:keepLines w:val="0"/>
                    <w:pageBreakBefore w:val="0"/>
                    <w:suppressLineNumbers w:val="0"/>
                    <w:kinsoku/>
                    <w:wordWrap/>
                    <w:overflowPunct/>
                    <w:topLinePunct w:val="0"/>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形态</w:t>
                  </w:r>
                </w:p>
              </w:tc>
              <w:tc>
                <w:tcPr>
                  <w:tcW w:w="537" w:type="pct"/>
                  <w:tcBorders>
                    <w:top w:val="single" w:color="000000" w:sz="12" w:space="0"/>
                    <w:tl2br w:val="nil"/>
                    <w:tr2bl w:val="nil"/>
                  </w:tcBorders>
                  <w:vAlign w:val="center"/>
                </w:tcPr>
                <w:p w14:paraId="10E51655">
                  <w:pPr>
                    <w:keepNext w:val="0"/>
                    <w:keepLines w:val="0"/>
                    <w:pageBreakBefore w:val="0"/>
                    <w:suppressLineNumbers w:val="0"/>
                    <w:kinsoku/>
                    <w:wordWrap/>
                    <w:overflowPunct/>
                    <w:topLinePunct w:val="0"/>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主要成分</w:t>
                  </w:r>
                </w:p>
              </w:tc>
              <w:tc>
                <w:tcPr>
                  <w:tcW w:w="212" w:type="pct"/>
                  <w:tcBorders>
                    <w:top w:val="single" w:color="000000" w:sz="12" w:space="0"/>
                    <w:tl2br w:val="nil"/>
                    <w:tr2bl w:val="nil"/>
                  </w:tcBorders>
                  <w:vAlign w:val="center"/>
                </w:tcPr>
                <w:p w14:paraId="59A7CE3C">
                  <w:pPr>
                    <w:keepNext w:val="0"/>
                    <w:keepLines w:val="0"/>
                    <w:pageBreakBefore w:val="0"/>
                    <w:suppressLineNumbers w:val="0"/>
                    <w:kinsoku/>
                    <w:wordWrap/>
                    <w:overflowPunct/>
                    <w:topLinePunct w:val="0"/>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属性</w:t>
                  </w:r>
                </w:p>
              </w:tc>
              <w:tc>
                <w:tcPr>
                  <w:tcW w:w="438" w:type="pct"/>
                  <w:tcBorders>
                    <w:top w:val="single" w:color="000000" w:sz="12" w:space="0"/>
                    <w:tl2br w:val="nil"/>
                    <w:tr2bl w:val="nil"/>
                  </w:tcBorders>
                  <w:vAlign w:val="center"/>
                </w:tcPr>
                <w:p w14:paraId="5F449EC6">
                  <w:pPr>
                    <w:keepNext w:val="0"/>
                    <w:keepLines w:val="0"/>
                    <w:pageBreakBefore w:val="0"/>
                    <w:suppressLineNumbers w:val="0"/>
                    <w:kinsoku/>
                    <w:wordWrap/>
                    <w:overflowPunct/>
                    <w:topLinePunct w:val="0"/>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类别鉴别方法</w:t>
                  </w:r>
                </w:p>
              </w:tc>
              <w:tc>
                <w:tcPr>
                  <w:tcW w:w="500" w:type="pct"/>
                  <w:tcBorders>
                    <w:top w:val="single" w:color="000000" w:sz="12" w:space="0"/>
                    <w:tl2br w:val="nil"/>
                    <w:tr2bl w:val="nil"/>
                  </w:tcBorders>
                  <w:vAlign w:val="center"/>
                </w:tcPr>
                <w:p w14:paraId="60ED6016">
                  <w:pPr>
                    <w:keepNext w:val="0"/>
                    <w:keepLines w:val="0"/>
                    <w:pageBreakBefore w:val="0"/>
                    <w:suppressLineNumbers w:val="0"/>
                    <w:kinsoku/>
                    <w:wordWrap/>
                    <w:overflowPunct/>
                    <w:topLinePunct w:val="0"/>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危险</w:t>
                  </w:r>
                </w:p>
                <w:p w14:paraId="5E340ED1">
                  <w:pPr>
                    <w:keepNext w:val="0"/>
                    <w:keepLines w:val="0"/>
                    <w:pageBreakBefore w:val="0"/>
                    <w:suppressLineNumbers w:val="0"/>
                    <w:kinsoku/>
                    <w:wordWrap/>
                    <w:overflowPunct/>
                    <w:topLinePunct w:val="0"/>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特性</w:t>
                  </w:r>
                </w:p>
              </w:tc>
              <w:tc>
                <w:tcPr>
                  <w:tcW w:w="446" w:type="pct"/>
                  <w:tcBorders>
                    <w:top w:val="single" w:color="000000" w:sz="12" w:space="0"/>
                    <w:tl2br w:val="nil"/>
                    <w:tr2bl w:val="nil"/>
                  </w:tcBorders>
                  <w:vAlign w:val="center"/>
                </w:tcPr>
                <w:p w14:paraId="7F295A7E">
                  <w:pPr>
                    <w:keepNext w:val="0"/>
                    <w:keepLines w:val="0"/>
                    <w:pageBreakBefore w:val="0"/>
                    <w:suppressLineNumbers w:val="0"/>
                    <w:kinsoku/>
                    <w:wordWrap/>
                    <w:overflowPunct/>
                    <w:topLinePunct w:val="0"/>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废物类别</w:t>
                  </w:r>
                </w:p>
              </w:tc>
              <w:tc>
                <w:tcPr>
                  <w:tcW w:w="688" w:type="pct"/>
                  <w:tcBorders>
                    <w:top w:val="single" w:color="000000" w:sz="12" w:space="0"/>
                    <w:tl2br w:val="nil"/>
                    <w:tr2bl w:val="nil"/>
                  </w:tcBorders>
                  <w:vAlign w:val="center"/>
                </w:tcPr>
                <w:p w14:paraId="1EC3832D">
                  <w:pPr>
                    <w:keepNext w:val="0"/>
                    <w:keepLines w:val="0"/>
                    <w:pageBreakBefore w:val="0"/>
                    <w:suppressLineNumbers w:val="0"/>
                    <w:kinsoku/>
                    <w:wordWrap/>
                    <w:overflowPunct/>
                    <w:topLinePunct w:val="0"/>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废物代码</w:t>
                  </w:r>
                </w:p>
              </w:tc>
              <w:tc>
                <w:tcPr>
                  <w:tcW w:w="436" w:type="pct"/>
                  <w:tcBorders>
                    <w:top w:val="single" w:color="000000" w:sz="12" w:space="0"/>
                    <w:tl2br w:val="nil"/>
                    <w:tr2bl w:val="nil"/>
                  </w:tcBorders>
                  <w:vAlign w:val="center"/>
                </w:tcPr>
                <w:p w14:paraId="2D24E60D">
                  <w:pPr>
                    <w:keepNext w:val="0"/>
                    <w:keepLines w:val="0"/>
                    <w:pageBreakBefore w:val="0"/>
                    <w:suppressLineNumbers w:val="0"/>
                    <w:kinsoku/>
                    <w:wordWrap/>
                    <w:overflowPunct/>
                    <w:topLinePunct w:val="0"/>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产生量t/a</w:t>
                  </w:r>
                </w:p>
              </w:tc>
              <w:tc>
                <w:tcPr>
                  <w:tcW w:w="436" w:type="pct"/>
                  <w:tcBorders>
                    <w:top w:val="single" w:color="000000" w:sz="12" w:space="0"/>
                    <w:tl2br w:val="nil"/>
                    <w:tr2bl w:val="nil"/>
                  </w:tcBorders>
                  <w:vAlign w:val="center"/>
                </w:tcPr>
                <w:p w14:paraId="193B007E">
                  <w:pPr>
                    <w:keepNext w:val="0"/>
                    <w:keepLines w:val="0"/>
                    <w:pageBreakBefore w:val="0"/>
                    <w:suppressLineNumbers w:val="0"/>
                    <w:kinsoku/>
                    <w:wordWrap/>
                    <w:overflowPunct/>
                    <w:topLinePunct w:val="0"/>
                    <w:autoSpaceDE/>
                    <w:autoSpaceDN w:val="0"/>
                    <w:bidi w:val="0"/>
                    <w:adjustRightInd w:val="0"/>
                    <w:snapToGrid w:val="0"/>
                    <w:spacing w:before="0" w:beforeAutospacing="0" w:after="0" w:afterAutospacing="0"/>
                    <w:ind w:left="-42" w:leftChars="-20" w:right="-42" w:rightChars="-20"/>
                    <w:jc w:val="center"/>
                    <w:rPr>
                      <w:rFonts w:hint="eastAsia"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处置周期</w:t>
                  </w:r>
                </w:p>
              </w:tc>
            </w:tr>
            <w:tr w14:paraId="2FF268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7" w:type="pct"/>
                  <w:tcBorders>
                    <w:tl2br w:val="nil"/>
                    <w:tr2bl w:val="nil"/>
                  </w:tcBorders>
                  <w:vAlign w:val="center"/>
                </w:tcPr>
                <w:p w14:paraId="4A0BFB13">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1</w:t>
                  </w:r>
                </w:p>
              </w:tc>
              <w:tc>
                <w:tcPr>
                  <w:tcW w:w="325" w:type="pct"/>
                  <w:tcBorders>
                    <w:tl2br w:val="nil"/>
                    <w:tr2bl w:val="nil"/>
                  </w:tcBorders>
                  <w:vAlign w:val="center"/>
                </w:tcPr>
                <w:p w14:paraId="3290B92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实验废液</w:t>
                  </w:r>
                </w:p>
              </w:tc>
              <w:tc>
                <w:tcPr>
                  <w:tcW w:w="503" w:type="pct"/>
                  <w:tcBorders>
                    <w:tl2br w:val="nil"/>
                    <w:tr2bl w:val="nil"/>
                  </w:tcBorders>
                  <w:vAlign w:val="center"/>
                </w:tcPr>
                <w:p w14:paraId="10C8329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实验过程</w:t>
                  </w:r>
                </w:p>
              </w:tc>
              <w:tc>
                <w:tcPr>
                  <w:tcW w:w="276" w:type="pct"/>
                  <w:tcBorders>
                    <w:tl2br w:val="nil"/>
                    <w:tr2bl w:val="nil"/>
                  </w:tcBorders>
                  <w:vAlign w:val="center"/>
                </w:tcPr>
                <w:p w14:paraId="6E6375C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液态</w:t>
                  </w:r>
                </w:p>
              </w:tc>
              <w:tc>
                <w:tcPr>
                  <w:tcW w:w="537" w:type="pct"/>
                  <w:tcBorders>
                    <w:tl2br w:val="nil"/>
                    <w:tr2bl w:val="nil"/>
                  </w:tcBorders>
                  <w:vAlign w:val="center"/>
                </w:tcPr>
                <w:p w14:paraId="5A2D4CA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color w:val="auto"/>
                      <w:szCs w:val="21"/>
                      <w:highlight w:val="none"/>
                      <w:lang w:val="en-US"/>
                    </w:rPr>
                    <w:t>废试剂、废样品</w:t>
                  </w:r>
                </w:p>
              </w:tc>
              <w:tc>
                <w:tcPr>
                  <w:tcW w:w="212" w:type="pct"/>
                  <w:vMerge w:val="restart"/>
                  <w:tcBorders>
                    <w:tl2br w:val="nil"/>
                    <w:tr2bl w:val="nil"/>
                  </w:tcBorders>
                  <w:vAlign w:val="center"/>
                </w:tcPr>
                <w:p w14:paraId="11FBCBB2">
                  <w:pPr>
                    <w:keepNext w:val="0"/>
                    <w:keepLines w:val="0"/>
                    <w:pageBreakBefore w:val="0"/>
                    <w:suppressLineNumbers w:val="0"/>
                    <w:kinsoku/>
                    <w:wordWrap/>
                    <w:overflowPunct/>
                    <w:topLinePunct w:val="0"/>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危险固废</w:t>
                  </w:r>
                </w:p>
              </w:tc>
              <w:tc>
                <w:tcPr>
                  <w:tcW w:w="438" w:type="pct"/>
                  <w:vMerge w:val="restart"/>
                  <w:tcBorders>
                    <w:tl2br w:val="nil"/>
                    <w:tr2bl w:val="nil"/>
                  </w:tcBorders>
                  <w:vAlign w:val="center"/>
                </w:tcPr>
                <w:p w14:paraId="2A4919F4">
                  <w:pPr>
                    <w:keepNext w:val="0"/>
                    <w:keepLines w:val="0"/>
                    <w:pageBreakBefore w:val="0"/>
                    <w:suppressLineNumbers w:val="0"/>
                    <w:kinsoku/>
                    <w:wordWrap/>
                    <w:overflowPunct/>
                    <w:topLinePunct w:val="0"/>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snapToGrid w:val="0"/>
                      <w:color w:val="auto"/>
                      <w:sz w:val="21"/>
                      <w:szCs w:val="21"/>
                      <w:highlight w:val="none"/>
                    </w:rPr>
                    <w:t>《国家危险废物名录》（202</w:t>
                  </w:r>
                  <w:r>
                    <w:rPr>
                      <w:rFonts w:hint="eastAsia" w:ascii="Times New Roman" w:hAnsi="Times New Roman" w:eastAsia="宋体" w:cs="Times New Roman"/>
                      <w:snapToGrid w:val="0"/>
                      <w:color w:val="auto"/>
                      <w:sz w:val="21"/>
                      <w:szCs w:val="21"/>
                      <w:highlight w:val="none"/>
                      <w:lang w:val="en-US" w:eastAsia="zh-CN"/>
                    </w:rPr>
                    <w:t>5</w:t>
                  </w:r>
                  <w:r>
                    <w:rPr>
                      <w:rFonts w:hint="default" w:ascii="Times New Roman" w:hAnsi="Times New Roman" w:eastAsia="宋体" w:cs="Times New Roman"/>
                      <w:snapToGrid w:val="0"/>
                      <w:color w:val="auto"/>
                      <w:sz w:val="21"/>
                      <w:szCs w:val="21"/>
                      <w:highlight w:val="none"/>
                    </w:rPr>
                    <w:t>年版）</w:t>
                  </w:r>
                </w:p>
              </w:tc>
              <w:tc>
                <w:tcPr>
                  <w:tcW w:w="500" w:type="pct"/>
                  <w:tcBorders>
                    <w:tl2br w:val="nil"/>
                    <w:tr2bl w:val="nil"/>
                  </w:tcBorders>
                  <w:shd w:val="clear" w:color="auto" w:fill="auto"/>
                  <w:vAlign w:val="center"/>
                </w:tcPr>
                <w:p w14:paraId="7B0E4D7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T/C/I/R</w:t>
                  </w:r>
                </w:p>
              </w:tc>
              <w:tc>
                <w:tcPr>
                  <w:tcW w:w="446" w:type="pct"/>
                  <w:tcBorders>
                    <w:tl2br w:val="nil"/>
                    <w:tr2bl w:val="nil"/>
                  </w:tcBorders>
                  <w:vAlign w:val="center"/>
                </w:tcPr>
                <w:p w14:paraId="70E5EEF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rPr>
                    <w:t xml:space="preserve">HW49 </w:t>
                  </w:r>
                </w:p>
              </w:tc>
              <w:tc>
                <w:tcPr>
                  <w:tcW w:w="688" w:type="pct"/>
                  <w:tcBorders>
                    <w:tl2br w:val="nil"/>
                    <w:tr2bl w:val="nil"/>
                  </w:tcBorders>
                  <w:vAlign w:val="center"/>
                </w:tcPr>
                <w:p w14:paraId="083F3B5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color w:val="auto"/>
                      <w:szCs w:val="21"/>
                      <w:highlight w:val="none"/>
                      <w:lang w:val="en-US"/>
                    </w:rPr>
                    <w:t>900-047-49</w:t>
                  </w:r>
                </w:p>
              </w:tc>
              <w:tc>
                <w:tcPr>
                  <w:tcW w:w="436" w:type="pct"/>
                  <w:tcBorders>
                    <w:tl2br w:val="nil"/>
                    <w:tr2bl w:val="nil"/>
                  </w:tcBorders>
                  <w:vAlign w:val="center"/>
                </w:tcPr>
                <w:p w14:paraId="035AEFA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436" w:type="pct"/>
                  <w:tcBorders>
                    <w:tl2br w:val="nil"/>
                    <w:tr2bl w:val="nil"/>
                  </w:tcBorders>
                  <w:vAlign w:val="center"/>
                </w:tcPr>
                <w:p w14:paraId="56463463">
                  <w:pPr>
                    <w:keepNext w:val="0"/>
                    <w:keepLines w:val="0"/>
                    <w:widowControl/>
                    <w:suppressLineNumbers w:val="0"/>
                    <w:spacing w:before="0" w:beforeAutospacing="0" w:after="0" w:afterAutospacing="0"/>
                    <w:ind w:left="0" w:leftChars="0" w:right="0" w:rightChars="0"/>
                    <w:jc w:val="center"/>
                    <w:textAlignment w:val="center"/>
                    <w:rPr>
                      <w:rFonts w:hint="default" w:cs="Times New Roman"/>
                      <w:color w:val="auto"/>
                      <w:kern w:val="2"/>
                      <w:sz w:val="21"/>
                      <w:szCs w:val="21"/>
                      <w:highlight w:val="none"/>
                      <w:lang w:val="en-US" w:eastAsia="zh-CN" w:bidi="ar-SA"/>
                    </w:rPr>
                  </w:pPr>
                </w:p>
              </w:tc>
            </w:tr>
            <w:tr w14:paraId="1F3D00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7" w:type="pct"/>
                  <w:tcBorders>
                    <w:tl2br w:val="nil"/>
                    <w:tr2bl w:val="nil"/>
                  </w:tcBorders>
                  <w:vAlign w:val="center"/>
                </w:tcPr>
                <w:p w14:paraId="32994ADA">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bidi="ar"/>
                    </w:rPr>
                    <w:t>2</w:t>
                  </w:r>
                </w:p>
              </w:tc>
              <w:tc>
                <w:tcPr>
                  <w:tcW w:w="325" w:type="pct"/>
                  <w:tcBorders>
                    <w:tl2br w:val="nil"/>
                    <w:tr2bl w:val="nil"/>
                  </w:tcBorders>
                  <w:vAlign w:val="center"/>
                </w:tcPr>
                <w:p w14:paraId="2743142B">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bidi="ar"/>
                    </w:rPr>
                    <w:t>废生物材料</w:t>
                  </w:r>
                </w:p>
              </w:tc>
              <w:tc>
                <w:tcPr>
                  <w:tcW w:w="503" w:type="pct"/>
                  <w:tcBorders>
                    <w:tl2br w:val="nil"/>
                    <w:tr2bl w:val="nil"/>
                  </w:tcBorders>
                  <w:vAlign w:val="center"/>
                </w:tcPr>
                <w:p w14:paraId="681C70FA">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snapToGrid w:val="0"/>
                      <w:color w:val="auto"/>
                      <w:kern w:val="0"/>
                      <w:szCs w:val="21"/>
                      <w:highlight w:val="none"/>
                      <w:lang w:val="en-US" w:eastAsia="zh-CN"/>
                    </w:rPr>
                    <w:t>实验过程</w:t>
                  </w:r>
                </w:p>
              </w:tc>
              <w:tc>
                <w:tcPr>
                  <w:tcW w:w="276" w:type="pct"/>
                  <w:tcBorders>
                    <w:tl2br w:val="nil"/>
                    <w:tr2bl w:val="nil"/>
                  </w:tcBorders>
                  <w:vAlign w:val="center"/>
                </w:tcPr>
                <w:p w14:paraId="21B9FC86">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kern w:val="0"/>
                      <w:szCs w:val="21"/>
                      <w:highlight w:val="none"/>
                      <w:lang w:val="en-US" w:eastAsia="zh-CN" w:bidi="ar"/>
                    </w:rPr>
                    <w:t>固态</w:t>
                  </w:r>
                </w:p>
              </w:tc>
              <w:tc>
                <w:tcPr>
                  <w:tcW w:w="537" w:type="pct"/>
                  <w:tcBorders>
                    <w:tl2br w:val="nil"/>
                    <w:tr2bl w:val="nil"/>
                  </w:tcBorders>
                  <w:vAlign w:val="center"/>
                </w:tcPr>
                <w:p w14:paraId="372C8DBB">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废细胞等</w:t>
                  </w:r>
                </w:p>
              </w:tc>
              <w:tc>
                <w:tcPr>
                  <w:tcW w:w="212" w:type="pct"/>
                  <w:vMerge w:val="continue"/>
                  <w:tcBorders>
                    <w:tl2br w:val="nil"/>
                    <w:tr2bl w:val="nil"/>
                  </w:tcBorders>
                  <w:vAlign w:val="center"/>
                </w:tcPr>
                <w:p w14:paraId="2E3885D6">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highlight w:val="none"/>
                    </w:rPr>
                  </w:pPr>
                </w:p>
              </w:tc>
              <w:tc>
                <w:tcPr>
                  <w:tcW w:w="438" w:type="pct"/>
                  <w:vMerge w:val="continue"/>
                  <w:tcBorders>
                    <w:tl2br w:val="nil"/>
                    <w:tr2bl w:val="nil"/>
                  </w:tcBorders>
                  <w:vAlign w:val="center"/>
                </w:tcPr>
                <w:p w14:paraId="329E90F8">
                  <w:pPr>
                    <w:keepNext w:val="0"/>
                    <w:keepLines w:val="0"/>
                    <w:pageBreakBefore w:val="0"/>
                    <w:suppressLineNumbers w:val="0"/>
                    <w:kinsoku/>
                    <w:wordWrap/>
                    <w:overflowPunct/>
                    <w:topLinePunct w:val="0"/>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Cs w:val="21"/>
                      <w:highlight w:val="none"/>
                    </w:rPr>
                  </w:pPr>
                </w:p>
              </w:tc>
              <w:tc>
                <w:tcPr>
                  <w:tcW w:w="500" w:type="pct"/>
                  <w:tcBorders>
                    <w:bottom w:val="single" w:color="auto" w:sz="4" w:space="0"/>
                    <w:tl2br w:val="nil"/>
                    <w:tr2bl w:val="nil"/>
                  </w:tcBorders>
                  <w:vAlign w:val="center"/>
                </w:tcPr>
                <w:p w14:paraId="3ECB43CC">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cs="Times New Roman"/>
                      <w:color w:val="auto"/>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T/C/I/R</w:t>
                  </w:r>
                </w:p>
              </w:tc>
              <w:tc>
                <w:tcPr>
                  <w:tcW w:w="446" w:type="pct"/>
                  <w:tcBorders>
                    <w:tl2br w:val="nil"/>
                    <w:tr2bl w:val="nil"/>
                  </w:tcBorders>
                  <w:vAlign w:val="center"/>
                </w:tcPr>
                <w:p w14:paraId="099801B4">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 xml:space="preserve">HW49 </w:t>
                  </w:r>
                </w:p>
              </w:tc>
              <w:tc>
                <w:tcPr>
                  <w:tcW w:w="688" w:type="pct"/>
                  <w:tcBorders>
                    <w:tl2br w:val="nil"/>
                    <w:tr2bl w:val="nil"/>
                  </w:tcBorders>
                  <w:vAlign w:val="center"/>
                </w:tcPr>
                <w:p w14:paraId="5DB6DA76">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900-047-49</w:t>
                  </w:r>
                </w:p>
              </w:tc>
              <w:tc>
                <w:tcPr>
                  <w:tcW w:w="436" w:type="pct"/>
                  <w:tcBorders>
                    <w:tl2br w:val="nil"/>
                    <w:tr2bl w:val="nil"/>
                  </w:tcBorders>
                  <w:vAlign w:val="center"/>
                </w:tcPr>
                <w:p w14:paraId="26E99C54">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436" w:type="pct"/>
                  <w:tcBorders>
                    <w:tl2br w:val="nil"/>
                    <w:tr2bl w:val="nil"/>
                  </w:tcBorders>
                  <w:vAlign w:val="center"/>
                </w:tcPr>
                <w:p w14:paraId="38B5A41D">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cs="Times New Roman"/>
                      <w:color w:val="auto"/>
                      <w:kern w:val="2"/>
                      <w:sz w:val="21"/>
                      <w:szCs w:val="21"/>
                      <w:highlight w:val="none"/>
                      <w:lang w:val="en-US" w:eastAsia="zh-CN" w:bidi="ar-SA"/>
                    </w:rPr>
                  </w:pPr>
                </w:p>
              </w:tc>
            </w:tr>
            <w:tr w14:paraId="51E07C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36" w:hRule="atLeast"/>
                <w:jc w:val="center"/>
              </w:trPr>
              <w:tc>
                <w:tcPr>
                  <w:tcW w:w="197" w:type="pct"/>
                  <w:tcBorders>
                    <w:tl2br w:val="nil"/>
                    <w:tr2bl w:val="nil"/>
                  </w:tcBorders>
                  <w:vAlign w:val="center"/>
                </w:tcPr>
                <w:p w14:paraId="7C2E04F8">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val="en-US" w:eastAsia="zh-CN" w:bidi="ar"/>
                    </w:rPr>
                    <w:t>3</w:t>
                  </w:r>
                </w:p>
              </w:tc>
              <w:tc>
                <w:tcPr>
                  <w:tcW w:w="325" w:type="pct"/>
                  <w:tcBorders>
                    <w:tl2br w:val="nil"/>
                    <w:tr2bl w:val="nil"/>
                  </w:tcBorders>
                  <w:vAlign w:val="center"/>
                </w:tcPr>
                <w:p w14:paraId="36B31356">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rPr>
                    <w:t>废化学</w:t>
                  </w:r>
                  <w:r>
                    <w:rPr>
                      <w:rFonts w:hint="eastAsia" w:cs="Times New Roman"/>
                      <w:color w:val="auto"/>
                      <w:kern w:val="0"/>
                      <w:szCs w:val="21"/>
                      <w:highlight w:val="none"/>
                      <w:lang w:val="en-US" w:eastAsia="zh-CN"/>
                    </w:rPr>
                    <w:t>品</w:t>
                  </w:r>
                  <w:r>
                    <w:rPr>
                      <w:rFonts w:hint="default" w:ascii="Times New Roman" w:hAnsi="Times New Roman" w:eastAsia="宋体" w:cs="Times New Roman"/>
                      <w:color w:val="auto"/>
                      <w:kern w:val="0"/>
                      <w:szCs w:val="21"/>
                      <w:highlight w:val="none"/>
                    </w:rPr>
                    <w:t>包装</w:t>
                  </w:r>
                </w:p>
              </w:tc>
              <w:tc>
                <w:tcPr>
                  <w:tcW w:w="503" w:type="pct"/>
                  <w:tcBorders>
                    <w:tl2br w:val="nil"/>
                    <w:tr2bl w:val="nil"/>
                  </w:tcBorders>
                  <w:vAlign w:val="center"/>
                </w:tcPr>
                <w:p w14:paraId="583C032B">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snapToGrid w:val="0"/>
                      <w:color w:val="auto"/>
                      <w:kern w:val="0"/>
                      <w:szCs w:val="21"/>
                      <w:highlight w:val="none"/>
                      <w:lang w:val="en-US" w:eastAsia="zh-CN"/>
                    </w:rPr>
                  </w:pPr>
                  <w:r>
                    <w:rPr>
                      <w:rFonts w:hint="eastAsia" w:cs="Times New Roman"/>
                      <w:color w:val="auto"/>
                      <w:szCs w:val="21"/>
                      <w:highlight w:val="none"/>
                      <w:lang w:val="en-US" w:eastAsia="zh-CN"/>
                    </w:rPr>
                    <w:t>原料包装</w:t>
                  </w:r>
                </w:p>
              </w:tc>
              <w:tc>
                <w:tcPr>
                  <w:tcW w:w="276" w:type="pct"/>
                  <w:tcBorders>
                    <w:tl2br w:val="nil"/>
                    <w:tr2bl w:val="nil"/>
                  </w:tcBorders>
                  <w:vAlign w:val="center"/>
                </w:tcPr>
                <w:p w14:paraId="497CD907">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szCs w:val="21"/>
                      <w:highlight w:val="none"/>
                      <w:lang w:val="en-US" w:eastAsia="zh-CN"/>
                    </w:rPr>
                    <w:t>固态/液态</w:t>
                  </w:r>
                </w:p>
              </w:tc>
              <w:tc>
                <w:tcPr>
                  <w:tcW w:w="537" w:type="pct"/>
                  <w:tcBorders>
                    <w:tl2br w:val="nil"/>
                    <w:tr2bl w:val="nil"/>
                  </w:tcBorders>
                  <w:vAlign w:val="center"/>
                </w:tcPr>
                <w:p w14:paraId="3B424BC9">
                  <w:pPr>
                    <w:keepNext w:val="0"/>
                    <w:keepLines w:val="0"/>
                    <w:pageBreakBefore w:val="0"/>
                    <w:widowControl/>
                    <w:suppressLineNumbers w:val="0"/>
                    <w:kinsoku/>
                    <w:wordWrap/>
                    <w:overflowPunct/>
                    <w:topLinePunct w:val="0"/>
                    <w:autoSpaceDE/>
                    <w:bidi w:val="0"/>
                    <w:spacing w:before="0" w:beforeAutospacing="0" w:after="0" w:afterAutospacing="0"/>
                    <w:ind w:left="0" w:leftChars="0" w:right="-42" w:rightChars="-2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沾染化学品的废包装材料</w:t>
                  </w:r>
                </w:p>
              </w:tc>
              <w:tc>
                <w:tcPr>
                  <w:tcW w:w="212" w:type="pct"/>
                  <w:vMerge w:val="continue"/>
                  <w:tcBorders>
                    <w:tl2br w:val="nil"/>
                    <w:tr2bl w:val="nil"/>
                  </w:tcBorders>
                  <w:vAlign w:val="center"/>
                </w:tcPr>
                <w:p w14:paraId="608DD328">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highlight w:val="none"/>
                    </w:rPr>
                  </w:pPr>
                </w:p>
              </w:tc>
              <w:tc>
                <w:tcPr>
                  <w:tcW w:w="438" w:type="pct"/>
                  <w:vMerge w:val="continue"/>
                  <w:tcBorders>
                    <w:tl2br w:val="nil"/>
                    <w:tr2bl w:val="nil"/>
                  </w:tcBorders>
                  <w:vAlign w:val="center"/>
                </w:tcPr>
                <w:p w14:paraId="64F5F948">
                  <w:pPr>
                    <w:keepNext w:val="0"/>
                    <w:keepLines w:val="0"/>
                    <w:pageBreakBefore w:val="0"/>
                    <w:suppressLineNumbers w:val="0"/>
                    <w:kinsoku/>
                    <w:wordWrap/>
                    <w:overflowPunct/>
                    <w:topLinePunct w:val="0"/>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Cs w:val="21"/>
                      <w:highlight w:val="none"/>
                    </w:rPr>
                  </w:pPr>
                </w:p>
              </w:tc>
              <w:tc>
                <w:tcPr>
                  <w:tcW w:w="500" w:type="pct"/>
                  <w:tcBorders>
                    <w:bottom w:val="single" w:color="auto" w:sz="4" w:space="0"/>
                    <w:tl2br w:val="nil"/>
                    <w:tr2bl w:val="nil"/>
                  </w:tcBorders>
                  <w:vAlign w:val="center"/>
                </w:tcPr>
                <w:p w14:paraId="5110384C">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cs="Times New Roman"/>
                      <w:color w:val="auto"/>
                      <w:szCs w:val="21"/>
                      <w:highlight w:val="none"/>
                      <w:lang w:val="en-US" w:eastAsia="zh-CN"/>
                    </w:rPr>
                    <w:t>T/In</w:t>
                  </w:r>
                </w:p>
              </w:tc>
              <w:tc>
                <w:tcPr>
                  <w:tcW w:w="446" w:type="pct"/>
                  <w:tcBorders>
                    <w:tl2br w:val="nil"/>
                    <w:tr2bl w:val="nil"/>
                  </w:tcBorders>
                  <w:vAlign w:val="center"/>
                </w:tcPr>
                <w:p w14:paraId="3EB51BEF">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 xml:space="preserve">HW49 </w:t>
                  </w:r>
                </w:p>
              </w:tc>
              <w:tc>
                <w:tcPr>
                  <w:tcW w:w="688" w:type="pct"/>
                  <w:tcBorders>
                    <w:tl2br w:val="nil"/>
                    <w:tr2bl w:val="nil"/>
                  </w:tcBorders>
                  <w:vAlign w:val="center"/>
                </w:tcPr>
                <w:p w14:paraId="4C1B094C">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900-041-49</w:t>
                  </w:r>
                </w:p>
              </w:tc>
              <w:tc>
                <w:tcPr>
                  <w:tcW w:w="436" w:type="pct"/>
                  <w:tcBorders>
                    <w:tl2br w:val="nil"/>
                    <w:tr2bl w:val="nil"/>
                  </w:tcBorders>
                  <w:vAlign w:val="center"/>
                </w:tcPr>
                <w:p w14:paraId="0E268DDE">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highlight w:val="none"/>
                      <w:lang w:val="en-US" w:eastAsia="zh-CN"/>
                    </w:rPr>
                  </w:pPr>
                </w:p>
              </w:tc>
              <w:tc>
                <w:tcPr>
                  <w:tcW w:w="436" w:type="pct"/>
                  <w:tcBorders>
                    <w:tl2br w:val="nil"/>
                    <w:tr2bl w:val="nil"/>
                  </w:tcBorders>
                  <w:vAlign w:val="center"/>
                </w:tcPr>
                <w:p w14:paraId="4DEE7252">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cs="Times New Roman"/>
                      <w:color w:val="auto"/>
                      <w:szCs w:val="21"/>
                      <w:highlight w:val="none"/>
                      <w:lang w:val="en-US" w:eastAsia="zh-CN"/>
                    </w:rPr>
                  </w:pPr>
                </w:p>
              </w:tc>
            </w:tr>
            <w:tr w14:paraId="072A17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736" w:hRule="atLeast"/>
                <w:jc w:val="center"/>
              </w:trPr>
              <w:tc>
                <w:tcPr>
                  <w:tcW w:w="197" w:type="pct"/>
                  <w:tcBorders>
                    <w:tl2br w:val="nil"/>
                    <w:tr2bl w:val="nil"/>
                  </w:tcBorders>
                  <w:vAlign w:val="center"/>
                </w:tcPr>
                <w:p w14:paraId="2B699468">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4</w:t>
                  </w:r>
                </w:p>
              </w:tc>
              <w:tc>
                <w:tcPr>
                  <w:tcW w:w="325" w:type="pct"/>
                  <w:tcBorders>
                    <w:tl2br w:val="nil"/>
                    <w:tr2bl w:val="nil"/>
                  </w:tcBorders>
                  <w:vAlign w:val="center"/>
                </w:tcPr>
                <w:p w14:paraId="2C170B7F">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废实验耗材</w:t>
                  </w:r>
                </w:p>
              </w:tc>
              <w:tc>
                <w:tcPr>
                  <w:tcW w:w="503" w:type="pct"/>
                  <w:tcBorders>
                    <w:tl2br w:val="nil"/>
                    <w:tr2bl w:val="nil"/>
                  </w:tcBorders>
                  <w:vAlign w:val="center"/>
                </w:tcPr>
                <w:p w14:paraId="47675AD5">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cs="Times New Roman"/>
                      <w:snapToGrid w:val="0"/>
                      <w:color w:val="auto"/>
                      <w:kern w:val="0"/>
                      <w:szCs w:val="21"/>
                      <w:highlight w:val="none"/>
                      <w:lang w:val="en-US" w:eastAsia="zh-CN"/>
                    </w:rPr>
                  </w:pPr>
                  <w:r>
                    <w:rPr>
                      <w:rFonts w:hint="eastAsia" w:cs="Times New Roman"/>
                      <w:snapToGrid w:val="0"/>
                      <w:color w:val="auto"/>
                      <w:kern w:val="0"/>
                      <w:szCs w:val="21"/>
                      <w:highlight w:val="none"/>
                      <w:lang w:val="en-US" w:eastAsia="zh-CN"/>
                    </w:rPr>
                    <w:t>实验过程</w:t>
                  </w:r>
                </w:p>
              </w:tc>
              <w:tc>
                <w:tcPr>
                  <w:tcW w:w="276" w:type="pct"/>
                  <w:tcBorders>
                    <w:tl2br w:val="nil"/>
                    <w:tr2bl w:val="nil"/>
                  </w:tcBorders>
                  <w:vAlign w:val="center"/>
                </w:tcPr>
                <w:p w14:paraId="60E565D3">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固态</w:t>
                  </w:r>
                </w:p>
              </w:tc>
              <w:tc>
                <w:tcPr>
                  <w:tcW w:w="537" w:type="pct"/>
                  <w:tcBorders>
                    <w:tl2br w:val="nil"/>
                    <w:tr2bl w:val="nil"/>
                  </w:tcBorders>
                  <w:vAlign w:val="center"/>
                </w:tcPr>
                <w:p w14:paraId="7B18802A">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沾有化学试剂的一次性手套、实验器皿等</w:t>
                  </w:r>
                </w:p>
              </w:tc>
              <w:tc>
                <w:tcPr>
                  <w:tcW w:w="212" w:type="pct"/>
                  <w:vMerge w:val="continue"/>
                  <w:tcBorders>
                    <w:tl2br w:val="nil"/>
                    <w:tr2bl w:val="nil"/>
                  </w:tcBorders>
                  <w:vAlign w:val="center"/>
                </w:tcPr>
                <w:p w14:paraId="49749C68">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highlight w:val="none"/>
                    </w:rPr>
                  </w:pPr>
                </w:p>
              </w:tc>
              <w:tc>
                <w:tcPr>
                  <w:tcW w:w="438" w:type="pct"/>
                  <w:vMerge w:val="continue"/>
                  <w:tcBorders>
                    <w:tl2br w:val="nil"/>
                    <w:tr2bl w:val="nil"/>
                  </w:tcBorders>
                  <w:vAlign w:val="center"/>
                </w:tcPr>
                <w:p w14:paraId="7F37335C">
                  <w:pPr>
                    <w:keepNext w:val="0"/>
                    <w:keepLines w:val="0"/>
                    <w:pageBreakBefore w:val="0"/>
                    <w:suppressLineNumbers w:val="0"/>
                    <w:kinsoku/>
                    <w:wordWrap/>
                    <w:overflowPunct/>
                    <w:topLinePunct w:val="0"/>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Cs w:val="21"/>
                      <w:highlight w:val="none"/>
                    </w:rPr>
                  </w:pPr>
                </w:p>
              </w:tc>
              <w:tc>
                <w:tcPr>
                  <w:tcW w:w="500" w:type="pct"/>
                  <w:tcBorders>
                    <w:bottom w:val="single" w:color="auto" w:sz="4" w:space="0"/>
                    <w:tl2br w:val="nil"/>
                    <w:tr2bl w:val="nil"/>
                  </w:tcBorders>
                  <w:vAlign w:val="center"/>
                </w:tcPr>
                <w:p w14:paraId="547E6A14">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T/C/I/R</w:t>
                  </w:r>
                </w:p>
              </w:tc>
              <w:tc>
                <w:tcPr>
                  <w:tcW w:w="446" w:type="pct"/>
                  <w:tcBorders>
                    <w:tl2br w:val="nil"/>
                    <w:tr2bl w:val="nil"/>
                  </w:tcBorders>
                  <w:vAlign w:val="center"/>
                </w:tcPr>
                <w:p w14:paraId="3D6FCE8A">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 xml:space="preserve">HW49 </w:t>
                  </w:r>
                </w:p>
              </w:tc>
              <w:tc>
                <w:tcPr>
                  <w:tcW w:w="688" w:type="pct"/>
                  <w:tcBorders>
                    <w:tl2br w:val="nil"/>
                    <w:tr2bl w:val="nil"/>
                  </w:tcBorders>
                  <w:vAlign w:val="center"/>
                </w:tcPr>
                <w:p w14:paraId="630ED593">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900-04</w:t>
                  </w:r>
                  <w:r>
                    <w:rPr>
                      <w:rFonts w:hint="eastAsia" w:cs="Times New Roman"/>
                      <w:color w:val="auto"/>
                      <w:szCs w:val="21"/>
                      <w:highlight w:val="none"/>
                      <w:lang w:val="en-US" w:eastAsia="zh-CN"/>
                    </w:rPr>
                    <w:t>7</w:t>
                  </w:r>
                  <w:r>
                    <w:rPr>
                      <w:rFonts w:hint="default" w:ascii="Times New Roman" w:hAnsi="Times New Roman" w:eastAsia="宋体" w:cs="Times New Roman"/>
                      <w:color w:val="auto"/>
                      <w:szCs w:val="21"/>
                      <w:highlight w:val="none"/>
                      <w:lang w:val="en-US" w:eastAsia="zh-CN"/>
                    </w:rPr>
                    <w:t>-49</w:t>
                  </w:r>
                </w:p>
              </w:tc>
              <w:tc>
                <w:tcPr>
                  <w:tcW w:w="436" w:type="pct"/>
                  <w:tcBorders>
                    <w:tl2br w:val="nil"/>
                    <w:tr2bl w:val="nil"/>
                  </w:tcBorders>
                  <w:vAlign w:val="center"/>
                </w:tcPr>
                <w:p w14:paraId="2F4BB557">
                  <w:pPr>
                    <w:keepNext w:val="0"/>
                    <w:keepLines w:val="0"/>
                    <w:widowControl/>
                    <w:suppressLineNumbers w:val="0"/>
                    <w:spacing w:before="0" w:beforeAutospacing="0" w:after="0" w:afterAutospacing="0"/>
                    <w:ind w:left="0" w:leftChars="0" w:right="0" w:rightChars="0"/>
                    <w:jc w:val="center"/>
                    <w:textAlignment w:val="center"/>
                    <w:rPr>
                      <w:rFonts w:hint="eastAsia" w:cs="Times New Roman"/>
                      <w:color w:val="auto"/>
                      <w:szCs w:val="21"/>
                      <w:highlight w:val="none"/>
                      <w:lang w:val="en-US" w:eastAsia="zh-CN"/>
                    </w:rPr>
                  </w:pPr>
                </w:p>
              </w:tc>
              <w:tc>
                <w:tcPr>
                  <w:tcW w:w="436" w:type="pct"/>
                  <w:tcBorders>
                    <w:tl2br w:val="nil"/>
                    <w:tr2bl w:val="nil"/>
                  </w:tcBorders>
                  <w:vAlign w:val="center"/>
                </w:tcPr>
                <w:p w14:paraId="1F637106">
                  <w:pPr>
                    <w:keepNext w:val="0"/>
                    <w:keepLines w:val="0"/>
                    <w:widowControl/>
                    <w:suppressLineNumbers w:val="0"/>
                    <w:spacing w:before="0" w:beforeAutospacing="0" w:after="0" w:afterAutospacing="0"/>
                    <w:ind w:left="0" w:leftChars="0" w:right="0" w:rightChars="0"/>
                    <w:jc w:val="center"/>
                    <w:textAlignment w:val="center"/>
                    <w:rPr>
                      <w:rFonts w:hint="eastAsia" w:cs="Times New Roman"/>
                      <w:color w:val="auto"/>
                      <w:kern w:val="2"/>
                      <w:sz w:val="21"/>
                      <w:szCs w:val="21"/>
                      <w:highlight w:val="none"/>
                      <w:lang w:val="en-US" w:eastAsia="zh-CN" w:bidi="ar-SA"/>
                    </w:rPr>
                  </w:pPr>
                </w:p>
              </w:tc>
            </w:tr>
            <w:tr w14:paraId="7CABCD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36" w:hRule="atLeast"/>
                <w:jc w:val="center"/>
              </w:trPr>
              <w:tc>
                <w:tcPr>
                  <w:tcW w:w="197" w:type="pct"/>
                  <w:tcBorders>
                    <w:tl2br w:val="nil"/>
                    <w:tr2bl w:val="nil"/>
                  </w:tcBorders>
                  <w:vAlign w:val="center"/>
                </w:tcPr>
                <w:p w14:paraId="316C3789">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5</w:t>
                  </w:r>
                </w:p>
              </w:tc>
              <w:tc>
                <w:tcPr>
                  <w:tcW w:w="325" w:type="pct"/>
                  <w:tcBorders>
                    <w:tl2br w:val="nil"/>
                    <w:tr2bl w:val="nil"/>
                  </w:tcBorders>
                  <w:vAlign w:val="center"/>
                </w:tcPr>
                <w:p w14:paraId="5F5118C0">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生物安全柜废滤芯</w:t>
                  </w:r>
                </w:p>
              </w:tc>
              <w:tc>
                <w:tcPr>
                  <w:tcW w:w="503" w:type="pct"/>
                  <w:tcBorders>
                    <w:tl2br w:val="nil"/>
                    <w:tr2bl w:val="nil"/>
                  </w:tcBorders>
                  <w:vAlign w:val="center"/>
                </w:tcPr>
                <w:p w14:paraId="512AD01F">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cs="Times New Roman"/>
                      <w:snapToGrid w:val="0"/>
                      <w:color w:val="auto"/>
                      <w:kern w:val="0"/>
                      <w:szCs w:val="21"/>
                      <w:highlight w:val="none"/>
                      <w:lang w:val="en-US" w:eastAsia="zh-CN"/>
                    </w:rPr>
                  </w:pPr>
                  <w:r>
                    <w:rPr>
                      <w:rFonts w:hint="eastAsia" w:cs="Times New Roman"/>
                      <w:snapToGrid w:val="0"/>
                      <w:color w:val="auto"/>
                      <w:kern w:val="0"/>
                      <w:szCs w:val="21"/>
                      <w:highlight w:val="none"/>
                      <w:lang w:val="en-US" w:eastAsia="zh-CN"/>
                    </w:rPr>
                    <w:t>生物安全柜</w:t>
                  </w:r>
                </w:p>
              </w:tc>
              <w:tc>
                <w:tcPr>
                  <w:tcW w:w="276" w:type="pct"/>
                  <w:tcBorders>
                    <w:tl2br w:val="nil"/>
                    <w:tr2bl w:val="nil"/>
                  </w:tcBorders>
                  <w:vAlign w:val="center"/>
                </w:tcPr>
                <w:p w14:paraId="2759F802">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固态</w:t>
                  </w:r>
                </w:p>
              </w:tc>
              <w:tc>
                <w:tcPr>
                  <w:tcW w:w="537" w:type="pct"/>
                  <w:tcBorders>
                    <w:tl2br w:val="nil"/>
                    <w:tr2bl w:val="nil"/>
                  </w:tcBorders>
                  <w:vAlign w:val="center"/>
                </w:tcPr>
                <w:p w14:paraId="2DEF98C1">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生物安全柜过滤器滤材</w:t>
                  </w:r>
                </w:p>
              </w:tc>
              <w:tc>
                <w:tcPr>
                  <w:tcW w:w="212" w:type="pct"/>
                  <w:vMerge w:val="continue"/>
                  <w:tcBorders>
                    <w:tl2br w:val="nil"/>
                    <w:tr2bl w:val="nil"/>
                  </w:tcBorders>
                  <w:vAlign w:val="center"/>
                </w:tcPr>
                <w:p w14:paraId="14F2BD33">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highlight w:val="none"/>
                    </w:rPr>
                  </w:pPr>
                </w:p>
              </w:tc>
              <w:tc>
                <w:tcPr>
                  <w:tcW w:w="438" w:type="pct"/>
                  <w:vMerge w:val="continue"/>
                  <w:tcBorders>
                    <w:tl2br w:val="nil"/>
                    <w:tr2bl w:val="nil"/>
                  </w:tcBorders>
                  <w:vAlign w:val="center"/>
                </w:tcPr>
                <w:p w14:paraId="4550ADF1">
                  <w:pPr>
                    <w:keepNext w:val="0"/>
                    <w:keepLines w:val="0"/>
                    <w:pageBreakBefore w:val="0"/>
                    <w:suppressLineNumbers w:val="0"/>
                    <w:kinsoku/>
                    <w:wordWrap/>
                    <w:overflowPunct/>
                    <w:topLinePunct w:val="0"/>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Cs w:val="21"/>
                      <w:highlight w:val="none"/>
                    </w:rPr>
                  </w:pPr>
                </w:p>
              </w:tc>
              <w:tc>
                <w:tcPr>
                  <w:tcW w:w="500" w:type="pct"/>
                  <w:tcBorders>
                    <w:bottom w:val="single" w:color="auto" w:sz="4" w:space="0"/>
                    <w:tl2br w:val="nil"/>
                    <w:tr2bl w:val="nil"/>
                  </w:tcBorders>
                  <w:vAlign w:val="center"/>
                </w:tcPr>
                <w:p w14:paraId="4AA9D191">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T/C/I/R</w:t>
                  </w:r>
                </w:p>
              </w:tc>
              <w:tc>
                <w:tcPr>
                  <w:tcW w:w="446" w:type="pct"/>
                  <w:tcBorders>
                    <w:tl2br w:val="nil"/>
                    <w:tr2bl w:val="nil"/>
                  </w:tcBorders>
                  <w:vAlign w:val="center"/>
                </w:tcPr>
                <w:p w14:paraId="164952C2">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 xml:space="preserve">HW49 </w:t>
                  </w:r>
                </w:p>
              </w:tc>
              <w:tc>
                <w:tcPr>
                  <w:tcW w:w="688" w:type="pct"/>
                  <w:tcBorders>
                    <w:tl2br w:val="nil"/>
                    <w:tr2bl w:val="nil"/>
                  </w:tcBorders>
                  <w:vAlign w:val="center"/>
                </w:tcPr>
                <w:p w14:paraId="5D2B0844">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900-04</w:t>
                  </w:r>
                  <w:r>
                    <w:rPr>
                      <w:rFonts w:hint="eastAsia" w:cs="Times New Roman"/>
                      <w:color w:val="auto"/>
                      <w:szCs w:val="21"/>
                      <w:highlight w:val="none"/>
                      <w:lang w:val="en-US" w:eastAsia="zh-CN"/>
                    </w:rPr>
                    <w:t>7</w:t>
                  </w:r>
                  <w:r>
                    <w:rPr>
                      <w:rFonts w:hint="default" w:ascii="Times New Roman" w:hAnsi="Times New Roman" w:eastAsia="宋体" w:cs="Times New Roman"/>
                      <w:color w:val="auto"/>
                      <w:szCs w:val="21"/>
                      <w:highlight w:val="none"/>
                      <w:lang w:val="en-US" w:eastAsia="zh-CN"/>
                    </w:rPr>
                    <w:t>-49</w:t>
                  </w:r>
                </w:p>
              </w:tc>
              <w:tc>
                <w:tcPr>
                  <w:tcW w:w="436" w:type="pct"/>
                  <w:tcBorders>
                    <w:tl2br w:val="nil"/>
                    <w:tr2bl w:val="nil"/>
                  </w:tcBorders>
                  <w:vAlign w:val="center"/>
                </w:tcPr>
                <w:p w14:paraId="575590A9">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cs="Times New Roman"/>
                      <w:color w:val="auto"/>
                      <w:szCs w:val="21"/>
                      <w:highlight w:val="none"/>
                      <w:lang w:val="en-US" w:eastAsia="zh-CN"/>
                    </w:rPr>
                  </w:pPr>
                </w:p>
              </w:tc>
              <w:tc>
                <w:tcPr>
                  <w:tcW w:w="436" w:type="pct"/>
                  <w:tcBorders>
                    <w:tl2br w:val="nil"/>
                    <w:tr2bl w:val="nil"/>
                  </w:tcBorders>
                  <w:vAlign w:val="center"/>
                </w:tcPr>
                <w:p w14:paraId="0C740C92">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cs="Times New Roman"/>
                      <w:color w:val="auto"/>
                      <w:kern w:val="2"/>
                      <w:sz w:val="21"/>
                      <w:szCs w:val="21"/>
                      <w:highlight w:val="none"/>
                      <w:lang w:val="en-US" w:eastAsia="zh-CN" w:bidi="ar-SA"/>
                    </w:rPr>
                  </w:pPr>
                </w:p>
              </w:tc>
            </w:tr>
            <w:tr w14:paraId="532BF7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7" w:type="pct"/>
                  <w:tcBorders>
                    <w:tl2br w:val="nil"/>
                    <w:tr2bl w:val="nil"/>
                  </w:tcBorders>
                  <w:vAlign w:val="center"/>
                </w:tcPr>
                <w:p w14:paraId="73231F6E">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6</w:t>
                  </w:r>
                </w:p>
              </w:tc>
              <w:tc>
                <w:tcPr>
                  <w:tcW w:w="325" w:type="pct"/>
                  <w:tcBorders>
                    <w:tl2br w:val="nil"/>
                    <w:tr2bl w:val="nil"/>
                  </w:tcBorders>
                  <w:vAlign w:val="center"/>
                </w:tcPr>
                <w:p w14:paraId="55274B90">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纯水制备废滤芯</w:t>
                  </w:r>
                </w:p>
              </w:tc>
              <w:tc>
                <w:tcPr>
                  <w:tcW w:w="503" w:type="pct"/>
                  <w:tcBorders>
                    <w:tl2br w:val="nil"/>
                    <w:tr2bl w:val="nil"/>
                  </w:tcBorders>
                  <w:vAlign w:val="center"/>
                </w:tcPr>
                <w:p w14:paraId="49B47A93">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snapToGrid w:val="0"/>
                      <w:color w:val="auto"/>
                      <w:kern w:val="0"/>
                      <w:szCs w:val="21"/>
                      <w:highlight w:val="none"/>
                      <w:lang w:val="en-US" w:eastAsia="zh-CN"/>
                    </w:rPr>
                  </w:pPr>
                  <w:r>
                    <w:rPr>
                      <w:rFonts w:hint="eastAsia" w:cs="Times New Roman"/>
                      <w:snapToGrid w:val="0"/>
                      <w:color w:val="auto"/>
                      <w:kern w:val="0"/>
                      <w:szCs w:val="21"/>
                      <w:highlight w:val="none"/>
                      <w:lang w:val="en-US" w:eastAsia="zh-CN"/>
                    </w:rPr>
                    <w:t>纯水制备</w:t>
                  </w:r>
                </w:p>
              </w:tc>
              <w:tc>
                <w:tcPr>
                  <w:tcW w:w="276" w:type="pct"/>
                  <w:tcBorders>
                    <w:tl2br w:val="nil"/>
                    <w:tr2bl w:val="nil"/>
                  </w:tcBorders>
                  <w:vAlign w:val="center"/>
                </w:tcPr>
                <w:p w14:paraId="6CB1DCD5">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固态</w:t>
                  </w:r>
                </w:p>
              </w:tc>
              <w:tc>
                <w:tcPr>
                  <w:tcW w:w="537" w:type="pct"/>
                  <w:tcBorders>
                    <w:tl2br w:val="nil"/>
                    <w:tr2bl w:val="nil"/>
                  </w:tcBorders>
                  <w:vAlign w:val="center"/>
                </w:tcPr>
                <w:p w14:paraId="70E84504">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纯水制备废滤</w:t>
                  </w:r>
                </w:p>
              </w:tc>
              <w:tc>
                <w:tcPr>
                  <w:tcW w:w="212" w:type="pct"/>
                  <w:vMerge w:val="continue"/>
                  <w:tcBorders>
                    <w:tl2br w:val="nil"/>
                    <w:tr2bl w:val="nil"/>
                  </w:tcBorders>
                  <w:vAlign w:val="center"/>
                </w:tcPr>
                <w:p w14:paraId="55AEEA81">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highlight w:val="none"/>
                    </w:rPr>
                  </w:pPr>
                </w:p>
              </w:tc>
              <w:tc>
                <w:tcPr>
                  <w:tcW w:w="438" w:type="pct"/>
                  <w:vMerge w:val="continue"/>
                  <w:tcBorders>
                    <w:tl2br w:val="nil"/>
                    <w:tr2bl w:val="nil"/>
                  </w:tcBorders>
                  <w:vAlign w:val="center"/>
                </w:tcPr>
                <w:p w14:paraId="67D6DEEE">
                  <w:pPr>
                    <w:keepNext w:val="0"/>
                    <w:keepLines w:val="0"/>
                    <w:pageBreakBefore w:val="0"/>
                    <w:suppressLineNumbers w:val="0"/>
                    <w:kinsoku/>
                    <w:wordWrap/>
                    <w:overflowPunct/>
                    <w:topLinePunct w:val="0"/>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Cs w:val="21"/>
                      <w:highlight w:val="none"/>
                    </w:rPr>
                  </w:pPr>
                </w:p>
              </w:tc>
              <w:tc>
                <w:tcPr>
                  <w:tcW w:w="500" w:type="pct"/>
                  <w:tcBorders>
                    <w:bottom w:val="single" w:color="auto" w:sz="4" w:space="0"/>
                    <w:tl2br w:val="nil"/>
                    <w:tr2bl w:val="nil"/>
                  </w:tcBorders>
                  <w:vAlign w:val="center"/>
                </w:tcPr>
                <w:p w14:paraId="3239C5E5">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T/C/I/R</w:t>
                  </w:r>
                </w:p>
              </w:tc>
              <w:tc>
                <w:tcPr>
                  <w:tcW w:w="446" w:type="pct"/>
                  <w:tcBorders>
                    <w:tl2br w:val="nil"/>
                    <w:tr2bl w:val="nil"/>
                  </w:tcBorders>
                  <w:vAlign w:val="center"/>
                </w:tcPr>
                <w:p w14:paraId="03BAC681">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HW49</w:t>
                  </w:r>
                </w:p>
              </w:tc>
              <w:tc>
                <w:tcPr>
                  <w:tcW w:w="688" w:type="pct"/>
                  <w:tcBorders>
                    <w:tl2br w:val="nil"/>
                    <w:tr2bl w:val="nil"/>
                  </w:tcBorders>
                  <w:vAlign w:val="center"/>
                </w:tcPr>
                <w:p w14:paraId="41A9ECD8">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00-047-49</w:t>
                  </w:r>
                </w:p>
              </w:tc>
              <w:tc>
                <w:tcPr>
                  <w:tcW w:w="436" w:type="pct"/>
                  <w:tcBorders>
                    <w:tl2br w:val="nil"/>
                    <w:tr2bl w:val="nil"/>
                  </w:tcBorders>
                  <w:vAlign w:val="center"/>
                </w:tcPr>
                <w:p w14:paraId="3E54B65C">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highlight w:val="none"/>
                      <w:lang w:val="en-US" w:eastAsia="zh-CN"/>
                    </w:rPr>
                  </w:pPr>
                </w:p>
              </w:tc>
              <w:tc>
                <w:tcPr>
                  <w:tcW w:w="436" w:type="pct"/>
                  <w:tcBorders>
                    <w:tl2br w:val="nil"/>
                    <w:tr2bl w:val="nil"/>
                  </w:tcBorders>
                  <w:vAlign w:val="center"/>
                </w:tcPr>
                <w:p w14:paraId="5A77DA7E">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cs="Times New Roman"/>
                      <w:color w:val="auto"/>
                      <w:szCs w:val="21"/>
                      <w:highlight w:val="none"/>
                      <w:lang w:val="en-US" w:eastAsia="zh-CN"/>
                    </w:rPr>
                  </w:pPr>
                </w:p>
              </w:tc>
            </w:tr>
            <w:tr w14:paraId="1CD37A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97" w:type="pct"/>
                  <w:tcBorders>
                    <w:tl2br w:val="nil"/>
                    <w:tr2bl w:val="nil"/>
                  </w:tcBorders>
                  <w:vAlign w:val="center"/>
                </w:tcPr>
                <w:p w14:paraId="69044250">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7</w:t>
                  </w:r>
                </w:p>
              </w:tc>
              <w:tc>
                <w:tcPr>
                  <w:tcW w:w="325" w:type="pct"/>
                  <w:tcBorders>
                    <w:tl2br w:val="nil"/>
                    <w:tr2bl w:val="nil"/>
                  </w:tcBorders>
                  <w:vAlign w:val="center"/>
                </w:tcPr>
                <w:p w14:paraId="53AC2D8F">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蛋白纯化废滤芯</w:t>
                  </w:r>
                </w:p>
              </w:tc>
              <w:tc>
                <w:tcPr>
                  <w:tcW w:w="503" w:type="pct"/>
                  <w:tcBorders>
                    <w:tl2br w:val="nil"/>
                    <w:tr2bl w:val="nil"/>
                  </w:tcBorders>
                  <w:vAlign w:val="center"/>
                </w:tcPr>
                <w:p w14:paraId="3D8B2B9F">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snapToGrid w:val="0"/>
                      <w:color w:val="auto"/>
                      <w:kern w:val="0"/>
                      <w:szCs w:val="21"/>
                      <w:highlight w:val="none"/>
                      <w:lang w:val="en-US" w:eastAsia="zh-CN"/>
                    </w:rPr>
                  </w:pPr>
                  <w:r>
                    <w:rPr>
                      <w:rFonts w:hint="eastAsia" w:cs="Times New Roman"/>
                      <w:snapToGrid w:val="0"/>
                      <w:color w:val="auto"/>
                      <w:kern w:val="0"/>
                      <w:szCs w:val="21"/>
                      <w:highlight w:val="none"/>
                      <w:lang w:val="en-US" w:eastAsia="zh-CN"/>
                    </w:rPr>
                    <w:t>蛋白纯化</w:t>
                  </w:r>
                </w:p>
              </w:tc>
              <w:tc>
                <w:tcPr>
                  <w:tcW w:w="276" w:type="pct"/>
                  <w:tcBorders>
                    <w:tl2br w:val="nil"/>
                    <w:tr2bl w:val="nil"/>
                  </w:tcBorders>
                  <w:vAlign w:val="center"/>
                </w:tcPr>
                <w:p w14:paraId="4E811876">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固态</w:t>
                  </w:r>
                </w:p>
              </w:tc>
              <w:tc>
                <w:tcPr>
                  <w:tcW w:w="537" w:type="pct"/>
                  <w:tcBorders>
                    <w:tl2br w:val="nil"/>
                    <w:tr2bl w:val="nil"/>
                  </w:tcBorders>
                  <w:vAlign w:val="center"/>
                </w:tcPr>
                <w:p w14:paraId="2A91A436">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蛋白纯化过滤器材</w:t>
                  </w:r>
                </w:p>
              </w:tc>
              <w:tc>
                <w:tcPr>
                  <w:tcW w:w="212" w:type="pct"/>
                  <w:vMerge w:val="continue"/>
                  <w:tcBorders>
                    <w:tl2br w:val="nil"/>
                    <w:tr2bl w:val="nil"/>
                  </w:tcBorders>
                  <w:vAlign w:val="center"/>
                </w:tcPr>
                <w:p w14:paraId="2AABF8E1">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highlight w:val="none"/>
                    </w:rPr>
                  </w:pPr>
                </w:p>
              </w:tc>
              <w:tc>
                <w:tcPr>
                  <w:tcW w:w="438" w:type="pct"/>
                  <w:vMerge w:val="continue"/>
                  <w:tcBorders>
                    <w:tl2br w:val="nil"/>
                    <w:tr2bl w:val="nil"/>
                  </w:tcBorders>
                  <w:vAlign w:val="center"/>
                </w:tcPr>
                <w:p w14:paraId="56C6BA22">
                  <w:pPr>
                    <w:keepNext w:val="0"/>
                    <w:keepLines w:val="0"/>
                    <w:pageBreakBefore w:val="0"/>
                    <w:suppressLineNumbers w:val="0"/>
                    <w:kinsoku/>
                    <w:wordWrap/>
                    <w:overflowPunct/>
                    <w:topLinePunct w:val="0"/>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Cs w:val="21"/>
                      <w:highlight w:val="none"/>
                    </w:rPr>
                  </w:pPr>
                </w:p>
              </w:tc>
              <w:tc>
                <w:tcPr>
                  <w:tcW w:w="500" w:type="pct"/>
                  <w:tcBorders>
                    <w:bottom w:val="single" w:color="auto" w:sz="4" w:space="0"/>
                    <w:tl2br w:val="nil"/>
                    <w:tr2bl w:val="nil"/>
                  </w:tcBorders>
                  <w:vAlign w:val="center"/>
                </w:tcPr>
                <w:p w14:paraId="6EAC36B1">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T/C/I/R</w:t>
                  </w:r>
                </w:p>
              </w:tc>
              <w:tc>
                <w:tcPr>
                  <w:tcW w:w="446" w:type="pct"/>
                  <w:tcBorders>
                    <w:tl2br w:val="nil"/>
                    <w:tr2bl w:val="nil"/>
                  </w:tcBorders>
                  <w:vAlign w:val="center"/>
                </w:tcPr>
                <w:p w14:paraId="2AF75B02">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 xml:space="preserve">HW49 </w:t>
                  </w:r>
                </w:p>
              </w:tc>
              <w:tc>
                <w:tcPr>
                  <w:tcW w:w="688" w:type="pct"/>
                  <w:tcBorders>
                    <w:tl2br w:val="nil"/>
                    <w:tr2bl w:val="nil"/>
                  </w:tcBorders>
                  <w:vAlign w:val="center"/>
                </w:tcPr>
                <w:p w14:paraId="29223839">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900-0</w:t>
                  </w:r>
                  <w:r>
                    <w:rPr>
                      <w:rFonts w:hint="eastAsia" w:ascii="Times New Roman" w:hAnsi="Times New Roman" w:eastAsia="宋体" w:cs="Times New Roman"/>
                      <w:color w:val="auto"/>
                      <w:szCs w:val="21"/>
                      <w:highlight w:val="none"/>
                      <w:lang w:val="en-US" w:eastAsia="zh-CN"/>
                    </w:rPr>
                    <w:t>47</w:t>
                  </w:r>
                  <w:r>
                    <w:rPr>
                      <w:rFonts w:hint="default" w:ascii="Times New Roman" w:hAnsi="Times New Roman" w:eastAsia="宋体" w:cs="Times New Roman"/>
                      <w:color w:val="auto"/>
                      <w:szCs w:val="21"/>
                      <w:highlight w:val="none"/>
                      <w:lang w:val="en-US" w:eastAsia="zh-CN"/>
                    </w:rPr>
                    <w:t>-49</w:t>
                  </w:r>
                </w:p>
              </w:tc>
              <w:tc>
                <w:tcPr>
                  <w:tcW w:w="436" w:type="pct"/>
                  <w:tcBorders>
                    <w:tl2br w:val="nil"/>
                    <w:tr2bl w:val="nil"/>
                  </w:tcBorders>
                  <w:vAlign w:val="center"/>
                </w:tcPr>
                <w:p w14:paraId="1857A697">
                  <w:pPr>
                    <w:keepNext w:val="0"/>
                    <w:keepLines w:val="0"/>
                    <w:widowControl/>
                    <w:suppressLineNumbers w:val="0"/>
                    <w:spacing w:before="0" w:beforeAutospacing="0" w:after="0" w:afterAutospacing="0"/>
                    <w:ind w:left="0" w:leftChars="0" w:right="0" w:rightChars="0"/>
                    <w:jc w:val="center"/>
                    <w:textAlignment w:val="center"/>
                    <w:rPr>
                      <w:rFonts w:hint="default" w:cs="Times New Roman"/>
                      <w:color w:val="auto"/>
                      <w:szCs w:val="21"/>
                      <w:highlight w:val="none"/>
                      <w:lang w:val="en-US" w:eastAsia="zh-CN"/>
                    </w:rPr>
                  </w:pPr>
                </w:p>
              </w:tc>
              <w:tc>
                <w:tcPr>
                  <w:tcW w:w="436" w:type="pct"/>
                  <w:tcBorders>
                    <w:tl2br w:val="nil"/>
                    <w:tr2bl w:val="nil"/>
                  </w:tcBorders>
                  <w:vAlign w:val="center"/>
                </w:tcPr>
                <w:p w14:paraId="79F707E0">
                  <w:pPr>
                    <w:keepNext w:val="0"/>
                    <w:keepLines w:val="0"/>
                    <w:widowControl/>
                    <w:suppressLineNumbers w:val="0"/>
                    <w:spacing w:before="0" w:beforeAutospacing="0" w:after="0" w:afterAutospacing="0"/>
                    <w:ind w:left="0" w:leftChars="0" w:right="0" w:rightChars="0"/>
                    <w:jc w:val="center"/>
                    <w:textAlignment w:val="center"/>
                    <w:rPr>
                      <w:rFonts w:hint="eastAsia" w:cs="Times New Roman"/>
                      <w:color w:val="auto"/>
                      <w:szCs w:val="21"/>
                      <w:highlight w:val="none"/>
                      <w:lang w:val="en-US" w:eastAsia="zh-CN"/>
                    </w:rPr>
                  </w:pPr>
                </w:p>
              </w:tc>
            </w:tr>
            <w:tr w14:paraId="2C751D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7" w:type="pct"/>
                  <w:tcBorders>
                    <w:tl2br w:val="nil"/>
                    <w:tr2bl w:val="nil"/>
                  </w:tcBorders>
                  <w:vAlign w:val="center"/>
                </w:tcPr>
                <w:p w14:paraId="15C10FC1">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8</w:t>
                  </w:r>
                </w:p>
              </w:tc>
              <w:tc>
                <w:tcPr>
                  <w:tcW w:w="325" w:type="pct"/>
                  <w:tcBorders>
                    <w:tl2br w:val="nil"/>
                    <w:tr2bl w:val="nil"/>
                  </w:tcBorders>
                  <w:vAlign w:val="center"/>
                </w:tcPr>
                <w:p w14:paraId="728786BB">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废活性炭</w:t>
                  </w:r>
                </w:p>
              </w:tc>
              <w:tc>
                <w:tcPr>
                  <w:tcW w:w="503" w:type="pct"/>
                  <w:tcBorders>
                    <w:tl2br w:val="nil"/>
                    <w:tr2bl w:val="nil"/>
                  </w:tcBorders>
                  <w:vAlign w:val="center"/>
                </w:tcPr>
                <w:p w14:paraId="30B8FAE6">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snapToGrid w:val="0"/>
                      <w:color w:val="auto"/>
                      <w:kern w:val="0"/>
                      <w:szCs w:val="21"/>
                      <w:highlight w:val="none"/>
                      <w:lang w:val="en-US" w:eastAsia="zh-CN"/>
                    </w:rPr>
                  </w:pPr>
                  <w:r>
                    <w:rPr>
                      <w:rFonts w:hint="eastAsia" w:cs="Times New Roman"/>
                      <w:snapToGrid w:val="0"/>
                      <w:color w:val="auto"/>
                      <w:kern w:val="0"/>
                      <w:szCs w:val="21"/>
                      <w:highlight w:val="none"/>
                      <w:lang w:val="en-US" w:eastAsia="zh-CN"/>
                    </w:rPr>
                    <w:t>废气处理</w:t>
                  </w:r>
                </w:p>
              </w:tc>
              <w:tc>
                <w:tcPr>
                  <w:tcW w:w="276" w:type="pct"/>
                  <w:tcBorders>
                    <w:tl2br w:val="nil"/>
                    <w:tr2bl w:val="nil"/>
                  </w:tcBorders>
                  <w:vAlign w:val="center"/>
                </w:tcPr>
                <w:p w14:paraId="36345460">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固态</w:t>
                  </w:r>
                </w:p>
              </w:tc>
              <w:tc>
                <w:tcPr>
                  <w:tcW w:w="537" w:type="pct"/>
                  <w:tcBorders>
                    <w:tl2br w:val="nil"/>
                    <w:tr2bl w:val="nil"/>
                  </w:tcBorders>
                  <w:vAlign w:val="center"/>
                </w:tcPr>
                <w:p w14:paraId="0293DD9D">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活性炭</w:t>
                  </w:r>
                </w:p>
              </w:tc>
              <w:tc>
                <w:tcPr>
                  <w:tcW w:w="212" w:type="pct"/>
                  <w:vMerge w:val="continue"/>
                  <w:tcBorders>
                    <w:tl2br w:val="nil"/>
                    <w:tr2bl w:val="nil"/>
                  </w:tcBorders>
                  <w:vAlign w:val="center"/>
                </w:tcPr>
                <w:p w14:paraId="2B3E3AA5">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highlight w:val="none"/>
                    </w:rPr>
                  </w:pPr>
                </w:p>
              </w:tc>
              <w:tc>
                <w:tcPr>
                  <w:tcW w:w="438" w:type="pct"/>
                  <w:vMerge w:val="continue"/>
                  <w:tcBorders>
                    <w:tl2br w:val="nil"/>
                    <w:tr2bl w:val="nil"/>
                  </w:tcBorders>
                  <w:vAlign w:val="center"/>
                </w:tcPr>
                <w:p w14:paraId="2FA30148">
                  <w:pPr>
                    <w:keepNext w:val="0"/>
                    <w:keepLines w:val="0"/>
                    <w:pageBreakBefore w:val="0"/>
                    <w:suppressLineNumbers w:val="0"/>
                    <w:kinsoku/>
                    <w:wordWrap/>
                    <w:overflowPunct/>
                    <w:topLinePunct w:val="0"/>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Cs w:val="21"/>
                      <w:highlight w:val="none"/>
                    </w:rPr>
                  </w:pPr>
                </w:p>
              </w:tc>
              <w:tc>
                <w:tcPr>
                  <w:tcW w:w="500" w:type="pct"/>
                  <w:tcBorders>
                    <w:bottom w:val="single" w:color="auto" w:sz="4" w:space="0"/>
                    <w:tl2br w:val="nil"/>
                    <w:tr2bl w:val="nil"/>
                  </w:tcBorders>
                  <w:vAlign w:val="center"/>
                </w:tcPr>
                <w:p w14:paraId="6D362E4A">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T</w:t>
                  </w:r>
                </w:p>
              </w:tc>
              <w:tc>
                <w:tcPr>
                  <w:tcW w:w="446" w:type="pct"/>
                  <w:tcBorders>
                    <w:tl2br w:val="nil"/>
                    <w:tr2bl w:val="nil"/>
                  </w:tcBorders>
                  <w:vAlign w:val="center"/>
                </w:tcPr>
                <w:p w14:paraId="0DD9D9C4">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HW49</w:t>
                  </w:r>
                </w:p>
              </w:tc>
              <w:tc>
                <w:tcPr>
                  <w:tcW w:w="688" w:type="pct"/>
                  <w:tcBorders>
                    <w:tl2br w:val="nil"/>
                    <w:tr2bl w:val="nil"/>
                  </w:tcBorders>
                  <w:vAlign w:val="center"/>
                </w:tcPr>
                <w:p w14:paraId="2B895E33">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900-039-49</w:t>
                  </w:r>
                </w:p>
              </w:tc>
              <w:tc>
                <w:tcPr>
                  <w:tcW w:w="436" w:type="pct"/>
                  <w:tcBorders>
                    <w:tl2br w:val="nil"/>
                    <w:tr2bl w:val="nil"/>
                  </w:tcBorders>
                  <w:vAlign w:val="center"/>
                </w:tcPr>
                <w:p w14:paraId="7E1FDDEF">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cs="Times New Roman"/>
                      <w:color w:val="auto"/>
                      <w:szCs w:val="21"/>
                      <w:highlight w:val="none"/>
                      <w:lang w:val="en-US" w:eastAsia="zh-CN"/>
                    </w:rPr>
                  </w:pPr>
                  <w:r>
                    <w:rPr>
                      <w:rFonts w:hint="eastAsia" w:cs="Times New Roman"/>
                      <w:color w:val="auto"/>
                      <w:szCs w:val="21"/>
                      <w:highlight w:val="none"/>
                      <w:lang w:val="en-US" w:eastAsia="zh-CN"/>
                    </w:rPr>
                    <w:t>1.841</w:t>
                  </w:r>
                </w:p>
              </w:tc>
              <w:tc>
                <w:tcPr>
                  <w:tcW w:w="436" w:type="pct"/>
                  <w:tcBorders>
                    <w:tl2br w:val="nil"/>
                    <w:tr2bl w:val="nil"/>
                  </w:tcBorders>
                  <w:vAlign w:val="center"/>
                </w:tcPr>
                <w:p w14:paraId="2A990BCC">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cs="Times New Roman"/>
                      <w:color w:val="auto"/>
                      <w:szCs w:val="21"/>
                      <w:highlight w:val="none"/>
                      <w:lang w:val="en-US" w:eastAsia="zh-CN"/>
                    </w:rPr>
                  </w:pPr>
                </w:p>
              </w:tc>
            </w:tr>
            <w:tr w14:paraId="7131F3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7" w:type="pct"/>
                  <w:tcBorders>
                    <w:tl2br w:val="nil"/>
                    <w:tr2bl w:val="nil"/>
                  </w:tcBorders>
                  <w:vAlign w:val="center"/>
                </w:tcPr>
                <w:p w14:paraId="755411E8">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9</w:t>
                  </w:r>
                </w:p>
              </w:tc>
              <w:tc>
                <w:tcPr>
                  <w:tcW w:w="325" w:type="pct"/>
                  <w:tcBorders>
                    <w:tl2br w:val="nil"/>
                    <w:tr2bl w:val="nil"/>
                  </w:tcBorders>
                  <w:vAlign w:val="center"/>
                </w:tcPr>
                <w:p w14:paraId="09A6854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生活垃圾</w:t>
                  </w:r>
                </w:p>
              </w:tc>
              <w:tc>
                <w:tcPr>
                  <w:tcW w:w="503" w:type="pct"/>
                  <w:tcBorders>
                    <w:tl2br w:val="nil"/>
                    <w:tr2bl w:val="nil"/>
                  </w:tcBorders>
                  <w:vAlign w:val="center"/>
                </w:tcPr>
                <w:p w14:paraId="5BA55D1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0"/>
                      <w:szCs w:val="21"/>
                      <w:highlight w:val="none"/>
                      <w:lang w:val="en-US" w:eastAsia="zh-CN"/>
                    </w:rPr>
                  </w:pPr>
                  <w:r>
                    <w:rPr>
                      <w:rFonts w:hint="eastAsia" w:cs="Times New Roman"/>
                      <w:snapToGrid w:val="0"/>
                      <w:color w:val="auto"/>
                      <w:kern w:val="0"/>
                      <w:szCs w:val="21"/>
                      <w:highlight w:val="none"/>
                      <w:lang w:val="en-US" w:eastAsia="zh-CN"/>
                    </w:rPr>
                    <w:t>员工生活</w:t>
                  </w:r>
                </w:p>
              </w:tc>
              <w:tc>
                <w:tcPr>
                  <w:tcW w:w="276" w:type="pct"/>
                  <w:tcBorders>
                    <w:tl2br w:val="nil"/>
                    <w:tr2bl w:val="nil"/>
                  </w:tcBorders>
                  <w:vAlign w:val="center"/>
                </w:tcPr>
                <w:p w14:paraId="0337B71E">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固态</w:t>
                  </w:r>
                </w:p>
              </w:tc>
              <w:tc>
                <w:tcPr>
                  <w:tcW w:w="537" w:type="pct"/>
                  <w:tcBorders>
                    <w:tl2br w:val="nil"/>
                    <w:tr2bl w:val="nil"/>
                  </w:tcBorders>
                  <w:vAlign w:val="center"/>
                </w:tcPr>
                <w:p w14:paraId="504A8D7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果皮、纸屑</w:t>
                  </w:r>
                </w:p>
              </w:tc>
              <w:tc>
                <w:tcPr>
                  <w:tcW w:w="212" w:type="pct"/>
                  <w:tcBorders>
                    <w:top w:val="single" w:color="auto" w:sz="4" w:space="0"/>
                    <w:bottom w:val="single" w:color="auto" w:sz="4" w:space="0"/>
                    <w:tl2br w:val="nil"/>
                    <w:tr2bl w:val="nil"/>
                  </w:tcBorders>
                  <w:vAlign w:val="center"/>
                </w:tcPr>
                <w:p w14:paraId="3FE5CC32">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一般固废</w:t>
                  </w:r>
                </w:p>
              </w:tc>
              <w:tc>
                <w:tcPr>
                  <w:tcW w:w="438" w:type="pct"/>
                  <w:tcBorders>
                    <w:top w:val="single" w:color="auto" w:sz="4" w:space="0"/>
                    <w:bottom w:val="single" w:color="auto" w:sz="4" w:space="0"/>
                    <w:tl2br w:val="nil"/>
                    <w:tr2bl w:val="nil"/>
                  </w:tcBorders>
                  <w:vAlign w:val="center"/>
                </w:tcPr>
                <w:p w14:paraId="31B94AB0">
                  <w:pPr>
                    <w:keepNext w:val="0"/>
                    <w:keepLines w:val="0"/>
                    <w:pageBreakBefore w:val="0"/>
                    <w:suppressLineNumbers w:val="0"/>
                    <w:kinsoku/>
                    <w:wordWrap/>
                    <w:overflowPunct/>
                    <w:topLinePunct w:val="0"/>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固体废物分类与代码目录</w:t>
                  </w:r>
                  <w:r>
                    <w:rPr>
                      <w:rFonts w:hint="default" w:ascii="Times New Roman" w:hAnsi="Times New Roman" w:eastAsia="宋体" w:cs="Times New Roman"/>
                      <w:color w:val="auto"/>
                      <w:sz w:val="21"/>
                      <w:szCs w:val="21"/>
                      <w:highlight w:val="none"/>
                      <w:lang w:eastAsia="zh-CN"/>
                    </w:rPr>
                    <w:t>》</w:t>
                  </w:r>
                </w:p>
              </w:tc>
              <w:tc>
                <w:tcPr>
                  <w:tcW w:w="500" w:type="pct"/>
                  <w:tcBorders>
                    <w:top w:val="single" w:color="auto" w:sz="4" w:space="0"/>
                    <w:bottom w:val="single" w:color="auto" w:sz="4" w:space="0"/>
                    <w:tl2br w:val="nil"/>
                    <w:tr2bl w:val="nil"/>
                  </w:tcBorders>
                  <w:vAlign w:val="center"/>
                </w:tcPr>
                <w:p w14:paraId="3ED367C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w:t>
                  </w:r>
                </w:p>
              </w:tc>
              <w:tc>
                <w:tcPr>
                  <w:tcW w:w="777" w:type="dxa"/>
                  <w:tcBorders>
                    <w:tl2br w:val="nil"/>
                    <w:tr2bl w:val="nil"/>
                  </w:tcBorders>
                  <w:vAlign w:val="center"/>
                </w:tcPr>
                <w:p w14:paraId="68750E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SW64</w:t>
                  </w:r>
                </w:p>
              </w:tc>
              <w:tc>
                <w:tcPr>
                  <w:tcW w:w="1198" w:type="dxa"/>
                  <w:tcBorders>
                    <w:tl2br w:val="nil"/>
                    <w:tr2bl w:val="nil"/>
                  </w:tcBorders>
                  <w:vAlign w:val="center"/>
                </w:tcPr>
                <w:p w14:paraId="4535E5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900</w:t>
                  </w:r>
                  <w:r>
                    <w:rPr>
                      <w:rFonts w:hint="default" w:ascii="Times New Roman" w:hAnsi="Times New Roman" w:eastAsia="宋体" w:cs="Times New Roman"/>
                      <w:i w:val="0"/>
                      <w:color w:val="auto"/>
                      <w:kern w:val="0"/>
                      <w:sz w:val="21"/>
                      <w:szCs w:val="21"/>
                      <w:highlight w:val="none"/>
                      <w:u w:val="none"/>
                      <w:lang w:val="en-US" w:eastAsia="zh-CN" w:bidi="ar"/>
                    </w:rPr>
                    <w:t>-</w:t>
                  </w:r>
                  <w:r>
                    <w:rPr>
                      <w:rFonts w:hint="eastAsia" w:ascii="Times New Roman" w:hAnsi="Times New Roman" w:eastAsia="宋体" w:cs="Times New Roman"/>
                      <w:i w:val="0"/>
                      <w:color w:val="auto"/>
                      <w:kern w:val="0"/>
                      <w:sz w:val="21"/>
                      <w:szCs w:val="21"/>
                      <w:highlight w:val="none"/>
                      <w:u w:val="none"/>
                      <w:lang w:val="en-US" w:eastAsia="zh-CN" w:bidi="ar"/>
                    </w:rPr>
                    <w:t>099-S64</w:t>
                  </w:r>
                </w:p>
              </w:tc>
              <w:tc>
                <w:tcPr>
                  <w:tcW w:w="436" w:type="pct"/>
                  <w:tcBorders>
                    <w:tl2br w:val="nil"/>
                    <w:tr2bl w:val="nil"/>
                  </w:tcBorders>
                  <w:vAlign w:val="center"/>
                </w:tcPr>
                <w:p w14:paraId="4AC139C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3.075</w:t>
                  </w:r>
                </w:p>
              </w:tc>
              <w:tc>
                <w:tcPr>
                  <w:tcW w:w="436" w:type="pct"/>
                  <w:tcBorders>
                    <w:tl2br w:val="nil"/>
                    <w:tr2bl w:val="nil"/>
                  </w:tcBorders>
                  <w:vAlign w:val="center"/>
                </w:tcPr>
                <w:p w14:paraId="57CEC24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环卫部门定期清运</w:t>
                  </w:r>
                </w:p>
              </w:tc>
            </w:tr>
          </w:tbl>
          <w:p w14:paraId="0A566FBF">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21"/>
                <w:highlight w:val="none"/>
              </w:rPr>
              <w:t>注：</w:t>
            </w:r>
            <w:r>
              <w:rPr>
                <w:rFonts w:hint="default" w:ascii="Times New Roman" w:hAnsi="Times New Roman" w:eastAsia="宋体" w:cs="Times New Roman"/>
                <w:b/>
                <w:color w:val="auto"/>
                <w:sz w:val="18"/>
                <w:szCs w:val="18"/>
                <w:highlight w:val="none"/>
              </w:rPr>
              <w:t>上表危险特性中“T指毒性”、“In指感染性”、“C指腐蚀性”、“I指易燃性”。</w:t>
            </w:r>
          </w:p>
          <w:p w14:paraId="79BFC3D4">
            <w:pPr>
              <w:keepNext w:val="0"/>
              <w:keepLines w:val="0"/>
              <w:widowControl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bCs/>
                <w:color w:val="auto"/>
                <w:kern w:val="2"/>
                <w:sz w:val="24"/>
                <w:szCs w:val="20"/>
                <w:highlight w:val="none"/>
                <w:lang w:val="en-US" w:eastAsia="zh-CN" w:bidi="ar-SA"/>
              </w:rPr>
            </w:pPr>
            <w:r>
              <w:rPr>
                <w:rFonts w:hint="default" w:ascii="Times New Roman" w:hAnsi="Times New Roman" w:eastAsia="宋体" w:cs="Times New Roman"/>
                <w:b/>
                <w:bCs/>
                <w:color w:val="auto"/>
                <w:kern w:val="2"/>
                <w:sz w:val="24"/>
                <w:szCs w:val="24"/>
                <w:lang w:val="en-US" w:eastAsia="zh-CN" w:bidi="ar-SA"/>
              </w:rPr>
              <w:t>表4-</w:t>
            </w:r>
            <w:r>
              <w:rPr>
                <w:rFonts w:hint="eastAsia" w:ascii="Times New Roman" w:hAnsi="Times New Roman" w:eastAsia="宋体" w:cs="Times New Roman"/>
                <w:b/>
                <w:bCs/>
                <w:color w:val="auto"/>
                <w:kern w:val="2"/>
                <w:sz w:val="24"/>
                <w:szCs w:val="24"/>
                <w:lang w:val="en-US" w:eastAsia="zh-CN" w:bidi="ar-SA"/>
              </w:rPr>
              <w:t xml:space="preserve">23  </w:t>
            </w:r>
            <w:r>
              <w:rPr>
                <w:rFonts w:hint="default" w:ascii="Times New Roman" w:hAnsi="Times New Roman" w:eastAsia="宋体" w:cs="Times New Roman"/>
                <w:b/>
                <w:bCs/>
                <w:color w:val="auto"/>
                <w:kern w:val="2"/>
                <w:sz w:val="24"/>
                <w:szCs w:val="20"/>
                <w:highlight w:val="none"/>
                <w:lang w:val="en-US" w:eastAsia="zh-CN" w:bidi="ar-SA"/>
              </w:rPr>
              <w:t>本项目危险废物汇总表</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43"/>
              <w:gridCol w:w="599"/>
              <w:gridCol w:w="776"/>
              <w:gridCol w:w="1309"/>
              <w:gridCol w:w="882"/>
              <w:gridCol w:w="675"/>
              <w:gridCol w:w="426"/>
              <w:gridCol w:w="731"/>
              <w:gridCol w:w="788"/>
              <w:gridCol w:w="462"/>
              <w:gridCol w:w="870"/>
              <w:gridCol w:w="846"/>
            </w:tblGrid>
            <w:tr w14:paraId="74E149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196" w:type="pct"/>
                  <w:vAlign w:val="center"/>
                </w:tcPr>
                <w:p w14:paraId="0B7A4627">
                  <w:pPr>
                    <w:keepNext w:val="0"/>
                    <w:keepLines w:val="0"/>
                    <w:pageBreakBefore w:val="0"/>
                    <w:suppressLineNumbers w:val="0"/>
                    <w:kinsoku/>
                    <w:wordWrap/>
                    <w:overflowPunct/>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344" w:type="pct"/>
                  <w:vAlign w:val="center"/>
                </w:tcPr>
                <w:p w14:paraId="5505453E">
                  <w:pPr>
                    <w:keepNext w:val="0"/>
                    <w:keepLines w:val="0"/>
                    <w:pageBreakBefore w:val="0"/>
                    <w:suppressLineNumbers w:val="0"/>
                    <w:kinsoku/>
                    <w:wordWrap/>
                    <w:overflowPunct/>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危险废物名称</w:t>
                  </w:r>
                </w:p>
              </w:tc>
              <w:tc>
                <w:tcPr>
                  <w:tcW w:w="445" w:type="pct"/>
                  <w:vAlign w:val="center"/>
                </w:tcPr>
                <w:p w14:paraId="408BB1D2">
                  <w:pPr>
                    <w:keepNext w:val="0"/>
                    <w:keepLines w:val="0"/>
                    <w:pageBreakBefore w:val="0"/>
                    <w:suppressLineNumbers w:val="0"/>
                    <w:kinsoku/>
                    <w:wordWrap/>
                    <w:overflowPunct/>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危险废物类别</w:t>
                  </w:r>
                </w:p>
              </w:tc>
              <w:tc>
                <w:tcPr>
                  <w:tcW w:w="751" w:type="pct"/>
                  <w:vAlign w:val="center"/>
                </w:tcPr>
                <w:p w14:paraId="48F7AEF7">
                  <w:pPr>
                    <w:keepNext w:val="0"/>
                    <w:keepLines w:val="0"/>
                    <w:pageBreakBefore w:val="0"/>
                    <w:suppressLineNumbers w:val="0"/>
                    <w:kinsoku/>
                    <w:wordWrap/>
                    <w:overflowPunct/>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危险废物代码</w:t>
                  </w:r>
                </w:p>
              </w:tc>
              <w:tc>
                <w:tcPr>
                  <w:tcW w:w="506" w:type="pct"/>
                  <w:vAlign w:val="center"/>
                </w:tcPr>
                <w:p w14:paraId="64F99A7F">
                  <w:pPr>
                    <w:keepNext w:val="0"/>
                    <w:keepLines w:val="0"/>
                    <w:pageBreakBefore w:val="0"/>
                    <w:suppressLineNumbers w:val="0"/>
                    <w:kinsoku/>
                    <w:wordWrap/>
                    <w:overflowPunct/>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产生量（t/a）</w:t>
                  </w:r>
                </w:p>
              </w:tc>
              <w:tc>
                <w:tcPr>
                  <w:tcW w:w="387" w:type="pct"/>
                  <w:vAlign w:val="center"/>
                </w:tcPr>
                <w:p w14:paraId="3DECDF85">
                  <w:pPr>
                    <w:keepNext w:val="0"/>
                    <w:keepLines w:val="0"/>
                    <w:pageBreakBefore w:val="0"/>
                    <w:suppressLineNumbers w:val="0"/>
                    <w:kinsoku/>
                    <w:wordWrap/>
                    <w:overflowPunct/>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产生工序及装置</w:t>
                  </w:r>
                </w:p>
              </w:tc>
              <w:tc>
                <w:tcPr>
                  <w:tcW w:w="244" w:type="pct"/>
                  <w:vAlign w:val="center"/>
                </w:tcPr>
                <w:p w14:paraId="1138D2A8">
                  <w:pPr>
                    <w:keepNext w:val="0"/>
                    <w:keepLines w:val="0"/>
                    <w:pageBreakBefore w:val="0"/>
                    <w:suppressLineNumbers w:val="0"/>
                    <w:kinsoku/>
                    <w:wordWrap/>
                    <w:overflowPunct/>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形态</w:t>
                  </w:r>
                </w:p>
              </w:tc>
              <w:tc>
                <w:tcPr>
                  <w:tcW w:w="419" w:type="pct"/>
                  <w:vAlign w:val="center"/>
                </w:tcPr>
                <w:p w14:paraId="2DB064C5">
                  <w:pPr>
                    <w:keepNext w:val="0"/>
                    <w:keepLines w:val="0"/>
                    <w:pageBreakBefore w:val="0"/>
                    <w:suppressLineNumbers w:val="0"/>
                    <w:kinsoku/>
                    <w:wordWrap/>
                    <w:overflowPunct/>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主要成分</w:t>
                  </w:r>
                </w:p>
              </w:tc>
              <w:tc>
                <w:tcPr>
                  <w:tcW w:w="452" w:type="pct"/>
                  <w:vAlign w:val="center"/>
                </w:tcPr>
                <w:p w14:paraId="6A6FFBC3">
                  <w:pPr>
                    <w:keepNext w:val="0"/>
                    <w:keepLines w:val="0"/>
                    <w:pageBreakBefore w:val="0"/>
                    <w:suppressLineNumbers w:val="0"/>
                    <w:kinsoku/>
                    <w:wordWrap/>
                    <w:overflowPunct/>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有害</w:t>
                  </w:r>
                </w:p>
                <w:p w14:paraId="737A5B52">
                  <w:pPr>
                    <w:keepNext w:val="0"/>
                    <w:keepLines w:val="0"/>
                    <w:pageBreakBefore w:val="0"/>
                    <w:suppressLineNumbers w:val="0"/>
                    <w:kinsoku/>
                    <w:wordWrap/>
                    <w:overflowPunct/>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成分</w:t>
                  </w:r>
                </w:p>
              </w:tc>
              <w:tc>
                <w:tcPr>
                  <w:tcW w:w="265" w:type="pct"/>
                  <w:vAlign w:val="center"/>
                </w:tcPr>
                <w:p w14:paraId="3F641CE4">
                  <w:pPr>
                    <w:keepNext w:val="0"/>
                    <w:keepLines w:val="0"/>
                    <w:pageBreakBefore w:val="0"/>
                    <w:suppressLineNumbers w:val="0"/>
                    <w:kinsoku/>
                    <w:wordWrap/>
                    <w:overflowPunct/>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产废周期</w:t>
                  </w:r>
                </w:p>
              </w:tc>
              <w:tc>
                <w:tcPr>
                  <w:tcW w:w="499" w:type="pct"/>
                  <w:vAlign w:val="center"/>
                </w:tcPr>
                <w:p w14:paraId="33F31A3B">
                  <w:pPr>
                    <w:keepNext w:val="0"/>
                    <w:keepLines w:val="0"/>
                    <w:pageBreakBefore w:val="0"/>
                    <w:suppressLineNumbers w:val="0"/>
                    <w:kinsoku/>
                    <w:wordWrap/>
                    <w:overflowPunct/>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w:t>
                  </w:r>
                </w:p>
                <w:p w14:paraId="5161A5AD">
                  <w:pPr>
                    <w:keepNext w:val="0"/>
                    <w:keepLines w:val="0"/>
                    <w:pageBreakBefore w:val="0"/>
                    <w:suppressLineNumbers w:val="0"/>
                    <w:kinsoku/>
                    <w:wordWrap/>
                    <w:overflowPunct/>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特性</w:t>
                  </w:r>
                </w:p>
              </w:tc>
              <w:tc>
                <w:tcPr>
                  <w:tcW w:w="485" w:type="pct"/>
                  <w:vAlign w:val="center"/>
                </w:tcPr>
                <w:p w14:paraId="566FD95E">
                  <w:pPr>
                    <w:keepNext w:val="0"/>
                    <w:keepLines w:val="0"/>
                    <w:pageBreakBefore w:val="0"/>
                    <w:suppressLineNumbers w:val="0"/>
                    <w:kinsoku/>
                    <w:wordWrap/>
                    <w:overflowPunct/>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污染防治措施</w:t>
                  </w:r>
                </w:p>
              </w:tc>
            </w:tr>
            <w:tr w14:paraId="1DDE68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6" w:type="pct"/>
                  <w:vAlign w:val="center"/>
                </w:tcPr>
                <w:p w14:paraId="4B9C2550">
                  <w:pPr>
                    <w:keepNext w:val="0"/>
                    <w:keepLines w:val="0"/>
                    <w:pageBreakBefore w:val="0"/>
                    <w:widowControl/>
                    <w:suppressLineNumbers w:val="0"/>
                    <w:kinsoku/>
                    <w:wordWrap/>
                    <w:overflowPunct/>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bidi="ar"/>
                    </w:rPr>
                    <w:t>1</w:t>
                  </w:r>
                </w:p>
              </w:tc>
              <w:tc>
                <w:tcPr>
                  <w:tcW w:w="344" w:type="pct"/>
                  <w:vAlign w:val="center"/>
                </w:tcPr>
                <w:p w14:paraId="69DE331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实验废液</w:t>
                  </w:r>
                </w:p>
              </w:tc>
              <w:tc>
                <w:tcPr>
                  <w:tcW w:w="445" w:type="pct"/>
                  <w:vAlign w:val="center"/>
                </w:tcPr>
                <w:p w14:paraId="4297652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bidi="ar"/>
                    </w:rPr>
                  </w:pPr>
                  <w:r>
                    <w:rPr>
                      <w:rFonts w:hint="default" w:ascii="Times New Roman" w:hAnsi="Times New Roman" w:eastAsia="宋体" w:cs="Times New Roman"/>
                      <w:color w:val="auto"/>
                      <w:szCs w:val="21"/>
                      <w:highlight w:val="none"/>
                      <w:lang w:val="en-US"/>
                    </w:rPr>
                    <w:t xml:space="preserve">HW49 </w:t>
                  </w:r>
                </w:p>
              </w:tc>
              <w:tc>
                <w:tcPr>
                  <w:tcW w:w="751" w:type="pct"/>
                  <w:vAlign w:val="center"/>
                </w:tcPr>
                <w:p w14:paraId="48A7FC5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Cs w:val="21"/>
                      <w:highlight w:val="none"/>
                      <w:lang w:val="en-US"/>
                    </w:rPr>
                    <w:t>900-047-49</w:t>
                  </w:r>
                </w:p>
              </w:tc>
              <w:tc>
                <w:tcPr>
                  <w:tcW w:w="506" w:type="pct"/>
                  <w:vAlign w:val="center"/>
                </w:tcPr>
                <w:p w14:paraId="0E8301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p>
              </w:tc>
              <w:tc>
                <w:tcPr>
                  <w:tcW w:w="387" w:type="pct"/>
                  <w:vAlign w:val="center"/>
                </w:tcPr>
                <w:p w14:paraId="7511247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Cs w:val="21"/>
                      <w:highlight w:val="none"/>
                      <w:lang w:val="en-US" w:eastAsia="zh-CN"/>
                    </w:rPr>
                    <w:t>实验过程</w:t>
                  </w:r>
                </w:p>
              </w:tc>
              <w:tc>
                <w:tcPr>
                  <w:tcW w:w="244" w:type="pct"/>
                  <w:vAlign w:val="center"/>
                </w:tcPr>
                <w:p w14:paraId="6F9AA85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szCs w:val="21"/>
                      <w:highlight w:val="none"/>
                      <w:lang w:val="en-US" w:eastAsia="zh-CN"/>
                    </w:rPr>
                    <w:t>液态</w:t>
                  </w:r>
                </w:p>
              </w:tc>
              <w:tc>
                <w:tcPr>
                  <w:tcW w:w="419" w:type="pct"/>
                  <w:vAlign w:val="center"/>
                </w:tcPr>
                <w:p w14:paraId="1339CDD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Cs w:val="21"/>
                      <w:highlight w:val="none"/>
                      <w:lang w:val="en-US"/>
                    </w:rPr>
                    <w:t>废试剂、废样品</w:t>
                  </w:r>
                </w:p>
              </w:tc>
              <w:tc>
                <w:tcPr>
                  <w:tcW w:w="452" w:type="pct"/>
                  <w:vAlign w:val="center"/>
                </w:tcPr>
                <w:p w14:paraId="399AE22A">
                  <w:pPr>
                    <w:keepNext w:val="0"/>
                    <w:keepLines w:val="0"/>
                    <w:pageBreakBefore w:val="0"/>
                    <w:widowControl/>
                    <w:suppressLineNumbers w:val="0"/>
                    <w:kinsoku/>
                    <w:wordWrap/>
                    <w:overflowPunct/>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试剂、生物样品</w:t>
                  </w:r>
                </w:p>
              </w:tc>
              <w:tc>
                <w:tcPr>
                  <w:tcW w:w="265" w:type="pct"/>
                  <w:vAlign w:val="center"/>
                </w:tcPr>
                <w:p w14:paraId="1432AA28">
                  <w:pPr>
                    <w:keepNext w:val="0"/>
                    <w:keepLines w:val="0"/>
                    <w:pageBreakBefore w:val="0"/>
                    <w:suppressLineNumbers w:val="0"/>
                    <w:kinsoku/>
                    <w:wordWrap/>
                    <w:overflowPunct/>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Cs/>
                      <w:color w:val="auto"/>
                      <w:sz w:val="21"/>
                      <w:szCs w:val="24"/>
                      <w:highlight w:val="none"/>
                      <w:lang w:val="en-US" w:eastAsia="zh-CN"/>
                    </w:rPr>
                  </w:pPr>
                </w:p>
              </w:tc>
              <w:tc>
                <w:tcPr>
                  <w:tcW w:w="499" w:type="pct"/>
                  <w:vAlign w:val="center"/>
                </w:tcPr>
                <w:p w14:paraId="6E645A0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T/C/I/R</w:t>
                  </w:r>
                </w:p>
              </w:tc>
              <w:tc>
                <w:tcPr>
                  <w:tcW w:w="485" w:type="pct"/>
                  <w:vAlign w:val="center"/>
                </w:tcPr>
                <w:p w14:paraId="7517ABC3">
                  <w:pPr>
                    <w:keepNext w:val="0"/>
                    <w:keepLines w:val="0"/>
                    <w:pageBreakBefore w:val="0"/>
                    <w:suppressLineNumbers w:val="0"/>
                    <w:kinsoku/>
                    <w:wordWrap/>
                    <w:overflowPunct/>
                    <w:topLinePunct/>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委托有资质单位处置</w:t>
                  </w:r>
                </w:p>
              </w:tc>
            </w:tr>
            <w:tr w14:paraId="0B08D7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96" w:type="pct"/>
                  <w:vAlign w:val="center"/>
                </w:tcPr>
                <w:p w14:paraId="542D69BA">
                  <w:pPr>
                    <w:keepNext w:val="0"/>
                    <w:keepLines w:val="0"/>
                    <w:pageBreakBefore w:val="0"/>
                    <w:suppressLineNumbers w:val="0"/>
                    <w:kinsoku/>
                    <w:wordWrap/>
                    <w:overflowPunct/>
                    <w:topLinePunct/>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rPr>
                    <w:t>2</w:t>
                  </w:r>
                </w:p>
              </w:tc>
              <w:tc>
                <w:tcPr>
                  <w:tcW w:w="344" w:type="pct"/>
                  <w:vAlign w:val="center"/>
                </w:tcPr>
                <w:p w14:paraId="47ACED9E">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废生物材料</w:t>
                  </w:r>
                </w:p>
              </w:tc>
              <w:tc>
                <w:tcPr>
                  <w:tcW w:w="445" w:type="pct"/>
                  <w:vAlign w:val="center"/>
                </w:tcPr>
                <w:p w14:paraId="27BCDA67">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Cs w:val="21"/>
                      <w:highlight w:val="none"/>
                      <w:lang w:val="en-US" w:eastAsia="zh-CN"/>
                    </w:rPr>
                    <w:t xml:space="preserve">HW49 </w:t>
                  </w:r>
                </w:p>
              </w:tc>
              <w:tc>
                <w:tcPr>
                  <w:tcW w:w="751" w:type="pct"/>
                  <w:vAlign w:val="center"/>
                </w:tcPr>
                <w:p w14:paraId="66305F50">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Cs w:val="21"/>
                      <w:highlight w:val="none"/>
                      <w:lang w:val="en-US" w:eastAsia="zh-CN"/>
                    </w:rPr>
                    <w:t>900-047-49</w:t>
                  </w:r>
                </w:p>
              </w:tc>
              <w:tc>
                <w:tcPr>
                  <w:tcW w:w="506" w:type="pct"/>
                  <w:vAlign w:val="center"/>
                </w:tcPr>
                <w:p w14:paraId="3D58E0B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387" w:type="pct"/>
                  <w:vAlign w:val="center"/>
                </w:tcPr>
                <w:p w14:paraId="41EC9B12">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snapToGrid w:val="0"/>
                      <w:color w:val="auto"/>
                      <w:kern w:val="0"/>
                      <w:szCs w:val="21"/>
                      <w:highlight w:val="none"/>
                      <w:lang w:val="en-US" w:eastAsia="zh-CN"/>
                    </w:rPr>
                    <w:t>实验过程</w:t>
                  </w:r>
                </w:p>
              </w:tc>
              <w:tc>
                <w:tcPr>
                  <w:tcW w:w="244" w:type="pct"/>
                  <w:vAlign w:val="center"/>
                </w:tcPr>
                <w:p w14:paraId="140F1879">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bidi="ar"/>
                    </w:rPr>
                    <w:t>固态</w:t>
                  </w:r>
                </w:p>
              </w:tc>
              <w:tc>
                <w:tcPr>
                  <w:tcW w:w="419" w:type="pct"/>
                  <w:vAlign w:val="center"/>
                </w:tcPr>
                <w:p w14:paraId="6C98E3A3">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Cs w:val="21"/>
                      <w:highlight w:val="none"/>
                    </w:rPr>
                    <w:t>废细胞等</w:t>
                  </w:r>
                </w:p>
              </w:tc>
              <w:tc>
                <w:tcPr>
                  <w:tcW w:w="452" w:type="pct"/>
                  <w:vAlign w:val="center"/>
                </w:tcPr>
                <w:p w14:paraId="36E7EBEE">
                  <w:pPr>
                    <w:keepNext w:val="0"/>
                    <w:keepLines w:val="0"/>
                    <w:pageBreakBefore w:val="0"/>
                    <w:widowControl/>
                    <w:suppressLineNumbers w:val="0"/>
                    <w:kinsoku/>
                    <w:wordWrap/>
                    <w:overflowPunct/>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病原微生物</w:t>
                  </w:r>
                  <w:r>
                    <w:rPr>
                      <w:rFonts w:hint="eastAsia" w:cs="Times New Roman"/>
                      <w:bCs/>
                      <w:color w:val="auto"/>
                      <w:sz w:val="21"/>
                      <w:szCs w:val="21"/>
                      <w:highlight w:val="none"/>
                      <w:lang w:val="en-US" w:eastAsia="zh-CN"/>
                    </w:rPr>
                    <w:t>、细胞培养残留物</w:t>
                  </w:r>
                </w:p>
              </w:tc>
              <w:tc>
                <w:tcPr>
                  <w:tcW w:w="265" w:type="pct"/>
                  <w:vAlign w:val="center"/>
                </w:tcPr>
                <w:p w14:paraId="415FED46">
                  <w:pPr>
                    <w:keepNext w:val="0"/>
                    <w:keepLines w:val="0"/>
                    <w:pageBreakBefore w:val="0"/>
                    <w:suppressLineNumbers w:val="0"/>
                    <w:kinsoku/>
                    <w:wordWrap/>
                    <w:overflowPunct/>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Cs/>
                      <w:color w:val="auto"/>
                      <w:kern w:val="2"/>
                      <w:sz w:val="21"/>
                      <w:szCs w:val="24"/>
                      <w:highlight w:val="none"/>
                      <w:lang w:val="en-US" w:eastAsia="zh-CN" w:bidi="ar-SA"/>
                    </w:rPr>
                  </w:pPr>
                </w:p>
              </w:tc>
              <w:tc>
                <w:tcPr>
                  <w:tcW w:w="499" w:type="pct"/>
                  <w:vAlign w:val="center"/>
                </w:tcPr>
                <w:p w14:paraId="7B32C9A3">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T/C/I/R</w:t>
                  </w:r>
                </w:p>
              </w:tc>
              <w:tc>
                <w:tcPr>
                  <w:tcW w:w="485" w:type="pct"/>
                  <w:vAlign w:val="center"/>
                </w:tcPr>
                <w:p w14:paraId="3021D9AB">
                  <w:pPr>
                    <w:keepNext w:val="0"/>
                    <w:keepLines w:val="0"/>
                    <w:pageBreakBefore w:val="0"/>
                    <w:suppressLineNumbers w:val="0"/>
                    <w:kinsoku/>
                    <w:wordWrap/>
                    <w:overflowPunct/>
                    <w:topLinePunct/>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rPr>
                    <w:t>委托有资质单位处置</w:t>
                  </w:r>
                </w:p>
              </w:tc>
            </w:tr>
            <w:tr w14:paraId="5E71DE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7" w:hRule="atLeast"/>
                <w:jc w:val="center"/>
              </w:trPr>
              <w:tc>
                <w:tcPr>
                  <w:tcW w:w="196" w:type="pct"/>
                  <w:vAlign w:val="center"/>
                </w:tcPr>
                <w:p w14:paraId="72424EC4">
                  <w:pPr>
                    <w:keepNext w:val="0"/>
                    <w:keepLines w:val="0"/>
                    <w:pageBreakBefore w:val="0"/>
                    <w:suppressLineNumbers w:val="0"/>
                    <w:kinsoku/>
                    <w:wordWrap/>
                    <w:overflowPunct/>
                    <w:topLinePunct/>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w:t>
                  </w:r>
                </w:p>
              </w:tc>
              <w:tc>
                <w:tcPr>
                  <w:tcW w:w="344" w:type="pct"/>
                  <w:vAlign w:val="center"/>
                </w:tcPr>
                <w:p w14:paraId="708875A2">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Cs w:val="21"/>
                      <w:highlight w:val="none"/>
                    </w:rPr>
                    <w:t>废化学</w:t>
                  </w:r>
                  <w:r>
                    <w:rPr>
                      <w:rFonts w:hint="eastAsia" w:cs="Times New Roman"/>
                      <w:color w:val="auto"/>
                      <w:kern w:val="0"/>
                      <w:szCs w:val="21"/>
                      <w:highlight w:val="none"/>
                      <w:lang w:val="en-US" w:eastAsia="zh-CN"/>
                    </w:rPr>
                    <w:t>品</w:t>
                  </w:r>
                  <w:r>
                    <w:rPr>
                      <w:rFonts w:hint="default" w:ascii="Times New Roman" w:hAnsi="Times New Roman" w:eastAsia="宋体" w:cs="Times New Roman"/>
                      <w:color w:val="auto"/>
                      <w:kern w:val="0"/>
                      <w:szCs w:val="21"/>
                      <w:highlight w:val="none"/>
                    </w:rPr>
                    <w:t>包装</w:t>
                  </w:r>
                </w:p>
              </w:tc>
              <w:tc>
                <w:tcPr>
                  <w:tcW w:w="445" w:type="pct"/>
                  <w:vAlign w:val="center"/>
                </w:tcPr>
                <w:p w14:paraId="656A0820">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lang w:val="en-US" w:eastAsia="zh-CN"/>
                    </w:rPr>
                    <w:t xml:space="preserve">HW49 </w:t>
                  </w:r>
                </w:p>
              </w:tc>
              <w:tc>
                <w:tcPr>
                  <w:tcW w:w="751" w:type="pct"/>
                  <w:vAlign w:val="center"/>
                </w:tcPr>
                <w:p w14:paraId="36B3F931">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lang w:val="en-US" w:eastAsia="zh-CN"/>
                    </w:rPr>
                    <w:t>900-041-49</w:t>
                  </w:r>
                </w:p>
              </w:tc>
              <w:tc>
                <w:tcPr>
                  <w:tcW w:w="506" w:type="pct"/>
                  <w:vAlign w:val="center"/>
                </w:tcPr>
                <w:p w14:paraId="00F8468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p>
              </w:tc>
              <w:tc>
                <w:tcPr>
                  <w:tcW w:w="387" w:type="pct"/>
                  <w:vAlign w:val="center"/>
                </w:tcPr>
                <w:p w14:paraId="640A6D5F">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Cs w:val="21"/>
                      <w:highlight w:val="none"/>
                      <w:lang w:val="en-US" w:eastAsia="zh-CN"/>
                    </w:rPr>
                    <w:t>原料包装</w:t>
                  </w:r>
                </w:p>
              </w:tc>
              <w:tc>
                <w:tcPr>
                  <w:tcW w:w="244" w:type="pct"/>
                  <w:vAlign w:val="center"/>
                </w:tcPr>
                <w:p w14:paraId="0D9487DC">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Cs w:val="21"/>
                      <w:highlight w:val="none"/>
                      <w:lang w:val="en-US" w:eastAsia="zh-CN"/>
                    </w:rPr>
                    <w:t>固态/液态</w:t>
                  </w:r>
                </w:p>
              </w:tc>
              <w:tc>
                <w:tcPr>
                  <w:tcW w:w="419" w:type="pct"/>
                  <w:vAlign w:val="center"/>
                </w:tcPr>
                <w:p w14:paraId="61357D5C">
                  <w:pPr>
                    <w:keepNext w:val="0"/>
                    <w:keepLines w:val="0"/>
                    <w:pageBreakBefore w:val="0"/>
                    <w:widowControl/>
                    <w:suppressLineNumbers w:val="0"/>
                    <w:kinsoku/>
                    <w:wordWrap/>
                    <w:overflowPunct/>
                    <w:topLinePunct w:val="0"/>
                    <w:autoSpaceDE/>
                    <w:bidi w:val="0"/>
                    <w:spacing w:before="0" w:beforeAutospacing="0" w:after="0" w:afterAutospacing="0"/>
                    <w:ind w:left="0" w:leftChars="0" w:right="-42" w:rightChars="-20"/>
                    <w:jc w:val="center"/>
                    <w:textAlignment w:val="center"/>
                    <w:rPr>
                      <w:rFonts w:hint="default" w:ascii="Times New Roman" w:hAnsi="Times New Roman" w:eastAsia="宋体" w:cs="Times New Roman"/>
                      <w:color w:val="auto"/>
                      <w:kern w:val="0"/>
                      <w:sz w:val="21"/>
                      <w:szCs w:val="21"/>
                      <w:highlight w:val="none"/>
                      <w:lang w:eastAsia="zh-CN" w:bidi="ar"/>
                    </w:rPr>
                  </w:pPr>
                  <w:r>
                    <w:rPr>
                      <w:rFonts w:hint="eastAsia" w:ascii="Times New Roman" w:hAnsi="Times New Roman" w:eastAsia="宋体" w:cs="Times New Roman"/>
                      <w:color w:val="auto"/>
                      <w:kern w:val="0"/>
                      <w:szCs w:val="21"/>
                      <w:highlight w:val="none"/>
                      <w:lang w:val="en-US" w:eastAsia="zh-CN" w:bidi="ar"/>
                    </w:rPr>
                    <w:t>沾染化学品的废包装材料</w:t>
                  </w:r>
                </w:p>
              </w:tc>
              <w:tc>
                <w:tcPr>
                  <w:tcW w:w="452" w:type="pct"/>
                  <w:vAlign w:val="center"/>
                </w:tcPr>
                <w:p w14:paraId="5BF308E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有机溶剂残留</w:t>
                  </w:r>
                </w:p>
              </w:tc>
              <w:tc>
                <w:tcPr>
                  <w:tcW w:w="265" w:type="pct"/>
                  <w:vAlign w:val="center"/>
                </w:tcPr>
                <w:p w14:paraId="5154C2BB">
                  <w:pPr>
                    <w:keepNext w:val="0"/>
                    <w:keepLines w:val="0"/>
                    <w:pageBreakBefore w:val="0"/>
                    <w:suppressLineNumbers w:val="0"/>
                    <w:kinsoku/>
                    <w:wordWrap/>
                    <w:overflowPunct/>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Cs/>
                      <w:color w:val="auto"/>
                      <w:sz w:val="21"/>
                      <w:szCs w:val="24"/>
                      <w:highlight w:val="none"/>
                      <w:lang w:val="en-US" w:eastAsia="zh-CN"/>
                    </w:rPr>
                  </w:pPr>
                </w:p>
              </w:tc>
              <w:tc>
                <w:tcPr>
                  <w:tcW w:w="499" w:type="pct"/>
                  <w:vAlign w:val="center"/>
                </w:tcPr>
                <w:p w14:paraId="02B3CC79">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cs="Times New Roman"/>
                      <w:color w:val="auto"/>
                      <w:szCs w:val="21"/>
                      <w:highlight w:val="none"/>
                      <w:lang w:val="en-US" w:eastAsia="zh-CN"/>
                    </w:rPr>
                    <w:t>T/In</w:t>
                  </w:r>
                </w:p>
              </w:tc>
              <w:tc>
                <w:tcPr>
                  <w:tcW w:w="485" w:type="pct"/>
                  <w:vAlign w:val="center"/>
                </w:tcPr>
                <w:p w14:paraId="7A44751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委托有资质单位处置</w:t>
                  </w:r>
                </w:p>
              </w:tc>
            </w:tr>
            <w:tr w14:paraId="006D68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96" w:type="pct"/>
                  <w:vAlign w:val="center"/>
                </w:tcPr>
                <w:p w14:paraId="61D048D3">
                  <w:pPr>
                    <w:keepNext w:val="0"/>
                    <w:keepLines w:val="0"/>
                    <w:pageBreakBefore w:val="0"/>
                    <w:suppressLineNumbers w:val="0"/>
                    <w:kinsoku/>
                    <w:wordWrap/>
                    <w:overflowPunct/>
                    <w:topLinePunct/>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w:t>
                  </w:r>
                </w:p>
              </w:tc>
              <w:tc>
                <w:tcPr>
                  <w:tcW w:w="344" w:type="pct"/>
                  <w:vAlign w:val="center"/>
                </w:tcPr>
                <w:p w14:paraId="785CD21A">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Cs w:val="21"/>
                      <w:highlight w:val="none"/>
                      <w:lang w:val="en-US" w:eastAsia="zh-CN" w:bidi="ar"/>
                    </w:rPr>
                    <w:t>废实验耗材</w:t>
                  </w:r>
                </w:p>
              </w:tc>
              <w:tc>
                <w:tcPr>
                  <w:tcW w:w="445" w:type="pct"/>
                  <w:vAlign w:val="center"/>
                </w:tcPr>
                <w:p w14:paraId="4F0848EB">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szCs w:val="21"/>
                      <w:highlight w:val="none"/>
                      <w:lang w:val="en-US" w:eastAsia="zh-CN"/>
                    </w:rPr>
                    <w:t xml:space="preserve">HW49 </w:t>
                  </w:r>
                </w:p>
              </w:tc>
              <w:tc>
                <w:tcPr>
                  <w:tcW w:w="751" w:type="pct"/>
                  <w:vAlign w:val="center"/>
                </w:tcPr>
                <w:p w14:paraId="11221E15">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szCs w:val="21"/>
                      <w:highlight w:val="none"/>
                      <w:lang w:val="en-US" w:eastAsia="zh-CN"/>
                    </w:rPr>
                    <w:t>900-04</w:t>
                  </w:r>
                  <w:r>
                    <w:rPr>
                      <w:rFonts w:hint="eastAsia" w:cs="Times New Roman"/>
                      <w:color w:val="auto"/>
                      <w:szCs w:val="21"/>
                      <w:highlight w:val="none"/>
                      <w:lang w:val="en-US" w:eastAsia="zh-CN"/>
                    </w:rPr>
                    <w:t>7</w:t>
                  </w:r>
                  <w:r>
                    <w:rPr>
                      <w:rFonts w:hint="default" w:ascii="Times New Roman" w:hAnsi="Times New Roman" w:eastAsia="宋体" w:cs="Times New Roman"/>
                      <w:color w:val="auto"/>
                      <w:szCs w:val="21"/>
                      <w:highlight w:val="none"/>
                      <w:lang w:val="en-US" w:eastAsia="zh-CN"/>
                    </w:rPr>
                    <w:t>-49</w:t>
                  </w:r>
                </w:p>
              </w:tc>
              <w:tc>
                <w:tcPr>
                  <w:tcW w:w="506" w:type="pct"/>
                  <w:vAlign w:val="center"/>
                </w:tcPr>
                <w:p w14:paraId="0F74500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p>
              </w:tc>
              <w:tc>
                <w:tcPr>
                  <w:tcW w:w="387" w:type="pct"/>
                  <w:vAlign w:val="center"/>
                </w:tcPr>
                <w:p w14:paraId="70B4EB1C">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sz w:val="21"/>
                      <w:szCs w:val="21"/>
                      <w:highlight w:val="none"/>
                      <w:lang w:val="en-US" w:eastAsia="zh-CN"/>
                    </w:rPr>
                  </w:pPr>
                  <w:r>
                    <w:rPr>
                      <w:rFonts w:hint="eastAsia" w:cs="Times New Roman"/>
                      <w:snapToGrid w:val="0"/>
                      <w:color w:val="auto"/>
                      <w:kern w:val="0"/>
                      <w:szCs w:val="21"/>
                      <w:highlight w:val="none"/>
                      <w:lang w:val="en-US" w:eastAsia="zh-CN"/>
                    </w:rPr>
                    <w:t>实验过程</w:t>
                  </w:r>
                </w:p>
              </w:tc>
              <w:tc>
                <w:tcPr>
                  <w:tcW w:w="244" w:type="pct"/>
                  <w:vAlign w:val="center"/>
                </w:tcPr>
                <w:p w14:paraId="667A55F7">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Cs w:val="21"/>
                      <w:highlight w:val="none"/>
                      <w:lang w:val="en-US" w:eastAsia="zh-CN" w:bidi="ar"/>
                    </w:rPr>
                    <w:t>固态</w:t>
                  </w:r>
                </w:p>
              </w:tc>
              <w:tc>
                <w:tcPr>
                  <w:tcW w:w="419" w:type="pct"/>
                  <w:vAlign w:val="center"/>
                </w:tcPr>
                <w:p w14:paraId="5145D1B0">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沾有化学试剂的一次性手套、实验器皿等</w:t>
                  </w:r>
                </w:p>
              </w:tc>
              <w:tc>
                <w:tcPr>
                  <w:tcW w:w="452" w:type="pct"/>
                  <w:vAlign w:val="center"/>
                </w:tcPr>
                <w:p w14:paraId="0E7DF63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试剂残留、病原微生物残留</w:t>
                  </w:r>
                </w:p>
              </w:tc>
              <w:tc>
                <w:tcPr>
                  <w:tcW w:w="265" w:type="pct"/>
                  <w:vAlign w:val="center"/>
                </w:tcPr>
                <w:p w14:paraId="153659F4">
                  <w:pPr>
                    <w:keepNext w:val="0"/>
                    <w:keepLines w:val="0"/>
                    <w:pageBreakBefore w:val="0"/>
                    <w:suppressLineNumbers w:val="0"/>
                    <w:kinsoku/>
                    <w:wordWrap/>
                    <w:overflowPunct/>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Cs/>
                      <w:color w:val="auto"/>
                      <w:sz w:val="21"/>
                      <w:szCs w:val="24"/>
                      <w:highlight w:val="none"/>
                      <w:lang w:val="en-US" w:eastAsia="zh-CN"/>
                    </w:rPr>
                  </w:pPr>
                </w:p>
              </w:tc>
              <w:tc>
                <w:tcPr>
                  <w:tcW w:w="499" w:type="pct"/>
                  <w:vAlign w:val="center"/>
                </w:tcPr>
                <w:p w14:paraId="4FDD93C5">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T/C/I/R</w:t>
                  </w:r>
                </w:p>
              </w:tc>
              <w:tc>
                <w:tcPr>
                  <w:tcW w:w="485" w:type="pct"/>
                  <w:vAlign w:val="center"/>
                </w:tcPr>
                <w:p w14:paraId="1EA9943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委托有资质单位处置</w:t>
                  </w:r>
                </w:p>
              </w:tc>
            </w:tr>
            <w:tr w14:paraId="15F639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96" w:type="pct"/>
                  <w:vAlign w:val="center"/>
                </w:tcPr>
                <w:p w14:paraId="2864A9D7">
                  <w:pPr>
                    <w:keepNext w:val="0"/>
                    <w:keepLines w:val="0"/>
                    <w:pageBreakBefore w:val="0"/>
                    <w:suppressLineNumbers w:val="0"/>
                    <w:kinsoku/>
                    <w:wordWrap/>
                    <w:overflowPunct/>
                    <w:topLinePunct/>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5</w:t>
                  </w:r>
                </w:p>
              </w:tc>
              <w:tc>
                <w:tcPr>
                  <w:tcW w:w="344" w:type="pct"/>
                  <w:vAlign w:val="center"/>
                </w:tcPr>
                <w:p w14:paraId="6FC7CF20">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Cs w:val="21"/>
                      <w:highlight w:val="none"/>
                      <w:lang w:val="en-US" w:eastAsia="zh-CN" w:bidi="ar"/>
                    </w:rPr>
                    <w:t>生物安全柜废滤芯</w:t>
                  </w:r>
                </w:p>
              </w:tc>
              <w:tc>
                <w:tcPr>
                  <w:tcW w:w="445" w:type="pct"/>
                  <w:vAlign w:val="center"/>
                </w:tcPr>
                <w:p w14:paraId="6668B123">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szCs w:val="21"/>
                      <w:highlight w:val="none"/>
                      <w:lang w:val="en-US" w:eastAsia="zh-CN"/>
                    </w:rPr>
                    <w:t xml:space="preserve">HW49 </w:t>
                  </w:r>
                </w:p>
              </w:tc>
              <w:tc>
                <w:tcPr>
                  <w:tcW w:w="751" w:type="pct"/>
                  <w:vAlign w:val="center"/>
                </w:tcPr>
                <w:p w14:paraId="7DC9817B">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szCs w:val="21"/>
                      <w:highlight w:val="none"/>
                      <w:lang w:val="en-US" w:eastAsia="zh-CN"/>
                    </w:rPr>
                    <w:t>900-04</w:t>
                  </w:r>
                  <w:r>
                    <w:rPr>
                      <w:rFonts w:hint="eastAsia" w:cs="Times New Roman"/>
                      <w:color w:val="auto"/>
                      <w:szCs w:val="21"/>
                      <w:highlight w:val="none"/>
                      <w:lang w:val="en-US" w:eastAsia="zh-CN"/>
                    </w:rPr>
                    <w:t>7</w:t>
                  </w:r>
                  <w:r>
                    <w:rPr>
                      <w:rFonts w:hint="default" w:ascii="Times New Roman" w:hAnsi="Times New Roman" w:eastAsia="宋体" w:cs="Times New Roman"/>
                      <w:color w:val="auto"/>
                      <w:szCs w:val="21"/>
                      <w:highlight w:val="none"/>
                      <w:lang w:val="en-US" w:eastAsia="zh-CN"/>
                    </w:rPr>
                    <w:t>-49</w:t>
                  </w:r>
                </w:p>
              </w:tc>
              <w:tc>
                <w:tcPr>
                  <w:tcW w:w="506" w:type="pct"/>
                  <w:vAlign w:val="center"/>
                </w:tcPr>
                <w:p w14:paraId="5899135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p>
              </w:tc>
              <w:tc>
                <w:tcPr>
                  <w:tcW w:w="387" w:type="pct"/>
                  <w:vAlign w:val="center"/>
                </w:tcPr>
                <w:p w14:paraId="0C11B8F2">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sz w:val="21"/>
                      <w:szCs w:val="21"/>
                      <w:highlight w:val="none"/>
                      <w:lang w:val="en-US" w:eastAsia="zh-CN"/>
                    </w:rPr>
                  </w:pPr>
                  <w:r>
                    <w:rPr>
                      <w:rFonts w:hint="eastAsia" w:cs="Times New Roman"/>
                      <w:snapToGrid w:val="0"/>
                      <w:color w:val="auto"/>
                      <w:kern w:val="0"/>
                      <w:szCs w:val="21"/>
                      <w:highlight w:val="none"/>
                      <w:lang w:val="en-US" w:eastAsia="zh-CN"/>
                    </w:rPr>
                    <w:t>生物安全柜</w:t>
                  </w:r>
                </w:p>
              </w:tc>
              <w:tc>
                <w:tcPr>
                  <w:tcW w:w="244" w:type="pct"/>
                  <w:vAlign w:val="center"/>
                </w:tcPr>
                <w:p w14:paraId="4042D1CF">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Cs w:val="21"/>
                      <w:highlight w:val="none"/>
                      <w:lang w:val="en-US" w:eastAsia="zh-CN" w:bidi="ar"/>
                    </w:rPr>
                    <w:t>固态</w:t>
                  </w:r>
                </w:p>
              </w:tc>
              <w:tc>
                <w:tcPr>
                  <w:tcW w:w="419" w:type="pct"/>
                  <w:vAlign w:val="center"/>
                </w:tcPr>
                <w:p w14:paraId="742BE869">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生物安全柜过滤器滤材</w:t>
                  </w:r>
                </w:p>
              </w:tc>
              <w:tc>
                <w:tcPr>
                  <w:tcW w:w="452" w:type="pct"/>
                  <w:vAlign w:val="center"/>
                </w:tcPr>
                <w:p w14:paraId="61ADC09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病原微生物、细胞培养残留物</w:t>
                  </w:r>
                </w:p>
              </w:tc>
              <w:tc>
                <w:tcPr>
                  <w:tcW w:w="265" w:type="pct"/>
                  <w:vAlign w:val="center"/>
                </w:tcPr>
                <w:p w14:paraId="3137A0F3">
                  <w:pPr>
                    <w:keepNext w:val="0"/>
                    <w:keepLines w:val="0"/>
                    <w:pageBreakBefore w:val="0"/>
                    <w:suppressLineNumbers w:val="0"/>
                    <w:kinsoku/>
                    <w:wordWrap/>
                    <w:overflowPunct/>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Cs/>
                      <w:color w:val="auto"/>
                      <w:sz w:val="21"/>
                      <w:szCs w:val="24"/>
                      <w:highlight w:val="none"/>
                      <w:lang w:val="en-US" w:eastAsia="zh-CN"/>
                    </w:rPr>
                  </w:pPr>
                </w:p>
              </w:tc>
              <w:tc>
                <w:tcPr>
                  <w:tcW w:w="499" w:type="pct"/>
                  <w:vAlign w:val="center"/>
                </w:tcPr>
                <w:p w14:paraId="234CCEAB">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T/C/I/R</w:t>
                  </w:r>
                </w:p>
              </w:tc>
              <w:tc>
                <w:tcPr>
                  <w:tcW w:w="485" w:type="pct"/>
                  <w:vAlign w:val="center"/>
                </w:tcPr>
                <w:p w14:paraId="24BE563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委托有资质单位处置</w:t>
                  </w:r>
                </w:p>
              </w:tc>
            </w:tr>
            <w:tr w14:paraId="23DB29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96" w:type="pct"/>
                  <w:vAlign w:val="center"/>
                </w:tcPr>
                <w:p w14:paraId="6C577197">
                  <w:pPr>
                    <w:keepNext w:val="0"/>
                    <w:keepLines w:val="0"/>
                    <w:pageBreakBefore w:val="0"/>
                    <w:suppressLineNumbers w:val="0"/>
                    <w:kinsoku/>
                    <w:wordWrap/>
                    <w:overflowPunct/>
                    <w:topLinePunct/>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6</w:t>
                  </w:r>
                </w:p>
              </w:tc>
              <w:tc>
                <w:tcPr>
                  <w:tcW w:w="344" w:type="pct"/>
                  <w:vAlign w:val="center"/>
                </w:tcPr>
                <w:p w14:paraId="613390AD">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纯水制备废滤芯</w:t>
                  </w:r>
                </w:p>
              </w:tc>
              <w:tc>
                <w:tcPr>
                  <w:tcW w:w="445" w:type="pct"/>
                  <w:vAlign w:val="center"/>
                </w:tcPr>
                <w:p w14:paraId="701EBB57">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HW49</w:t>
                  </w:r>
                </w:p>
              </w:tc>
              <w:tc>
                <w:tcPr>
                  <w:tcW w:w="751" w:type="pct"/>
                  <w:vAlign w:val="center"/>
                </w:tcPr>
                <w:p w14:paraId="09A5A990">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00-047-49</w:t>
                  </w:r>
                </w:p>
              </w:tc>
              <w:tc>
                <w:tcPr>
                  <w:tcW w:w="506" w:type="pct"/>
                  <w:vAlign w:val="center"/>
                </w:tcPr>
                <w:p w14:paraId="62D1A17E">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 w:val="21"/>
                      <w:szCs w:val="21"/>
                      <w:highlight w:val="none"/>
                      <w:lang w:val="en-US" w:eastAsia="zh-CN"/>
                    </w:rPr>
                  </w:pPr>
                </w:p>
              </w:tc>
              <w:tc>
                <w:tcPr>
                  <w:tcW w:w="387" w:type="pct"/>
                  <w:vAlign w:val="center"/>
                </w:tcPr>
                <w:p w14:paraId="00C3F2CA">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snapToGrid w:val="0"/>
                      <w:color w:val="auto"/>
                      <w:kern w:val="0"/>
                      <w:szCs w:val="21"/>
                      <w:highlight w:val="none"/>
                      <w:lang w:val="en-US" w:eastAsia="zh-CN"/>
                    </w:rPr>
                  </w:pPr>
                  <w:r>
                    <w:rPr>
                      <w:rFonts w:hint="eastAsia" w:cs="Times New Roman"/>
                      <w:snapToGrid w:val="0"/>
                      <w:color w:val="auto"/>
                      <w:kern w:val="0"/>
                      <w:szCs w:val="21"/>
                      <w:highlight w:val="none"/>
                      <w:lang w:val="en-US" w:eastAsia="zh-CN"/>
                    </w:rPr>
                    <w:t>纯水制备</w:t>
                  </w:r>
                </w:p>
              </w:tc>
              <w:tc>
                <w:tcPr>
                  <w:tcW w:w="244" w:type="pct"/>
                  <w:vAlign w:val="center"/>
                </w:tcPr>
                <w:p w14:paraId="6D6E2C57">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Cs w:val="21"/>
                      <w:highlight w:val="none"/>
                      <w:lang w:val="en-US" w:eastAsia="zh-CN" w:bidi="ar"/>
                    </w:rPr>
                    <w:t>固态</w:t>
                  </w:r>
                </w:p>
              </w:tc>
              <w:tc>
                <w:tcPr>
                  <w:tcW w:w="419" w:type="pct"/>
                  <w:vAlign w:val="center"/>
                </w:tcPr>
                <w:p w14:paraId="627883FA">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纯水制备废滤</w:t>
                  </w:r>
                </w:p>
              </w:tc>
              <w:tc>
                <w:tcPr>
                  <w:tcW w:w="452" w:type="pct"/>
                  <w:vAlign w:val="center"/>
                </w:tcPr>
                <w:p w14:paraId="056832E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重金属、氯代有机物</w:t>
                  </w:r>
                </w:p>
              </w:tc>
              <w:tc>
                <w:tcPr>
                  <w:tcW w:w="265" w:type="pct"/>
                  <w:vAlign w:val="center"/>
                </w:tcPr>
                <w:p w14:paraId="6EEC33AB">
                  <w:pPr>
                    <w:keepNext w:val="0"/>
                    <w:keepLines w:val="0"/>
                    <w:pageBreakBefore w:val="0"/>
                    <w:suppressLineNumbers w:val="0"/>
                    <w:kinsoku/>
                    <w:wordWrap/>
                    <w:overflowPunct/>
                    <w:autoSpaceDE/>
                    <w:bidi w:val="0"/>
                    <w:adjustRightInd w:val="0"/>
                    <w:snapToGrid w:val="0"/>
                    <w:spacing w:before="0" w:beforeAutospacing="0" w:after="0" w:afterAutospacing="0"/>
                    <w:ind w:left="-42" w:leftChars="-20" w:right="-42" w:rightChars="-20"/>
                    <w:jc w:val="center"/>
                    <w:rPr>
                      <w:rFonts w:hint="eastAsia" w:ascii="Times New Roman" w:hAnsi="Times New Roman" w:eastAsia="宋体" w:cs="Times New Roman"/>
                      <w:bCs/>
                      <w:color w:val="auto"/>
                      <w:sz w:val="21"/>
                      <w:szCs w:val="24"/>
                      <w:highlight w:val="none"/>
                      <w:lang w:val="en-US" w:eastAsia="zh-CN"/>
                    </w:rPr>
                  </w:pPr>
                </w:p>
              </w:tc>
              <w:tc>
                <w:tcPr>
                  <w:tcW w:w="499" w:type="pct"/>
                  <w:vAlign w:val="center"/>
                </w:tcPr>
                <w:p w14:paraId="41082743">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T/C/I/R</w:t>
                  </w:r>
                </w:p>
              </w:tc>
              <w:tc>
                <w:tcPr>
                  <w:tcW w:w="485" w:type="pct"/>
                  <w:vAlign w:val="center"/>
                </w:tcPr>
                <w:p w14:paraId="0CCC9379">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bCs/>
                      <w:color w:val="auto"/>
                      <w:szCs w:val="20"/>
                    </w:rPr>
                  </w:pPr>
                  <w:r>
                    <w:rPr>
                      <w:rFonts w:hint="eastAsia" w:cs="Times New Roman"/>
                      <w:color w:val="auto"/>
                      <w:kern w:val="0"/>
                      <w:sz w:val="21"/>
                      <w:szCs w:val="21"/>
                      <w:highlight w:val="none"/>
                      <w:lang w:val="en-US" w:eastAsia="zh-CN"/>
                    </w:rPr>
                    <w:t>委托有资质单位处置</w:t>
                  </w:r>
                </w:p>
              </w:tc>
            </w:tr>
            <w:tr w14:paraId="0BFE68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96" w:type="pct"/>
                  <w:vAlign w:val="center"/>
                </w:tcPr>
                <w:p w14:paraId="0337C20C">
                  <w:pPr>
                    <w:keepNext w:val="0"/>
                    <w:keepLines w:val="0"/>
                    <w:pageBreakBefore w:val="0"/>
                    <w:suppressLineNumbers w:val="0"/>
                    <w:kinsoku/>
                    <w:wordWrap/>
                    <w:overflowPunct/>
                    <w:topLinePunct/>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7</w:t>
                  </w:r>
                </w:p>
              </w:tc>
              <w:tc>
                <w:tcPr>
                  <w:tcW w:w="344" w:type="pct"/>
                  <w:vAlign w:val="center"/>
                </w:tcPr>
                <w:p w14:paraId="11096E69">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蛋白纯化废滤芯</w:t>
                  </w:r>
                </w:p>
              </w:tc>
              <w:tc>
                <w:tcPr>
                  <w:tcW w:w="445" w:type="pct"/>
                  <w:vAlign w:val="center"/>
                </w:tcPr>
                <w:p w14:paraId="2BCEE7A8">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 xml:space="preserve">HW49 </w:t>
                  </w:r>
                </w:p>
              </w:tc>
              <w:tc>
                <w:tcPr>
                  <w:tcW w:w="751" w:type="pct"/>
                  <w:vAlign w:val="center"/>
                </w:tcPr>
                <w:p w14:paraId="41D6AE46">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900-0</w:t>
                  </w:r>
                  <w:r>
                    <w:rPr>
                      <w:rFonts w:hint="eastAsia" w:ascii="Times New Roman" w:hAnsi="Times New Roman" w:eastAsia="宋体" w:cs="Times New Roman"/>
                      <w:color w:val="auto"/>
                      <w:szCs w:val="21"/>
                      <w:highlight w:val="none"/>
                      <w:lang w:val="en-US" w:eastAsia="zh-CN"/>
                    </w:rPr>
                    <w:t>47</w:t>
                  </w:r>
                  <w:r>
                    <w:rPr>
                      <w:rFonts w:hint="default" w:ascii="Times New Roman" w:hAnsi="Times New Roman" w:eastAsia="宋体" w:cs="Times New Roman"/>
                      <w:color w:val="auto"/>
                      <w:szCs w:val="21"/>
                      <w:highlight w:val="none"/>
                      <w:lang w:val="en-US" w:eastAsia="zh-CN"/>
                    </w:rPr>
                    <w:t>-49</w:t>
                  </w:r>
                </w:p>
              </w:tc>
              <w:tc>
                <w:tcPr>
                  <w:tcW w:w="506" w:type="pct"/>
                  <w:vAlign w:val="center"/>
                </w:tcPr>
                <w:p w14:paraId="2AB3A9B9">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 w:val="21"/>
                      <w:szCs w:val="21"/>
                      <w:highlight w:val="none"/>
                      <w:lang w:val="en-US" w:eastAsia="zh-CN"/>
                    </w:rPr>
                  </w:pPr>
                </w:p>
              </w:tc>
              <w:tc>
                <w:tcPr>
                  <w:tcW w:w="387" w:type="pct"/>
                  <w:vAlign w:val="center"/>
                </w:tcPr>
                <w:p w14:paraId="627A63CA">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snapToGrid w:val="0"/>
                      <w:color w:val="auto"/>
                      <w:kern w:val="0"/>
                      <w:szCs w:val="21"/>
                      <w:highlight w:val="none"/>
                      <w:lang w:val="en-US" w:eastAsia="zh-CN"/>
                    </w:rPr>
                  </w:pPr>
                  <w:r>
                    <w:rPr>
                      <w:rFonts w:hint="eastAsia" w:cs="Times New Roman"/>
                      <w:snapToGrid w:val="0"/>
                      <w:color w:val="auto"/>
                      <w:kern w:val="0"/>
                      <w:szCs w:val="21"/>
                      <w:highlight w:val="none"/>
                      <w:lang w:val="en-US" w:eastAsia="zh-CN"/>
                    </w:rPr>
                    <w:t>蛋白纯化</w:t>
                  </w:r>
                </w:p>
              </w:tc>
              <w:tc>
                <w:tcPr>
                  <w:tcW w:w="244" w:type="pct"/>
                  <w:vAlign w:val="center"/>
                </w:tcPr>
                <w:p w14:paraId="0EC965B8">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Cs w:val="21"/>
                      <w:highlight w:val="none"/>
                      <w:lang w:val="en-US" w:eastAsia="zh-CN" w:bidi="ar"/>
                    </w:rPr>
                    <w:t>固态</w:t>
                  </w:r>
                </w:p>
              </w:tc>
              <w:tc>
                <w:tcPr>
                  <w:tcW w:w="419" w:type="pct"/>
                  <w:vAlign w:val="center"/>
                </w:tcPr>
                <w:p w14:paraId="473F741B">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蛋白纯化过滤器材</w:t>
                  </w:r>
                </w:p>
              </w:tc>
              <w:tc>
                <w:tcPr>
                  <w:tcW w:w="452" w:type="pct"/>
                  <w:vAlign w:val="center"/>
                </w:tcPr>
                <w:p w14:paraId="3B6E429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有机溶剂、重金属</w:t>
                  </w:r>
                </w:p>
              </w:tc>
              <w:tc>
                <w:tcPr>
                  <w:tcW w:w="265" w:type="pct"/>
                  <w:vAlign w:val="center"/>
                </w:tcPr>
                <w:p w14:paraId="22EE23BC">
                  <w:pPr>
                    <w:keepNext w:val="0"/>
                    <w:keepLines w:val="0"/>
                    <w:pageBreakBefore w:val="0"/>
                    <w:widowControl/>
                    <w:suppressLineNumbers w:val="0"/>
                    <w:kinsoku/>
                    <w:wordWrap/>
                    <w:overflowPunct/>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bCs/>
                      <w:color w:val="auto"/>
                      <w:sz w:val="21"/>
                      <w:szCs w:val="24"/>
                      <w:highlight w:val="none"/>
                      <w:lang w:val="en-US" w:eastAsia="zh-CN"/>
                    </w:rPr>
                  </w:pPr>
                </w:p>
              </w:tc>
              <w:tc>
                <w:tcPr>
                  <w:tcW w:w="499" w:type="pct"/>
                  <w:vAlign w:val="center"/>
                </w:tcPr>
                <w:p w14:paraId="0A4EEA6A">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T/C/I/R</w:t>
                  </w:r>
                </w:p>
              </w:tc>
              <w:tc>
                <w:tcPr>
                  <w:tcW w:w="485" w:type="pct"/>
                  <w:vAlign w:val="center"/>
                </w:tcPr>
                <w:p w14:paraId="01C95C4E">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bCs/>
                      <w:color w:val="auto"/>
                      <w:szCs w:val="20"/>
                    </w:rPr>
                  </w:pPr>
                  <w:r>
                    <w:rPr>
                      <w:rFonts w:hint="eastAsia" w:cs="Times New Roman"/>
                      <w:color w:val="auto"/>
                      <w:kern w:val="0"/>
                      <w:sz w:val="21"/>
                      <w:szCs w:val="21"/>
                      <w:highlight w:val="none"/>
                      <w:lang w:val="en-US" w:eastAsia="zh-CN"/>
                    </w:rPr>
                    <w:t>委托有资质单位处置</w:t>
                  </w:r>
                </w:p>
              </w:tc>
            </w:tr>
            <w:tr w14:paraId="50A67F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96" w:type="pct"/>
                  <w:vAlign w:val="center"/>
                </w:tcPr>
                <w:p w14:paraId="378B2456">
                  <w:pPr>
                    <w:keepNext w:val="0"/>
                    <w:keepLines w:val="0"/>
                    <w:pageBreakBefore w:val="0"/>
                    <w:suppressLineNumbers w:val="0"/>
                    <w:kinsoku/>
                    <w:wordWrap/>
                    <w:overflowPunct/>
                    <w:topLinePunct/>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8</w:t>
                  </w:r>
                </w:p>
              </w:tc>
              <w:tc>
                <w:tcPr>
                  <w:tcW w:w="344" w:type="pct"/>
                  <w:vAlign w:val="center"/>
                </w:tcPr>
                <w:p w14:paraId="3BF20CAF">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废活性炭</w:t>
                  </w:r>
                </w:p>
              </w:tc>
              <w:tc>
                <w:tcPr>
                  <w:tcW w:w="445" w:type="pct"/>
                  <w:vAlign w:val="center"/>
                </w:tcPr>
                <w:p w14:paraId="3B959503">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HW49</w:t>
                  </w:r>
                </w:p>
              </w:tc>
              <w:tc>
                <w:tcPr>
                  <w:tcW w:w="751" w:type="pct"/>
                  <w:vAlign w:val="center"/>
                </w:tcPr>
                <w:p w14:paraId="5486466D">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900-039-49</w:t>
                  </w:r>
                </w:p>
              </w:tc>
              <w:tc>
                <w:tcPr>
                  <w:tcW w:w="506" w:type="pct"/>
                  <w:vAlign w:val="center"/>
                </w:tcPr>
                <w:p w14:paraId="658FA805">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 w:val="21"/>
                      <w:szCs w:val="21"/>
                      <w:highlight w:val="none"/>
                      <w:lang w:val="en-US" w:eastAsia="zh-CN"/>
                    </w:rPr>
                  </w:pPr>
                </w:p>
              </w:tc>
              <w:tc>
                <w:tcPr>
                  <w:tcW w:w="387" w:type="pct"/>
                  <w:vAlign w:val="center"/>
                </w:tcPr>
                <w:p w14:paraId="3F2C4608">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snapToGrid w:val="0"/>
                      <w:color w:val="auto"/>
                      <w:kern w:val="0"/>
                      <w:szCs w:val="21"/>
                      <w:highlight w:val="none"/>
                      <w:lang w:val="en-US" w:eastAsia="zh-CN"/>
                    </w:rPr>
                  </w:pPr>
                  <w:r>
                    <w:rPr>
                      <w:rFonts w:hint="eastAsia" w:cs="Times New Roman"/>
                      <w:snapToGrid w:val="0"/>
                      <w:color w:val="auto"/>
                      <w:kern w:val="0"/>
                      <w:szCs w:val="21"/>
                      <w:highlight w:val="none"/>
                      <w:lang w:val="en-US" w:eastAsia="zh-CN"/>
                    </w:rPr>
                    <w:t>废气处理</w:t>
                  </w:r>
                </w:p>
              </w:tc>
              <w:tc>
                <w:tcPr>
                  <w:tcW w:w="244" w:type="pct"/>
                  <w:vAlign w:val="center"/>
                </w:tcPr>
                <w:p w14:paraId="63C590F8">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Cs w:val="21"/>
                      <w:highlight w:val="none"/>
                      <w:lang w:val="en-US" w:eastAsia="zh-CN" w:bidi="ar"/>
                    </w:rPr>
                    <w:t>固态</w:t>
                  </w:r>
                </w:p>
              </w:tc>
              <w:tc>
                <w:tcPr>
                  <w:tcW w:w="419" w:type="pct"/>
                  <w:vAlign w:val="center"/>
                </w:tcPr>
                <w:p w14:paraId="1E5579AF">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活性炭</w:t>
                  </w:r>
                </w:p>
              </w:tc>
              <w:tc>
                <w:tcPr>
                  <w:tcW w:w="452" w:type="pct"/>
                  <w:vAlign w:val="center"/>
                </w:tcPr>
                <w:p w14:paraId="0DFFDED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挥发性有机物</w:t>
                  </w:r>
                </w:p>
              </w:tc>
              <w:tc>
                <w:tcPr>
                  <w:tcW w:w="265" w:type="pct"/>
                  <w:vAlign w:val="center"/>
                </w:tcPr>
                <w:p w14:paraId="28084104">
                  <w:pPr>
                    <w:keepNext w:val="0"/>
                    <w:keepLines w:val="0"/>
                    <w:pageBreakBefore w:val="0"/>
                    <w:widowControl/>
                    <w:suppressLineNumbers w:val="0"/>
                    <w:kinsoku/>
                    <w:wordWrap/>
                    <w:overflowPunct/>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bCs/>
                      <w:color w:val="auto"/>
                      <w:sz w:val="21"/>
                      <w:szCs w:val="24"/>
                      <w:highlight w:val="none"/>
                      <w:lang w:val="en-US" w:eastAsia="zh-CN"/>
                    </w:rPr>
                  </w:pPr>
                </w:p>
              </w:tc>
              <w:tc>
                <w:tcPr>
                  <w:tcW w:w="499" w:type="pct"/>
                  <w:vAlign w:val="center"/>
                </w:tcPr>
                <w:p w14:paraId="2A1EF442">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bCs/>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T</w:t>
                  </w:r>
                </w:p>
              </w:tc>
              <w:tc>
                <w:tcPr>
                  <w:tcW w:w="485" w:type="pct"/>
                  <w:vAlign w:val="center"/>
                </w:tcPr>
                <w:p w14:paraId="01934E26">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bCs/>
                      <w:color w:val="auto"/>
                      <w:szCs w:val="20"/>
                    </w:rPr>
                  </w:pPr>
                  <w:r>
                    <w:rPr>
                      <w:rFonts w:hint="eastAsia" w:cs="Times New Roman"/>
                      <w:color w:val="auto"/>
                      <w:kern w:val="0"/>
                      <w:sz w:val="21"/>
                      <w:szCs w:val="21"/>
                      <w:highlight w:val="none"/>
                      <w:lang w:val="en-US" w:eastAsia="zh-CN"/>
                    </w:rPr>
                    <w:t>委托有资质单位处置</w:t>
                  </w:r>
                </w:p>
              </w:tc>
            </w:tr>
          </w:tbl>
          <w:p w14:paraId="534AE618">
            <w:pPr>
              <w:keepNext w:val="0"/>
              <w:keepLines w:val="0"/>
              <w:numPr>
                <w:ilvl w:val="0"/>
                <w:numId w:val="0"/>
              </w:numPr>
              <w:suppressLineNumbers w:val="0"/>
              <w:adjustRightInd w:val="0"/>
              <w:snapToGrid w:val="0"/>
              <w:spacing w:before="159" w:beforeLines="50" w:beforeAutospacing="0" w:after="0" w:afterAutospacing="0" w:line="360" w:lineRule="auto"/>
              <w:ind w:left="420" w:leftChars="200" w:right="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rPr>
              <w:t>固体废物贮存、处置利用情况</w:t>
            </w:r>
          </w:p>
          <w:p w14:paraId="2E42D24D">
            <w:pPr>
              <w:pStyle w:val="13"/>
              <w:keepNext w:val="0"/>
              <w:keepLines w:val="0"/>
              <w:pageBreakBefore w:val="0"/>
              <w:widowControl w:val="0"/>
              <w:numPr>
                <w:ilvl w:val="0"/>
                <w:numId w:val="0"/>
              </w:numPr>
              <w:suppressLineNumbers w:val="0"/>
              <w:tabs>
                <w:tab w:val="clear" w:pos="2040"/>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olor w:val="auto"/>
                <w:vertAlign w:val="baseline"/>
              </w:rPr>
            </w:pPr>
            <w:r>
              <w:rPr>
                <w:rFonts w:hint="default" w:ascii="Times New Roman" w:hAnsi="Times New Roman" w:eastAsia="宋体" w:cs="Times New Roman"/>
                <w:color w:val="auto"/>
                <w:sz w:val="24"/>
                <w:highlight w:val="none"/>
              </w:rPr>
              <w:t>本项目建成后，全厂固体废物贮存、利用处置方式见下表。</w:t>
            </w:r>
          </w:p>
        </w:tc>
      </w:tr>
    </w:tbl>
    <w:p w14:paraId="09897855">
      <w:pPr>
        <w:pStyle w:val="13"/>
        <w:numPr>
          <w:ilvl w:val="0"/>
          <w:numId w:val="0"/>
        </w:numPr>
        <w:tabs>
          <w:tab w:val="clear" w:pos="2040"/>
        </w:tabs>
        <w:rPr>
          <w:rFonts w:ascii="Times New Roman" w:hAnsi="Times New Roman" w:eastAsia="宋体"/>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6"/>
        <w:tblW w:w="14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
        <w:gridCol w:w="14245"/>
      </w:tblGrid>
      <w:tr w14:paraId="4B493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2" w:hRule="atLeast"/>
        </w:trPr>
        <w:tc>
          <w:tcPr>
            <w:tcW w:w="255" w:type="dxa"/>
          </w:tcPr>
          <w:p w14:paraId="69AE9891">
            <w:pPr>
              <w:pStyle w:val="13"/>
              <w:keepNext w:val="0"/>
              <w:keepLines w:val="0"/>
              <w:numPr>
                <w:ilvl w:val="0"/>
                <w:numId w:val="0"/>
              </w:numPr>
              <w:suppressLineNumbers w:val="0"/>
              <w:tabs>
                <w:tab w:val="clear" w:pos="2040"/>
              </w:tabs>
              <w:spacing w:before="0" w:beforeAutospacing="0" w:after="0" w:afterAutospacing="0"/>
              <w:ind w:left="0" w:right="0"/>
              <w:rPr>
                <w:rFonts w:hint="default" w:ascii="Times New Roman" w:hAnsi="Times New Roman" w:eastAsia="宋体"/>
                <w:color w:val="auto"/>
                <w:vertAlign w:val="baseline"/>
              </w:rPr>
            </w:pPr>
          </w:p>
        </w:tc>
        <w:tc>
          <w:tcPr>
            <w:tcW w:w="14245" w:type="dxa"/>
          </w:tcPr>
          <w:p w14:paraId="346DA4ED">
            <w:pPr>
              <w:keepNext w:val="0"/>
              <w:keepLines w:val="0"/>
              <w:suppressLineNumbers w:val="0"/>
              <w:spacing w:before="0" w:beforeAutospacing="0" w:after="0" w:afterAutospacing="0" w:line="240" w:lineRule="auto"/>
              <w:ind w:left="0" w:right="0"/>
              <w:jc w:val="center"/>
              <w:rPr>
                <w:rFonts w:hint="default"/>
                <w:b/>
                <w:bCs/>
                <w:color w:val="auto"/>
                <w:highlight w:val="none"/>
              </w:rPr>
            </w:pPr>
            <w:r>
              <w:rPr>
                <w:rFonts w:hint="default"/>
                <w:b/>
                <w:bCs/>
                <w:color w:val="auto"/>
                <w:highlight w:val="none"/>
              </w:rPr>
              <w:t>表4-</w:t>
            </w:r>
            <w:r>
              <w:rPr>
                <w:rFonts w:hint="eastAsia"/>
                <w:b/>
                <w:bCs/>
                <w:color w:val="auto"/>
                <w:highlight w:val="none"/>
                <w:lang w:val="en-US" w:eastAsia="zh-CN"/>
              </w:rPr>
              <w:t>12</w:t>
            </w:r>
            <w:r>
              <w:rPr>
                <w:rFonts w:hint="default"/>
                <w:b/>
                <w:bCs/>
                <w:color w:val="auto"/>
                <w:highlight w:val="none"/>
              </w:rPr>
              <w:t xml:space="preserve">  全厂固体废物贮存、利用处置方式一览表</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516"/>
              <w:gridCol w:w="1790"/>
              <w:gridCol w:w="2837"/>
              <w:gridCol w:w="598"/>
              <w:gridCol w:w="1313"/>
              <w:gridCol w:w="1341"/>
              <w:gridCol w:w="1013"/>
              <w:gridCol w:w="1370"/>
              <w:gridCol w:w="957"/>
              <w:gridCol w:w="1129"/>
              <w:gridCol w:w="1157"/>
            </w:tblGrid>
            <w:tr w14:paraId="103F208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4" w:type="pct"/>
                  <w:noWrap w:val="0"/>
                  <w:tcMar>
                    <w:top w:w="0" w:type="dxa"/>
                    <w:left w:w="0" w:type="dxa"/>
                    <w:bottom w:w="0" w:type="dxa"/>
                    <w:right w:w="0" w:type="dxa"/>
                  </w:tcMar>
                  <w:vAlign w:val="center"/>
                </w:tcPr>
                <w:p w14:paraId="3BB96B1E">
                  <w:pPr>
                    <w:pStyle w:val="59"/>
                    <w:keepNext w:val="0"/>
                    <w:keepLines w:val="0"/>
                    <w:suppressLineNumbers w:val="0"/>
                    <w:spacing w:before="0" w:beforeAutospacing="0" w:after="0" w:afterAutospacing="0" w:line="240" w:lineRule="auto"/>
                    <w:ind w:left="0" w:right="0"/>
                    <w:rPr>
                      <w:rFonts w:hint="default"/>
                      <w:b/>
                      <w:bCs/>
                      <w:color w:val="auto"/>
                      <w:sz w:val="21"/>
                      <w:szCs w:val="21"/>
                      <w:highlight w:val="none"/>
                    </w:rPr>
                  </w:pPr>
                  <w:r>
                    <w:rPr>
                      <w:rFonts w:hint="default"/>
                      <w:b/>
                      <w:color w:val="auto"/>
                      <w:sz w:val="21"/>
                      <w:szCs w:val="21"/>
                      <w:highlight w:val="none"/>
                    </w:rPr>
                    <w:t>序号</w:t>
                  </w:r>
                </w:p>
              </w:tc>
              <w:tc>
                <w:tcPr>
                  <w:tcW w:w="638" w:type="pct"/>
                  <w:noWrap w:val="0"/>
                  <w:tcMar>
                    <w:top w:w="0" w:type="dxa"/>
                    <w:left w:w="0" w:type="dxa"/>
                    <w:bottom w:w="0" w:type="dxa"/>
                    <w:right w:w="0" w:type="dxa"/>
                  </w:tcMar>
                  <w:vAlign w:val="center"/>
                </w:tcPr>
                <w:p w14:paraId="2FF3BE2D">
                  <w:pPr>
                    <w:pStyle w:val="59"/>
                    <w:keepNext w:val="0"/>
                    <w:keepLines w:val="0"/>
                    <w:suppressLineNumbers w:val="0"/>
                    <w:spacing w:before="0" w:beforeAutospacing="0" w:after="0" w:afterAutospacing="0" w:line="240" w:lineRule="auto"/>
                    <w:ind w:left="0" w:right="0"/>
                    <w:rPr>
                      <w:rFonts w:hint="default"/>
                      <w:b/>
                      <w:bCs/>
                      <w:color w:val="auto"/>
                      <w:sz w:val="21"/>
                      <w:szCs w:val="21"/>
                      <w:highlight w:val="none"/>
                    </w:rPr>
                  </w:pPr>
                  <w:r>
                    <w:rPr>
                      <w:rFonts w:hint="default"/>
                      <w:b/>
                      <w:color w:val="auto"/>
                      <w:sz w:val="21"/>
                      <w:szCs w:val="21"/>
                      <w:highlight w:val="none"/>
                    </w:rPr>
                    <w:t>固体废物名称</w:t>
                  </w:r>
                </w:p>
              </w:tc>
              <w:tc>
                <w:tcPr>
                  <w:tcW w:w="1011" w:type="pct"/>
                  <w:noWrap w:val="0"/>
                  <w:tcMar>
                    <w:top w:w="0" w:type="dxa"/>
                    <w:left w:w="0" w:type="dxa"/>
                    <w:bottom w:w="0" w:type="dxa"/>
                    <w:right w:w="0" w:type="dxa"/>
                  </w:tcMar>
                  <w:vAlign w:val="center"/>
                </w:tcPr>
                <w:p w14:paraId="1F1F9434">
                  <w:pPr>
                    <w:pStyle w:val="59"/>
                    <w:keepNext w:val="0"/>
                    <w:keepLines w:val="0"/>
                    <w:suppressLineNumbers w:val="0"/>
                    <w:spacing w:before="0" w:beforeAutospacing="0" w:after="0" w:afterAutospacing="0" w:line="240" w:lineRule="auto"/>
                    <w:ind w:left="0" w:right="0"/>
                    <w:rPr>
                      <w:rFonts w:hint="default"/>
                      <w:b/>
                      <w:bCs/>
                      <w:color w:val="auto"/>
                      <w:sz w:val="21"/>
                      <w:szCs w:val="21"/>
                      <w:highlight w:val="none"/>
                    </w:rPr>
                  </w:pPr>
                  <w:r>
                    <w:rPr>
                      <w:rFonts w:hint="default"/>
                      <w:b/>
                      <w:color w:val="auto"/>
                      <w:sz w:val="21"/>
                      <w:szCs w:val="21"/>
                      <w:highlight w:val="none"/>
                    </w:rPr>
                    <w:t>产生工序</w:t>
                  </w:r>
                </w:p>
              </w:tc>
              <w:tc>
                <w:tcPr>
                  <w:tcW w:w="213" w:type="pct"/>
                  <w:noWrap w:val="0"/>
                  <w:tcMar>
                    <w:top w:w="0" w:type="dxa"/>
                    <w:left w:w="0" w:type="dxa"/>
                    <w:bottom w:w="0" w:type="dxa"/>
                    <w:right w:w="0" w:type="dxa"/>
                  </w:tcMar>
                  <w:vAlign w:val="center"/>
                </w:tcPr>
                <w:p w14:paraId="105FD560">
                  <w:pPr>
                    <w:pStyle w:val="59"/>
                    <w:keepNext w:val="0"/>
                    <w:keepLines w:val="0"/>
                    <w:suppressLineNumbers w:val="0"/>
                    <w:spacing w:before="0" w:beforeAutospacing="0" w:after="0" w:afterAutospacing="0" w:line="240" w:lineRule="auto"/>
                    <w:ind w:left="0" w:right="0"/>
                    <w:rPr>
                      <w:rFonts w:hint="default"/>
                      <w:b/>
                      <w:bCs/>
                      <w:color w:val="auto"/>
                      <w:sz w:val="21"/>
                      <w:szCs w:val="21"/>
                      <w:highlight w:val="none"/>
                    </w:rPr>
                  </w:pPr>
                  <w:r>
                    <w:rPr>
                      <w:rFonts w:hint="default"/>
                      <w:b/>
                      <w:color w:val="auto"/>
                      <w:sz w:val="21"/>
                      <w:szCs w:val="21"/>
                      <w:highlight w:val="none"/>
                    </w:rPr>
                    <w:t>属性</w:t>
                  </w:r>
                </w:p>
              </w:tc>
              <w:tc>
                <w:tcPr>
                  <w:tcW w:w="468" w:type="pct"/>
                  <w:tcBorders>
                    <w:right w:val="single" w:color="auto" w:sz="4" w:space="0"/>
                  </w:tcBorders>
                  <w:noWrap w:val="0"/>
                  <w:tcMar>
                    <w:top w:w="0" w:type="dxa"/>
                    <w:left w:w="0" w:type="dxa"/>
                    <w:bottom w:w="0" w:type="dxa"/>
                    <w:right w:w="0" w:type="dxa"/>
                  </w:tcMar>
                  <w:vAlign w:val="center"/>
                </w:tcPr>
                <w:p w14:paraId="6DB2B1FF">
                  <w:pPr>
                    <w:keepNext w:val="0"/>
                    <w:keepLines w:val="0"/>
                    <w:widowControl/>
                    <w:suppressLineNumbers w:val="0"/>
                    <w:spacing w:before="0" w:beforeAutospacing="0" w:after="0" w:afterAutospacing="0" w:line="240" w:lineRule="auto"/>
                    <w:ind w:left="0" w:right="0"/>
                    <w:jc w:val="center"/>
                    <w:textAlignment w:val="center"/>
                    <w:rPr>
                      <w:rFonts w:hint="default"/>
                      <w:b/>
                      <w:color w:val="auto"/>
                      <w:sz w:val="21"/>
                      <w:szCs w:val="21"/>
                      <w:highlight w:val="none"/>
                    </w:rPr>
                  </w:pPr>
                  <w:r>
                    <w:rPr>
                      <w:rFonts w:hint="default"/>
                      <w:b/>
                      <w:color w:val="auto"/>
                      <w:kern w:val="0"/>
                      <w:sz w:val="21"/>
                      <w:szCs w:val="21"/>
                      <w:highlight w:val="none"/>
                      <w:lang w:bidi="ar"/>
                    </w:rPr>
                    <w:t>废物类别</w:t>
                  </w:r>
                </w:p>
              </w:tc>
              <w:tc>
                <w:tcPr>
                  <w:tcW w:w="478" w:type="pct"/>
                  <w:tcBorders>
                    <w:left w:val="single" w:color="auto" w:sz="4" w:space="0"/>
                  </w:tcBorders>
                  <w:noWrap w:val="0"/>
                  <w:tcMar>
                    <w:top w:w="0" w:type="dxa"/>
                    <w:left w:w="0" w:type="dxa"/>
                    <w:bottom w:w="0" w:type="dxa"/>
                    <w:right w:w="0" w:type="dxa"/>
                  </w:tcMar>
                  <w:vAlign w:val="center"/>
                </w:tcPr>
                <w:p w14:paraId="16CA55F9">
                  <w:pPr>
                    <w:keepNext w:val="0"/>
                    <w:keepLines w:val="0"/>
                    <w:widowControl/>
                    <w:suppressLineNumbers w:val="0"/>
                    <w:spacing w:before="0" w:beforeAutospacing="0" w:after="0" w:afterAutospacing="0" w:line="240" w:lineRule="auto"/>
                    <w:ind w:left="0" w:right="0"/>
                    <w:jc w:val="center"/>
                    <w:textAlignment w:val="center"/>
                    <w:rPr>
                      <w:rFonts w:hint="default"/>
                      <w:b/>
                      <w:color w:val="auto"/>
                      <w:sz w:val="21"/>
                      <w:szCs w:val="21"/>
                      <w:highlight w:val="none"/>
                    </w:rPr>
                  </w:pPr>
                  <w:r>
                    <w:rPr>
                      <w:rFonts w:hint="default"/>
                      <w:b/>
                      <w:color w:val="auto"/>
                      <w:kern w:val="0"/>
                      <w:sz w:val="21"/>
                      <w:szCs w:val="21"/>
                      <w:highlight w:val="none"/>
                      <w:lang w:bidi="ar"/>
                    </w:rPr>
                    <w:t>废物代码</w:t>
                  </w:r>
                </w:p>
              </w:tc>
              <w:tc>
                <w:tcPr>
                  <w:tcW w:w="361" w:type="pct"/>
                  <w:noWrap w:val="0"/>
                  <w:tcMar>
                    <w:top w:w="0" w:type="dxa"/>
                    <w:left w:w="0" w:type="dxa"/>
                    <w:bottom w:w="0" w:type="dxa"/>
                    <w:right w:w="0" w:type="dxa"/>
                  </w:tcMar>
                  <w:vAlign w:val="center"/>
                </w:tcPr>
                <w:p w14:paraId="376C70E8">
                  <w:pPr>
                    <w:pStyle w:val="59"/>
                    <w:keepNext w:val="0"/>
                    <w:keepLines w:val="0"/>
                    <w:suppressLineNumbers w:val="0"/>
                    <w:spacing w:before="0" w:beforeAutospacing="0" w:after="0" w:afterAutospacing="0" w:line="240" w:lineRule="auto"/>
                    <w:ind w:left="0" w:right="0"/>
                    <w:rPr>
                      <w:rFonts w:hint="default"/>
                      <w:b/>
                      <w:bCs/>
                      <w:color w:val="auto"/>
                      <w:sz w:val="21"/>
                      <w:szCs w:val="21"/>
                      <w:highlight w:val="none"/>
                    </w:rPr>
                  </w:pPr>
                  <w:r>
                    <w:rPr>
                      <w:rFonts w:hint="default"/>
                      <w:b/>
                      <w:color w:val="auto"/>
                      <w:sz w:val="21"/>
                      <w:szCs w:val="21"/>
                      <w:highlight w:val="none"/>
                    </w:rPr>
                    <w:t>产生量（t/a）</w:t>
                  </w:r>
                </w:p>
              </w:tc>
              <w:tc>
                <w:tcPr>
                  <w:tcW w:w="488" w:type="pct"/>
                  <w:noWrap w:val="0"/>
                  <w:tcMar>
                    <w:top w:w="0" w:type="dxa"/>
                    <w:left w:w="0" w:type="dxa"/>
                    <w:bottom w:w="0" w:type="dxa"/>
                    <w:right w:w="0" w:type="dxa"/>
                  </w:tcMar>
                  <w:vAlign w:val="center"/>
                </w:tcPr>
                <w:p w14:paraId="7E8DF0F0">
                  <w:pPr>
                    <w:keepNext w:val="0"/>
                    <w:keepLines w:val="0"/>
                    <w:suppressLineNumbers w:val="0"/>
                    <w:spacing w:before="0" w:beforeAutospacing="0" w:after="0" w:afterAutospacing="0" w:line="240" w:lineRule="auto"/>
                    <w:ind w:left="0" w:right="0"/>
                    <w:jc w:val="center"/>
                    <w:rPr>
                      <w:rFonts w:hint="default"/>
                      <w:b/>
                      <w:color w:val="auto"/>
                      <w:sz w:val="21"/>
                      <w:szCs w:val="21"/>
                      <w:highlight w:val="none"/>
                    </w:rPr>
                  </w:pPr>
                  <w:r>
                    <w:rPr>
                      <w:rFonts w:hint="default"/>
                      <w:b/>
                      <w:color w:val="auto"/>
                      <w:sz w:val="21"/>
                      <w:szCs w:val="21"/>
                      <w:highlight w:val="none"/>
                    </w:rPr>
                    <w:t>贮存方式</w:t>
                  </w:r>
                </w:p>
              </w:tc>
              <w:tc>
                <w:tcPr>
                  <w:tcW w:w="341" w:type="pct"/>
                  <w:noWrap w:val="0"/>
                  <w:tcMar>
                    <w:top w:w="0" w:type="dxa"/>
                    <w:left w:w="0" w:type="dxa"/>
                    <w:bottom w:w="0" w:type="dxa"/>
                    <w:right w:w="0" w:type="dxa"/>
                  </w:tcMar>
                  <w:vAlign w:val="center"/>
                </w:tcPr>
                <w:p w14:paraId="38307998">
                  <w:pPr>
                    <w:keepNext w:val="0"/>
                    <w:keepLines w:val="0"/>
                    <w:suppressLineNumbers w:val="0"/>
                    <w:spacing w:before="0" w:beforeAutospacing="0" w:after="0" w:afterAutospacing="0" w:line="240" w:lineRule="auto"/>
                    <w:ind w:left="0" w:right="0"/>
                    <w:jc w:val="center"/>
                    <w:rPr>
                      <w:rFonts w:hint="default"/>
                      <w:b/>
                      <w:color w:val="auto"/>
                      <w:sz w:val="21"/>
                      <w:szCs w:val="21"/>
                      <w:highlight w:val="none"/>
                    </w:rPr>
                  </w:pPr>
                  <w:r>
                    <w:rPr>
                      <w:rFonts w:hint="default"/>
                      <w:b/>
                      <w:color w:val="auto"/>
                      <w:sz w:val="21"/>
                      <w:szCs w:val="21"/>
                      <w:highlight w:val="none"/>
                    </w:rPr>
                    <w:t>贮存地点</w:t>
                  </w:r>
                </w:p>
              </w:tc>
              <w:tc>
                <w:tcPr>
                  <w:tcW w:w="402" w:type="pct"/>
                  <w:noWrap w:val="0"/>
                  <w:tcMar>
                    <w:top w:w="0" w:type="dxa"/>
                    <w:left w:w="0" w:type="dxa"/>
                    <w:bottom w:w="0" w:type="dxa"/>
                    <w:right w:w="0" w:type="dxa"/>
                  </w:tcMar>
                  <w:vAlign w:val="center"/>
                </w:tcPr>
                <w:p w14:paraId="18CD3A69">
                  <w:pPr>
                    <w:pStyle w:val="59"/>
                    <w:keepNext w:val="0"/>
                    <w:keepLines w:val="0"/>
                    <w:suppressLineNumbers w:val="0"/>
                    <w:spacing w:before="0" w:beforeAutospacing="0" w:after="0" w:afterAutospacing="0" w:line="240" w:lineRule="auto"/>
                    <w:ind w:left="0" w:right="0"/>
                    <w:rPr>
                      <w:rFonts w:hint="default"/>
                      <w:b/>
                      <w:bCs/>
                      <w:color w:val="auto"/>
                      <w:sz w:val="21"/>
                      <w:szCs w:val="21"/>
                      <w:highlight w:val="none"/>
                    </w:rPr>
                  </w:pPr>
                  <w:r>
                    <w:rPr>
                      <w:rFonts w:hint="default"/>
                      <w:b/>
                      <w:color w:val="auto"/>
                      <w:sz w:val="21"/>
                      <w:szCs w:val="21"/>
                      <w:highlight w:val="none"/>
                    </w:rPr>
                    <w:t>利用处置方式</w:t>
                  </w:r>
                </w:p>
              </w:tc>
              <w:tc>
                <w:tcPr>
                  <w:tcW w:w="412" w:type="pct"/>
                  <w:noWrap w:val="0"/>
                  <w:tcMar>
                    <w:top w:w="0" w:type="dxa"/>
                    <w:left w:w="0" w:type="dxa"/>
                    <w:bottom w:w="0" w:type="dxa"/>
                    <w:right w:w="0" w:type="dxa"/>
                  </w:tcMar>
                  <w:vAlign w:val="center"/>
                </w:tcPr>
                <w:p w14:paraId="2CEB8792">
                  <w:pPr>
                    <w:keepNext w:val="0"/>
                    <w:keepLines w:val="0"/>
                    <w:suppressLineNumbers w:val="0"/>
                    <w:spacing w:before="0" w:beforeAutospacing="0" w:after="0" w:afterAutospacing="0" w:line="240" w:lineRule="auto"/>
                    <w:ind w:left="0" w:right="0"/>
                    <w:jc w:val="center"/>
                    <w:rPr>
                      <w:rFonts w:hint="default"/>
                      <w:b/>
                      <w:bCs/>
                      <w:color w:val="auto"/>
                      <w:sz w:val="21"/>
                      <w:szCs w:val="21"/>
                      <w:highlight w:val="none"/>
                    </w:rPr>
                  </w:pPr>
                  <w:r>
                    <w:rPr>
                      <w:rFonts w:hint="default"/>
                      <w:b/>
                      <w:bCs/>
                      <w:color w:val="auto"/>
                      <w:sz w:val="21"/>
                      <w:szCs w:val="21"/>
                      <w:highlight w:val="none"/>
                    </w:rPr>
                    <w:t>利用处置单位</w:t>
                  </w:r>
                </w:p>
              </w:tc>
            </w:tr>
            <w:tr w14:paraId="7C9EE1A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4" w:type="pct"/>
                  <w:noWrap w:val="0"/>
                  <w:tcMar>
                    <w:top w:w="0" w:type="dxa"/>
                    <w:left w:w="0" w:type="dxa"/>
                    <w:bottom w:w="0" w:type="dxa"/>
                    <w:right w:w="0" w:type="dxa"/>
                  </w:tcMar>
                  <w:vAlign w:val="center"/>
                </w:tcPr>
                <w:p w14:paraId="7F296BF5">
                  <w:pPr>
                    <w:keepNext w:val="0"/>
                    <w:keepLines w:val="0"/>
                    <w:suppressLineNumbers w:val="0"/>
                    <w:spacing w:before="0" w:beforeAutospacing="0" w:after="0" w:afterAutospacing="0" w:line="240" w:lineRule="auto"/>
                    <w:ind w:left="0" w:right="0"/>
                    <w:jc w:val="center"/>
                    <w:rPr>
                      <w:rFonts w:hint="default"/>
                      <w:color w:val="auto"/>
                      <w:kern w:val="0"/>
                      <w:sz w:val="21"/>
                      <w:szCs w:val="21"/>
                      <w:highlight w:val="none"/>
                      <w:lang w:val="en-US" w:eastAsia="zh-CN" w:bidi="ar-SA"/>
                    </w:rPr>
                  </w:pPr>
                  <w:r>
                    <w:rPr>
                      <w:rFonts w:hint="default"/>
                      <w:color w:val="auto"/>
                      <w:kern w:val="0"/>
                      <w:sz w:val="21"/>
                      <w:szCs w:val="21"/>
                      <w:highlight w:val="none"/>
                    </w:rPr>
                    <w:t>1</w:t>
                  </w:r>
                </w:p>
              </w:tc>
              <w:tc>
                <w:tcPr>
                  <w:tcW w:w="638" w:type="pct"/>
                  <w:noWrap w:val="0"/>
                  <w:tcMar>
                    <w:top w:w="0" w:type="dxa"/>
                    <w:left w:w="0" w:type="dxa"/>
                    <w:bottom w:w="0" w:type="dxa"/>
                    <w:right w:w="0" w:type="dxa"/>
                  </w:tcMar>
                  <w:vAlign w:val="center"/>
                </w:tcPr>
                <w:p w14:paraId="39B3E2E2">
                  <w:pPr>
                    <w:keepNext w:val="0"/>
                    <w:keepLines w:val="0"/>
                    <w:widowControl/>
                    <w:suppressLineNumbers w:val="0"/>
                    <w:spacing w:before="0" w:beforeAutospacing="0" w:after="0" w:afterAutospacing="0"/>
                    <w:ind w:left="0" w:leftChars="0" w:right="0" w:rightChars="0"/>
                    <w:jc w:val="center"/>
                    <w:textAlignment w:val="center"/>
                    <w:rPr>
                      <w:rFonts w:hint="default" w:eastAsia="宋体"/>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rPr>
                    <w:t>实验废液</w:t>
                  </w:r>
                </w:p>
              </w:tc>
              <w:tc>
                <w:tcPr>
                  <w:tcW w:w="1011" w:type="pct"/>
                  <w:tcBorders>
                    <w:top w:val="single" w:color="auto" w:sz="4" w:space="0"/>
                  </w:tcBorders>
                  <w:noWrap w:val="0"/>
                  <w:tcMar>
                    <w:top w:w="0" w:type="dxa"/>
                    <w:left w:w="0" w:type="dxa"/>
                    <w:bottom w:w="0" w:type="dxa"/>
                    <w:right w:w="0" w:type="dxa"/>
                  </w:tcMar>
                  <w:vAlign w:val="center"/>
                </w:tcPr>
                <w:p w14:paraId="55236D40">
                  <w:pPr>
                    <w:keepNext w:val="0"/>
                    <w:keepLines w:val="0"/>
                    <w:widowControl/>
                    <w:suppressLineNumbers w:val="0"/>
                    <w:spacing w:before="0" w:beforeAutospacing="0" w:after="0" w:afterAutospacing="0"/>
                    <w:ind w:left="0" w:leftChars="0" w:right="0" w:rightChars="0"/>
                    <w:jc w:val="center"/>
                    <w:textAlignment w:val="center"/>
                    <w:rPr>
                      <w:rFonts w:hint="default" w:eastAsia="宋体"/>
                      <w:snapToGrid w:val="0"/>
                      <w:color w:val="auto"/>
                      <w:kern w:val="0"/>
                      <w:sz w:val="21"/>
                      <w:szCs w:val="21"/>
                      <w:highlight w:val="none"/>
                      <w:lang w:val="en-US" w:eastAsia="zh-CN" w:bidi="ar-SA"/>
                    </w:rPr>
                  </w:pPr>
                  <w:r>
                    <w:rPr>
                      <w:rFonts w:hint="eastAsia" w:cs="Times New Roman"/>
                      <w:color w:val="auto"/>
                      <w:szCs w:val="21"/>
                      <w:highlight w:val="none"/>
                      <w:lang w:val="en-US" w:eastAsia="zh-CN"/>
                    </w:rPr>
                    <w:t>实验过程</w:t>
                  </w:r>
                </w:p>
              </w:tc>
              <w:tc>
                <w:tcPr>
                  <w:tcW w:w="213" w:type="pct"/>
                  <w:vMerge w:val="restart"/>
                  <w:tcBorders>
                    <w:top w:val="single" w:color="auto" w:sz="4" w:space="0"/>
                  </w:tcBorders>
                  <w:noWrap w:val="0"/>
                  <w:tcMar>
                    <w:top w:w="0" w:type="dxa"/>
                    <w:left w:w="0" w:type="dxa"/>
                    <w:bottom w:w="0" w:type="dxa"/>
                    <w:right w:w="0" w:type="dxa"/>
                  </w:tcMar>
                  <w:vAlign w:val="center"/>
                </w:tcPr>
                <w:p w14:paraId="252AA111">
                  <w:pPr>
                    <w:pStyle w:val="59"/>
                    <w:keepNext w:val="0"/>
                    <w:keepLines w:val="0"/>
                    <w:suppressLineNumbers w:val="0"/>
                    <w:spacing w:before="0" w:beforeAutospacing="0" w:after="0" w:afterAutospacing="0" w:line="240" w:lineRule="auto"/>
                    <w:ind w:left="0" w:right="0"/>
                    <w:rPr>
                      <w:rFonts w:hint="default"/>
                      <w:color w:val="auto"/>
                      <w:kern w:val="0"/>
                      <w:sz w:val="21"/>
                      <w:szCs w:val="21"/>
                      <w:highlight w:val="none"/>
                    </w:rPr>
                  </w:pPr>
                  <w:r>
                    <w:rPr>
                      <w:rFonts w:hint="default"/>
                      <w:snapToGrid w:val="0"/>
                      <w:color w:val="auto"/>
                      <w:sz w:val="21"/>
                      <w:szCs w:val="21"/>
                      <w:highlight w:val="none"/>
                    </w:rPr>
                    <w:t>危险固废</w:t>
                  </w:r>
                </w:p>
              </w:tc>
              <w:tc>
                <w:tcPr>
                  <w:tcW w:w="468" w:type="pct"/>
                  <w:noWrap w:val="0"/>
                  <w:tcMar>
                    <w:top w:w="0" w:type="dxa"/>
                    <w:left w:w="0" w:type="dxa"/>
                    <w:bottom w:w="0" w:type="dxa"/>
                    <w:right w:w="0" w:type="dxa"/>
                  </w:tcMar>
                  <w:vAlign w:val="center"/>
                </w:tcPr>
                <w:p w14:paraId="6C58D65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rPr>
                    <w:t xml:space="preserve">HW49 </w:t>
                  </w:r>
                </w:p>
              </w:tc>
              <w:tc>
                <w:tcPr>
                  <w:tcW w:w="478" w:type="pct"/>
                  <w:noWrap w:val="0"/>
                  <w:tcMar>
                    <w:top w:w="0" w:type="dxa"/>
                    <w:left w:w="0" w:type="dxa"/>
                    <w:bottom w:w="0" w:type="dxa"/>
                    <w:right w:w="0" w:type="dxa"/>
                  </w:tcMar>
                  <w:vAlign w:val="center"/>
                </w:tcPr>
                <w:p w14:paraId="64081D1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rPr>
                    <w:t>900-047-49</w:t>
                  </w:r>
                </w:p>
              </w:tc>
              <w:tc>
                <w:tcPr>
                  <w:tcW w:w="361" w:type="pct"/>
                  <w:noWrap w:val="0"/>
                  <w:tcMar>
                    <w:top w:w="0" w:type="dxa"/>
                    <w:left w:w="0" w:type="dxa"/>
                    <w:bottom w:w="0" w:type="dxa"/>
                    <w:right w:w="0" w:type="dxa"/>
                  </w:tcMar>
                  <w:vAlign w:val="center"/>
                </w:tcPr>
                <w:p w14:paraId="0E32D6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eastAsia="宋体"/>
                      <w:color w:val="auto"/>
                      <w:kern w:val="2"/>
                      <w:sz w:val="21"/>
                      <w:szCs w:val="21"/>
                      <w:highlight w:val="none"/>
                      <w:lang w:val="en-US" w:eastAsia="zh-CN" w:bidi="ar-SA"/>
                    </w:rPr>
                  </w:pPr>
                </w:p>
              </w:tc>
              <w:tc>
                <w:tcPr>
                  <w:tcW w:w="488" w:type="pct"/>
                  <w:tcBorders>
                    <w:top w:val="single" w:color="auto" w:sz="4" w:space="0"/>
                    <w:right w:val="single" w:color="auto" w:sz="4" w:space="0"/>
                  </w:tcBorders>
                  <w:noWrap w:val="0"/>
                  <w:tcMar>
                    <w:top w:w="0" w:type="dxa"/>
                    <w:left w:w="0" w:type="dxa"/>
                    <w:bottom w:w="0" w:type="dxa"/>
                    <w:right w:w="0" w:type="dxa"/>
                  </w:tcMar>
                  <w:vAlign w:val="center"/>
                </w:tcPr>
                <w:p w14:paraId="1A8B1ACC">
                  <w:pPr>
                    <w:pStyle w:val="59"/>
                    <w:keepNext w:val="0"/>
                    <w:keepLines w:val="0"/>
                    <w:suppressLineNumbers w:val="0"/>
                    <w:spacing w:before="0" w:beforeAutospacing="0" w:after="0" w:afterAutospacing="0" w:line="240" w:lineRule="auto"/>
                    <w:ind w:left="0" w:right="0"/>
                    <w:jc w:val="center"/>
                    <w:rPr>
                      <w:rFonts w:hint="eastAsia" w:eastAsia="宋体"/>
                      <w:color w:val="auto"/>
                      <w:sz w:val="21"/>
                      <w:szCs w:val="21"/>
                      <w:highlight w:val="none"/>
                      <w:lang w:eastAsia="zh-CN"/>
                    </w:rPr>
                  </w:pPr>
                  <w:r>
                    <w:rPr>
                      <w:rFonts w:hint="eastAsia"/>
                      <w:color w:val="auto"/>
                      <w:sz w:val="21"/>
                      <w:szCs w:val="21"/>
                      <w:highlight w:val="none"/>
                      <w:lang w:eastAsia="zh-CN"/>
                    </w:rPr>
                    <w:t>桶装</w:t>
                  </w:r>
                </w:p>
              </w:tc>
              <w:tc>
                <w:tcPr>
                  <w:tcW w:w="341" w:type="pct"/>
                  <w:vMerge w:val="restart"/>
                  <w:tcBorders>
                    <w:top w:val="single" w:color="auto" w:sz="4" w:space="0"/>
                  </w:tcBorders>
                  <w:noWrap w:val="0"/>
                  <w:tcMar>
                    <w:top w:w="0" w:type="dxa"/>
                    <w:left w:w="0" w:type="dxa"/>
                    <w:bottom w:w="0" w:type="dxa"/>
                    <w:right w:w="0" w:type="dxa"/>
                  </w:tcMar>
                  <w:vAlign w:val="center"/>
                </w:tcPr>
                <w:p w14:paraId="1D550AF5">
                  <w:pPr>
                    <w:pStyle w:val="59"/>
                    <w:keepNext w:val="0"/>
                    <w:keepLines w:val="0"/>
                    <w:suppressLineNumbers w:val="0"/>
                    <w:spacing w:before="0" w:beforeAutospacing="0" w:after="0" w:afterAutospacing="0" w:line="240" w:lineRule="auto"/>
                    <w:ind w:left="0" w:right="0"/>
                    <w:rPr>
                      <w:rFonts w:hint="eastAsia" w:eastAsia="宋体"/>
                      <w:color w:val="auto"/>
                      <w:sz w:val="21"/>
                      <w:szCs w:val="21"/>
                      <w:highlight w:val="none"/>
                      <w:lang w:eastAsia="zh-CN"/>
                    </w:rPr>
                  </w:pPr>
                  <w:r>
                    <w:rPr>
                      <w:rFonts w:hint="eastAsia"/>
                      <w:color w:val="auto"/>
                      <w:sz w:val="21"/>
                      <w:szCs w:val="21"/>
                      <w:highlight w:val="none"/>
                      <w:lang w:eastAsia="zh-CN"/>
                    </w:rPr>
                    <w:t>危废间</w:t>
                  </w:r>
                </w:p>
                <w:p w14:paraId="232828A8">
                  <w:pPr>
                    <w:pStyle w:val="59"/>
                    <w:keepNext w:val="0"/>
                    <w:keepLines w:val="0"/>
                    <w:suppressLineNumbers w:val="0"/>
                    <w:spacing w:before="0" w:beforeAutospacing="0" w:after="0" w:afterAutospacing="0" w:line="240" w:lineRule="auto"/>
                    <w:ind w:left="0" w:right="0"/>
                    <w:rPr>
                      <w:rFonts w:hint="default"/>
                      <w:color w:val="auto"/>
                      <w:kern w:val="2"/>
                      <w:sz w:val="21"/>
                      <w:szCs w:val="21"/>
                      <w:highlight w:val="none"/>
                      <w:lang w:val="en-US" w:eastAsia="zh-CN" w:bidi="ar-SA"/>
                    </w:rPr>
                  </w:pPr>
                  <w:r>
                    <w:rPr>
                      <w:rFonts w:hint="eastAsia"/>
                      <w:color w:val="auto"/>
                      <w:kern w:val="2"/>
                      <w:sz w:val="21"/>
                      <w:szCs w:val="21"/>
                      <w:highlight w:val="none"/>
                      <w:lang w:val="en-US" w:eastAsia="zh-CN" w:bidi="ar-SA"/>
                    </w:rPr>
                    <w:t>65m</w:t>
                  </w:r>
                  <w:r>
                    <w:rPr>
                      <w:rFonts w:hint="eastAsia"/>
                      <w:color w:val="auto"/>
                      <w:kern w:val="2"/>
                      <w:sz w:val="21"/>
                      <w:szCs w:val="21"/>
                      <w:highlight w:val="none"/>
                      <w:vertAlign w:val="superscript"/>
                      <w:lang w:val="en-US" w:eastAsia="zh-CN" w:bidi="ar-SA"/>
                    </w:rPr>
                    <w:t>2</w:t>
                  </w:r>
                </w:p>
              </w:tc>
              <w:tc>
                <w:tcPr>
                  <w:tcW w:w="402" w:type="pct"/>
                  <w:vMerge w:val="restart"/>
                  <w:tcBorders>
                    <w:top w:val="single" w:color="auto" w:sz="4" w:space="0"/>
                  </w:tcBorders>
                  <w:noWrap w:val="0"/>
                  <w:tcMar>
                    <w:top w:w="0" w:type="dxa"/>
                    <w:left w:w="0" w:type="dxa"/>
                    <w:bottom w:w="0" w:type="dxa"/>
                    <w:right w:w="0" w:type="dxa"/>
                  </w:tcMar>
                  <w:vAlign w:val="center"/>
                </w:tcPr>
                <w:p w14:paraId="3C9ACE81">
                  <w:pPr>
                    <w:pStyle w:val="59"/>
                    <w:keepNext w:val="0"/>
                    <w:keepLines w:val="0"/>
                    <w:suppressLineNumbers w:val="0"/>
                    <w:spacing w:before="0" w:beforeAutospacing="0" w:after="0" w:afterAutospacing="0" w:line="240" w:lineRule="auto"/>
                    <w:ind w:left="0" w:right="0"/>
                    <w:rPr>
                      <w:rFonts w:hint="default"/>
                      <w:color w:val="auto"/>
                      <w:kern w:val="2"/>
                      <w:sz w:val="21"/>
                      <w:szCs w:val="21"/>
                      <w:highlight w:val="none"/>
                      <w:lang w:val="en-US" w:eastAsia="zh-CN" w:bidi="ar-SA"/>
                    </w:rPr>
                  </w:pPr>
                  <w:r>
                    <w:rPr>
                      <w:rFonts w:hint="default"/>
                      <w:color w:val="auto"/>
                      <w:sz w:val="21"/>
                      <w:szCs w:val="21"/>
                      <w:highlight w:val="none"/>
                    </w:rPr>
                    <w:t>委托有资质单位处理</w:t>
                  </w:r>
                </w:p>
              </w:tc>
              <w:tc>
                <w:tcPr>
                  <w:tcW w:w="412" w:type="pct"/>
                  <w:vMerge w:val="restart"/>
                  <w:tcBorders>
                    <w:top w:val="single" w:color="auto" w:sz="4" w:space="0"/>
                  </w:tcBorders>
                  <w:noWrap w:val="0"/>
                  <w:tcMar>
                    <w:top w:w="0" w:type="dxa"/>
                    <w:left w:w="0" w:type="dxa"/>
                    <w:bottom w:w="0" w:type="dxa"/>
                    <w:right w:w="0" w:type="dxa"/>
                  </w:tcMar>
                  <w:vAlign w:val="center"/>
                </w:tcPr>
                <w:p w14:paraId="7208D06F">
                  <w:pPr>
                    <w:pStyle w:val="59"/>
                    <w:keepNext w:val="0"/>
                    <w:keepLines w:val="0"/>
                    <w:suppressLineNumbers w:val="0"/>
                    <w:spacing w:before="0" w:beforeAutospacing="0" w:after="0" w:afterAutospacing="0" w:line="240" w:lineRule="auto"/>
                    <w:ind w:left="0" w:right="0"/>
                    <w:rPr>
                      <w:rFonts w:hint="default"/>
                      <w:color w:val="auto"/>
                      <w:kern w:val="2"/>
                      <w:sz w:val="21"/>
                      <w:szCs w:val="21"/>
                      <w:highlight w:val="none"/>
                      <w:lang w:val="en-US" w:eastAsia="zh-CN" w:bidi="ar-SA"/>
                    </w:rPr>
                  </w:pPr>
                  <w:r>
                    <w:rPr>
                      <w:rFonts w:hint="default"/>
                      <w:color w:val="auto"/>
                      <w:sz w:val="21"/>
                      <w:szCs w:val="21"/>
                      <w:highlight w:val="none"/>
                    </w:rPr>
                    <w:t>有资质单位</w:t>
                  </w:r>
                </w:p>
              </w:tc>
            </w:tr>
            <w:tr w14:paraId="218D82E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7" w:hRule="atLeast"/>
                <w:jc w:val="center"/>
              </w:trPr>
              <w:tc>
                <w:tcPr>
                  <w:tcW w:w="184" w:type="pct"/>
                  <w:noWrap w:val="0"/>
                  <w:tcMar>
                    <w:top w:w="0" w:type="dxa"/>
                    <w:left w:w="0" w:type="dxa"/>
                    <w:bottom w:w="0" w:type="dxa"/>
                    <w:right w:w="0" w:type="dxa"/>
                  </w:tcMar>
                  <w:vAlign w:val="center"/>
                </w:tcPr>
                <w:p w14:paraId="51D14355">
                  <w:pPr>
                    <w:keepNext w:val="0"/>
                    <w:keepLines w:val="0"/>
                    <w:suppressLineNumbers w:val="0"/>
                    <w:spacing w:before="0" w:beforeAutospacing="0" w:after="0" w:afterAutospacing="0" w:line="240" w:lineRule="auto"/>
                    <w:ind w:left="0" w:right="0"/>
                    <w:jc w:val="center"/>
                    <w:rPr>
                      <w:rFonts w:hint="default"/>
                      <w:color w:val="auto"/>
                      <w:kern w:val="0"/>
                      <w:sz w:val="21"/>
                      <w:szCs w:val="21"/>
                      <w:highlight w:val="none"/>
                      <w:lang w:val="en-US" w:eastAsia="zh-CN" w:bidi="ar-SA"/>
                    </w:rPr>
                  </w:pPr>
                  <w:r>
                    <w:rPr>
                      <w:rFonts w:hint="default"/>
                      <w:color w:val="auto"/>
                      <w:kern w:val="0"/>
                      <w:sz w:val="21"/>
                      <w:szCs w:val="21"/>
                      <w:highlight w:val="none"/>
                    </w:rPr>
                    <w:t>2</w:t>
                  </w:r>
                </w:p>
              </w:tc>
              <w:tc>
                <w:tcPr>
                  <w:tcW w:w="638" w:type="pct"/>
                  <w:noWrap w:val="0"/>
                  <w:tcMar>
                    <w:top w:w="0" w:type="dxa"/>
                    <w:left w:w="0" w:type="dxa"/>
                    <w:bottom w:w="0" w:type="dxa"/>
                    <w:right w:w="0" w:type="dxa"/>
                  </w:tcMar>
                  <w:vAlign w:val="center"/>
                </w:tcPr>
                <w:p w14:paraId="269CDBD0">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eastAsia="宋体"/>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bidi="ar"/>
                    </w:rPr>
                    <w:t>废生物材料</w:t>
                  </w:r>
                </w:p>
              </w:tc>
              <w:tc>
                <w:tcPr>
                  <w:tcW w:w="1011" w:type="pct"/>
                  <w:noWrap w:val="0"/>
                  <w:tcMar>
                    <w:top w:w="0" w:type="dxa"/>
                    <w:left w:w="0" w:type="dxa"/>
                    <w:bottom w:w="0" w:type="dxa"/>
                    <w:right w:w="0" w:type="dxa"/>
                  </w:tcMar>
                  <w:vAlign w:val="center"/>
                </w:tcPr>
                <w:p w14:paraId="050C89C4">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eastAsia="宋体"/>
                      <w:color w:val="auto"/>
                      <w:kern w:val="2"/>
                      <w:sz w:val="21"/>
                      <w:szCs w:val="21"/>
                      <w:highlight w:val="none"/>
                      <w:lang w:val="en-US" w:eastAsia="zh-CN" w:bidi="ar-SA"/>
                    </w:rPr>
                  </w:pPr>
                  <w:r>
                    <w:rPr>
                      <w:rFonts w:hint="eastAsia" w:cs="Times New Roman"/>
                      <w:snapToGrid w:val="0"/>
                      <w:color w:val="auto"/>
                      <w:kern w:val="0"/>
                      <w:szCs w:val="21"/>
                      <w:highlight w:val="none"/>
                      <w:lang w:val="en-US" w:eastAsia="zh-CN"/>
                    </w:rPr>
                    <w:t>实验过程</w:t>
                  </w:r>
                </w:p>
              </w:tc>
              <w:tc>
                <w:tcPr>
                  <w:tcW w:w="213" w:type="pct"/>
                  <w:vMerge w:val="continue"/>
                  <w:noWrap w:val="0"/>
                  <w:tcMar>
                    <w:top w:w="0" w:type="dxa"/>
                    <w:left w:w="0" w:type="dxa"/>
                    <w:bottom w:w="0" w:type="dxa"/>
                    <w:right w:w="0" w:type="dxa"/>
                  </w:tcMar>
                  <w:vAlign w:val="center"/>
                </w:tcPr>
                <w:p w14:paraId="15F084E6">
                  <w:pPr>
                    <w:pStyle w:val="59"/>
                    <w:keepNext w:val="0"/>
                    <w:keepLines w:val="0"/>
                    <w:suppressLineNumbers w:val="0"/>
                    <w:spacing w:before="0" w:beforeAutospacing="0" w:after="0" w:afterAutospacing="0" w:line="240" w:lineRule="auto"/>
                    <w:ind w:left="0" w:right="0"/>
                    <w:rPr>
                      <w:rFonts w:hint="default"/>
                      <w:color w:val="auto"/>
                      <w:kern w:val="0"/>
                      <w:sz w:val="21"/>
                      <w:szCs w:val="21"/>
                      <w:highlight w:val="none"/>
                    </w:rPr>
                  </w:pPr>
                </w:p>
              </w:tc>
              <w:tc>
                <w:tcPr>
                  <w:tcW w:w="468" w:type="pct"/>
                  <w:noWrap w:val="0"/>
                  <w:tcMar>
                    <w:top w:w="0" w:type="dxa"/>
                    <w:left w:w="0" w:type="dxa"/>
                    <w:bottom w:w="0" w:type="dxa"/>
                    <w:right w:w="0" w:type="dxa"/>
                  </w:tcMar>
                  <w:vAlign w:val="center"/>
                </w:tcPr>
                <w:p w14:paraId="7D233035">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 xml:space="preserve">HW49 </w:t>
                  </w:r>
                </w:p>
              </w:tc>
              <w:tc>
                <w:tcPr>
                  <w:tcW w:w="478" w:type="pct"/>
                  <w:noWrap w:val="0"/>
                  <w:tcMar>
                    <w:top w:w="0" w:type="dxa"/>
                    <w:left w:w="0" w:type="dxa"/>
                    <w:bottom w:w="0" w:type="dxa"/>
                    <w:right w:w="0" w:type="dxa"/>
                  </w:tcMar>
                  <w:vAlign w:val="center"/>
                </w:tcPr>
                <w:p w14:paraId="72FB1D11">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900-047-49</w:t>
                  </w:r>
                </w:p>
              </w:tc>
              <w:tc>
                <w:tcPr>
                  <w:tcW w:w="361" w:type="pct"/>
                  <w:noWrap w:val="0"/>
                  <w:tcMar>
                    <w:top w:w="0" w:type="dxa"/>
                    <w:left w:w="0" w:type="dxa"/>
                    <w:bottom w:w="0" w:type="dxa"/>
                    <w:right w:w="0" w:type="dxa"/>
                  </w:tcMar>
                  <w:vAlign w:val="center"/>
                </w:tcPr>
                <w:p w14:paraId="515D8E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olor w:val="auto"/>
                      <w:kern w:val="2"/>
                      <w:sz w:val="21"/>
                      <w:szCs w:val="21"/>
                      <w:highlight w:val="none"/>
                      <w:lang w:val="en-US" w:eastAsia="zh-CN" w:bidi="ar-SA"/>
                    </w:rPr>
                  </w:pPr>
                </w:p>
              </w:tc>
              <w:tc>
                <w:tcPr>
                  <w:tcW w:w="488" w:type="pct"/>
                  <w:tcBorders>
                    <w:right w:val="single" w:color="auto" w:sz="4" w:space="0"/>
                  </w:tcBorders>
                  <w:noWrap w:val="0"/>
                  <w:tcMar>
                    <w:top w:w="0" w:type="dxa"/>
                    <w:left w:w="0" w:type="dxa"/>
                    <w:bottom w:w="0" w:type="dxa"/>
                    <w:right w:w="0" w:type="dxa"/>
                  </w:tcMar>
                  <w:vAlign w:val="center"/>
                </w:tcPr>
                <w:p w14:paraId="0BBD413E">
                  <w:pPr>
                    <w:keepNext w:val="0"/>
                    <w:keepLines w:val="0"/>
                    <w:suppressLineNumbers w:val="0"/>
                    <w:spacing w:before="0" w:beforeAutospacing="0" w:after="0" w:afterAutospacing="0" w:line="240" w:lineRule="auto"/>
                    <w:ind w:left="0" w:right="0"/>
                    <w:jc w:val="center"/>
                    <w:rPr>
                      <w:rFonts w:hint="default"/>
                      <w:color w:val="auto"/>
                      <w:sz w:val="21"/>
                      <w:szCs w:val="21"/>
                      <w:highlight w:val="none"/>
                    </w:rPr>
                  </w:pPr>
                  <w:r>
                    <w:rPr>
                      <w:rFonts w:hint="eastAsia"/>
                      <w:color w:val="auto"/>
                      <w:sz w:val="21"/>
                      <w:szCs w:val="21"/>
                      <w:highlight w:val="none"/>
                      <w:lang w:val="en-US" w:eastAsia="zh-CN"/>
                    </w:rPr>
                    <w:t>桶装</w:t>
                  </w:r>
                </w:p>
              </w:tc>
              <w:tc>
                <w:tcPr>
                  <w:tcW w:w="341" w:type="pct"/>
                  <w:vMerge w:val="continue"/>
                  <w:noWrap w:val="0"/>
                  <w:tcMar>
                    <w:top w:w="0" w:type="dxa"/>
                    <w:left w:w="0" w:type="dxa"/>
                    <w:bottom w:w="0" w:type="dxa"/>
                    <w:right w:w="0" w:type="dxa"/>
                  </w:tcMar>
                  <w:vAlign w:val="center"/>
                </w:tcPr>
                <w:p w14:paraId="1A4B7689">
                  <w:pPr>
                    <w:pStyle w:val="59"/>
                    <w:keepNext w:val="0"/>
                    <w:keepLines w:val="0"/>
                    <w:suppressLineNumbers w:val="0"/>
                    <w:spacing w:before="0" w:beforeAutospacing="0" w:after="0" w:afterAutospacing="0" w:line="240" w:lineRule="auto"/>
                    <w:ind w:left="0" w:right="0"/>
                    <w:rPr>
                      <w:rFonts w:hint="default"/>
                      <w:color w:val="auto"/>
                      <w:sz w:val="21"/>
                      <w:szCs w:val="21"/>
                      <w:highlight w:val="none"/>
                    </w:rPr>
                  </w:pPr>
                </w:p>
              </w:tc>
              <w:tc>
                <w:tcPr>
                  <w:tcW w:w="402" w:type="pct"/>
                  <w:vMerge w:val="continue"/>
                  <w:noWrap w:val="0"/>
                  <w:tcMar>
                    <w:top w:w="0" w:type="dxa"/>
                    <w:left w:w="0" w:type="dxa"/>
                    <w:bottom w:w="0" w:type="dxa"/>
                    <w:right w:w="0" w:type="dxa"/>
                  </w:tcMar>
                  <w:vAlign w:val="center"/>
                </w:tcPr>
                <w:p w14:paraId="1E14752B">
                  <w:pPr>
                    <w:pStyle w:val="59"/>
                    <w:keepNext w:val="0"/>
                    <w:keepLines w:val="0"/>
                    <w:suppressLineNumbers w:val="0"/>
                    <w:spacing w:before="0" w:beforeAutospacing="0" w:after="0" w:afterAutospacing="0" w:line="240" w:lineRule="auto"/>
                    <w:ind w:left="0" w:right="0"/>
                    <w:rPr>
                      <w:rFonts w:hint="default"/>
                      <w:color w:val="auto"/>
                      <w:sz w:val="21"/>
                      <w:szCs w:val="21"/>
                      <w:highlight w:val="none"/>
                    </w:rPr>
                  </w:pPr>
                </w:p>
              </w:tc>
              <w:tc>
                <w:tcPr>
                  <w:tcW w:w="412" w:type="pct"/>
                  <w:vMerge w:val="continue"/>
                  <w:noWrap w:val="0"/>
                  <w:tcMar>
                    <w:top w:w="0" w:type="dxa"/>
                    <w:left w:w="0" w:type="dxa"/>
                    <w:bottom w:w="0" w:type="dxa"/>
                    <w:right w:w="0" w:type="dxa"/>
                  </w:tcMar>
                  <w:vAlign w:val="center"/>
                </w:tcPr>
                <w:p w14:paraId="3858A92C">
                  <w:pPr>
                    <w:pStyle w:val="59"/>
                    <w:keepNext w:val="0"/>
                    <w:keepLines w:val="0"/>
                    <w:suppressLineNumbers w:val="0"/>
                    <w:spacing w:before="0" w:beforeAutospacing="0" w:after="0" w:afterAutospacing="0" w:line="240" w:lineRule="auto"/>
                    <w:ind w:left="0" w:right="0"/>
                    <w:rPr>
                      <w:rFonts w:hint="default"/>
                      <w:color w:val="auto"/>
                      <w:sz w:val="21"/>
                      <w:szCs w:val="21"/>
                      <w:highlight w:val="none"/>
                    </w:rPr>
                  </w:pPr>
                </w:p>
              </w:tc>
            </w:tr>
            <w:tr w14:paraId="16722E8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4" w:type="pct"/>
                  <w:noWrap w:val="0"/>
                  <w:tcMar>
                    <w:top w:w="0" w:type="dxa"/>
                    <w:left w:w="0" w:type="dxa"/>
                    <w:bottom w:w="0" w:type="dxa"/>
                    <w:right w:w="0" w:type="dxa"/>
                  </w:tcMar>
                  <w:vAlign w:val="center"/>
                </w:tcPr>
                <w:p w14:paraId="12510F0E">
                  <w:pPr>
                    <w:keepNext w:val="0"/>
                    <w:keepLines w:val="0"/>
                    <w:suppressLineNumbers w:val="0"/>
                    <w:spacing w:before="0" w:beforeAutospacing="0" w:after="0" w:afterAutospacing="0" w:line="240" w:lineRule="auto"/>
                    <w:ind w:left="0" w:right="0"/>
                    <w:jc w:val="center"/>
                    <w:rPr>
                      <w:rFonts w:hint="default"/>
                      <w:color w:val="auto"/>
                      <w:kern w:val="0"/>
                      <w:sz w:val="21"/>
                      <w:szCs w:val="21"/>
                      <w:highlight w:val="none"/>
                      <w:lang w:val="en-US" w:eastAsia="zh-CN" w:bidi="ar-SA"/>
                    </w:rPr>
                  </w:pPr>
                  <w:r>
                    <w:rPr>
                      <w:rFonts w:hint="default"/>
                      <w:color w:val="auto"/>
                      <w:kern w:val="0"/>
                      <w:sz w:val="21"/>
                      <w:szCs w:val="21"/>
                      <w:highlight w:val="none"/>
                    </w:rPr>
                    <w:t>3</w:t>
                  </w:r>
                </w:p>
              </w:tc>
              <w:tc>
                <w:tcPr>
                  <w:tcW w:w="638" w:type="pct"/>
                  <w:noWrap w:val="0"/>
                  <w:tcMar>
                    <w:top w:w="0" w:type="dxa"/>
                    <w:left w:w="0" w:type="dxa"/>
                    <w:bottom w:w="0" w:type="dxa"/>
                    <w:right w:w="0" w:type="dxa"/>
                  </w:tcMar>
                  <w:vAlign w:val="center"/>
                </w:tcPr>
                <w:p w14:paraId="18D1B46A">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宋体" w:hAnsi="宋体" w:cs="宋体"/>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rPr>
                    <w:t>废化学</w:t>
                  </w:r>
                  <w:r>
                    <w:rPr>
                      <w:rFonts w:hint="eastAsia" w:cs="Times New Roman"/>
                      <w:color w:val="auto"/>
                      <w:kern w:val="0"/>
                      <w:szCs w:val="21"/>
                      <w:highlight w:val="none"/>
                      <w:lang w:val="en-US" w:eastAsia="zh-CN"/>
                    </w:rPr>
                    <w:t>品</w:t>
                  </w:r>
                  <w:r>
                    <w:rPr>
                      <w:rFonts w:hint="default" w:ascii="Times New Roman" w:hAnsi="Times New Roman" w:eastAsia="宋体" w:cs="Times New Roman"/>
                      <w:color w:val="auto"/>
                      <w:kern w:val="0"/>
                      <w:szCs w:val="21"/>
                      <w:highlight w:val="none"/>
                    </w:rPr>
                    <w:t>包装</w:t>
                  </w:r>
                </w:p>
              </w:tc>
              <w:tc>
                <w:tcPr>
                  <w:tcW w:w="1011" w:type="pct"/>
                  <w:noWrap w:val="0"/>
                  <w:tcMar>
                    <w:top w:w="0" w:type="dxa"/>
                    <w:left w:w="0" w:type="dxa"/>
                    <w:bottom w:w="0" w:type="dxa"/>
                    <w:right w:w="0" w:type="dxa"/>
                  </w:tcMar>
                  <w:vAlign w:val="center"/>
                </w:tcPr>
                <w:p w14:paraId="26F24BF0">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eastAsia="宋体"/>
                      <w:color w:val="auto"/>
                      <w:sz w:val="21"/>
                      <w:szCs w:val="21"/>
                      <w:highlight w:val="none"/>
                      <w:lang w:eastAsia="zh-CN"/>
                    </w:rPr>
                  </w:pPr>
                  <w:r>
                    <w:rPr>
                      <w:rFonts w:hint="eastAsia" w:cs="Times New Roman"/>
                      <w:color w:val="auto"/>
                      <w:szCs w:val="21"/>
                      <w:highlight w:val="none"/>
                      <w:lang w:val="en-US" w:eastAsia="zh-CN"/>
                    </w:rPr>
                    <w:t>原料包装</w:t>
                  </w:r>
                </w:p>
              </w:tc>
              <w:tc>
                <w:tcPr>
                  <w:tcW w:w="213" w:type="pct"/>
                  <w:vMerge w:val="continue"/>
                  <w:noWrap w:val="0"/>
                  <w:tcMar>
                    <w:top w:w="0" w:type="dxa"/>
                    <w:left w:w="0" w:type="dxa"/>
                    <w:bottom w:w="0" w:type="dxa"/>
                    <w:right w:w="0" w:type="dxa"/>
                  </w:tcMar>
                  <w:vAlign w:val="center"/>
                </w:tcPr>
                <w:p w14:paraId="495A22D2">
                  <w:pPr>
                    <w:pStyle w:val="59"/>
                    <w:keepNext w:val="0"/>
                    <w:keepLines w:val="0"/>
                    <w:suppressLineNumbers w:val="0"/>
                    <w:spacing w:before="0" w:beforeAutospacing="0" w:after="0" w:afterAutospacing="0" w:line="240" w:lineRule="auto"/>
                    <w:ind w:left="0" w:right="0"/>
                    <w:rPr>
                      <w:rFonts w:hint="default"/>
                      <w:color w:val="auto"/>
                      <w:kern w:val="0"/>
                      <w:sz w:val="21"/>
                      <w:szCs w:val="21"/>
                      <w:highlight w:val="none"/>
                    </w:rPr>
                  </w:pPr>
                </w:p>
              </w:tc>
              <w:tc>
                <w:tcPr>
                  <w:tcW w:w="468" w:type="pct"/>
                  <w:noWrap w:val="0"/>
                  <w:tcMar>
                    <w:top w:w="0" w:type="dxa"/>
                    <w:left w:w="0" w:type="dxa"/>
                    <w:bottom w:w="0" w:type="dxa"/>
                    <w:right w:w="0" w:type="dxa"/>
                  </w:tcMar>
                  <w:vAlign w:val="center"/>
                </w:tcPr>
                <w:p w14:paraId="1D968485">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 xml:space="preserve">HW49 </w:t>
                  </w:r>
                </w:p>
              </w:tc>
              <w:tc>
                <w:tcPr>
                  <w:tcW w:w="478" w:type="pct"/>
                  <w:noWrap w:val="0"/>
                  <w:tcMar>
                    <w:top w:w="0" w:type="dxa"/>
                    <w:left w:w="0" w:type="dxa"/>
                    <w:bottom w:w="0" w:type="dxa"/>
                    <w:right w:w="0" w:type="dxa"/>
                  </w:tcMar>
                  <w:vAlign w:val="center"/>
                </w:tcPr>
                <w:p w14:paraId="6C8C7AF6">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900-041-49</w:t>
                  </w:r>
                </w:p>
              </w:tc>
              <w:tc>
                <w:tcPr>
                  <w:tcW w:w="361" w:type="pct"/>
                  <w:noWrap w:val="0"/>
                  <w:tcMar>
                    <w:top w:w="0" w:type="dxa"/>
                    <w:left w:w="0" w:type="dxa"/>
                    <w:bottom w:w="0" w:type="dxa"/>
                    <w:right w:w="0" w:type="dxa"/>
                  </w:tcMar>
                  <w:vAlign w:val="center"/>
                </w:tcPr>
                <w:p w14:paraId="1A4DD4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olor w:val="auto"/>
                      <w:kern w:val="2"/>
                      <w:sz w:val="21"/>
                      <w:szCs w:val="21"/>
                      <w:highlight w:val="none"/>
                      <w:lang w:val="en-US" w:eastAsia="zh-CN" w:bidi="ar-SA"/>
                    </w:rPr>
                  </w:pPr>
                </w:p>
              </w:tc>
              <w:tc>
                <w:tcPr>
                  <w:tcW w:w="488" w:type="pct"/>
                  <w:tcBorders>
                    <w:right w:val="single" w:color="auto" w:sz="4" w:space="0"/>
                  </w:tcBorders>
                  <w:noWrap w:val="0"/>
                  <w:tcMar>
                    <w:top w:w="0" w:type="dxa"/>
                    <w:left w:w="0" w:type="dxa"/>
                    <w:bottom w:w="0" w:type="dxa"/>
                    <w:right w:w="0" w:type="dxa"/>
                  </w:tcMar>
                  <w:vAlign w:val="center"/>
                </w:tcPr>
                <w:p w14:paraId="6B0A35EB">
                  <w:pPr>
                    <w:keepNext w:val="0"/>
                    <w:keepLines w:val="0"/>
                    <w:suppressLineNumbers w:val="0"/>
                    <w:spacing w:before="0" w:beforeAutospacing="0" w:after="0" w:afterAutospacing="0" w:line="240" w:lineRule="auto"/>
                    <w:ind w:left="0" w:right="0"/>
                    <w:jc w:val="center"/>
                    <w:rPr>
                      <w:rFonts w:hint="eastAsia"/>
                      <w:color w:val="auto"/>
                      <w:sz w:val="21"/>
                      <w:szCs w:val="21"/>
                      <w:highlight w:val="none"/>
                      <w:lang w:eastAsia="zh-CN"/>
                    </w:rPr>
                  </w:pPr>
                  <w:r>
                    <w:rPr>
                      <w:rFonts w:hint="eastAsia"/>
                      <w:color w:val="auto"/>
                      <w:sz w:val="21"/>
                      <w:szCs w:val="21"/>
                      <w:highlight w:val="none"/>
                      <w:lang w:val="en-US" w:eastAsia="zh-CN"/>
                    </w:rPr>
                    <w:t>桶装</w:t>
                  </w:r>
                </w:p>
              </w:tc>
              <w:tc>
                <w:tcPr>
                  <w:tcW w:w="341" w:type="pct"/>
                  <w:vMerge w:val="continue"/>
                  <w:noWrap w:val="0"/>
                  <w:tcMar>
                    <w:top w:w="0" w:type="dxa"/>
                    <w:left w:w="0" w:type="dxa"/>
                    <w:bottom w:w="0" w:type="dxa"/>
                    <w:right w:w="0" w:type="dxa"/>
                  </w:tcMar>
                  <w:vAlign w:val="center"/>
                </w:tcPr>
                <w:p w14:paraId="7AD29513">
                  <w:pPr>
                    <w:pStyle w:val="59"/>
                    <w:keepNext w:val="0"/>
                    <w:keepLines w:val="0"/>
                    <w:suppressLineNumbers w:val="0"/>
                    <w:spacing w:before="0" w:beforeAutospacing="0" w:after="0" w:afterAutospacing="0" w:line="240" w:lineRule="auto"/>
                    <w:ind w:left="0" w:right="0"/>
                    <w:rPr>
                      <w:rFonts w:hint="default"/>
                      <w:color w:val="auto"/>
                      <w:sz w:val="21"/>
                      <w:szCs w:val="21"/>
                      <w:highlight w:val="none"/>
                    </w:rPr>
                  </w:pPr>
                </w:p>
              </w:tc>
              <w:tc>
                <w:tcPr>
                  <w:tcW w:w="402" w:type="pct"/>
                  <w:vMerge w:val="continue"/>
                  <w:noWrap w:val="0"/>
                  <w:tcMar>
                    <w:top w:w="0" w:type="dxa"/>
                    <w:left w:w="0" w:type="dxa"/>
                    <w:bottom w:w="0" w:type="dxa"/>
                    <w:right w:w="0" w:type="dxa"/>
                  </w:tcMar>
                  <w:vAlign w:val="center"/>
                </w:tcPr>
                <w:p w14:paraId="58B1D057">
                  <w:pPr>
                    <w:pStyle w:val="59"/>
                    <w:keepNext w:val="0"/>
                    <w:keepLines w:val="0"/>
                    <w:suppressLineNumbers w:val="0"/>
                    <w:spacing w:before="0" w:beforeAutospacing="0" w:after="0" w:afterAutospacing="0" w:line="240" w:lineRule="auto"/>
                    <w:ind w:left="0" w:right="0"/>
                    <w:rPr>
                      <w:rFonts w:hint="default"/>
                      <w:color w:val="auto"/>
                      <w:sz w:val="21"/>
                      <w:szCs w:val="21"/>
                      <w:highlight w:val="none"/>
                    </w:rPr>
                  </w:pPr>
                </w:p>
              </w:tc>
              <w:tc>
                <w:tcPr>
                  <w:tcW w:w="412" w:type="pct"/>
                  <w:vMerge w:val="continue"/>
                  <w:noWrap w:val="0"/>
                  <w:tcMar>
                    <w:top w:w="0" w:type="dxa"/>
                    <w:left w:w="0" w:type="dxa"/>
                    <w:bottom w:w="0" w:type="dxa"/>
                    <w:right w:w="0" w:type="dxa"/>
                  </w:tcMar>
                  <w:vAlign w:val="center"/>
                </w:tcPr>
                <w:p w14:paraId="7A73BA11">
                  <w:pPr>
                    <w:pStyle w:val="59"/>
                    <w:keepNext w:val="0"/>
                    <w:keepLines w:val="0"/>
                    <w:suppressLineNumbers w:val="0"/>
                    <w:spacing w:before="0" w:beforeAutospacing="0" w:after="0" w:afterAutospacing="0" w:line="240" w:lineRule="auto"/>
                    <w:ind w:left="0" w:right="0"/>
                    <w:rPr>
                      <w:rFonts w:hint="default"/>
                      <w:color w:val="auto"/>
                      <w:sz w:val="21"/>
                      <w:szCs w:val="21"/>
                      <w:highlight w:val="none"/>
                    </w:rPr>
                  </w:pPr>
                </w:p>
              </w:tc>
            </w:tr>
            <w:tr w14:paraId="03E4397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4" w:type="pct"/>
                  <w:noWrap w:val="0"/>
                  <w:tcMar>
                    <w:top w:w="0" w:type="dxa"/>
                    <w:left w:w="0" w:type="dxa"/>
                    <w:bottom w:w="0" w:type="dxa"/>
                    <w:right w:w="0" w:type="dxa"/>
                  </w:tcMar>
                  <w:vAlign w:val="center"/>
                </w:tcPr>
                <w:p w14:paraId="61E05439">
                  <w:pPr>
                    <w:keepNext w:val="0"/>
                    <w:keepLines w:val="0"/>
                    <w:suppressLineNumbers w:val="0"/>
                    <w:spacing w:before="0" w:beforeAutospacing="0" w:after="0" w:afterAutospacing="0" w:line="240" w:lineRule="auto"/>
                    <w:ind w:left="0" w:right="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4</w:t>
                  </w:r>
                </w:p>
              </w:tc>
              <w:tc>
                <w:tcPr>
                  <w:tcW w:w="638" w:type="pct"/>
                  <w:noWrap w:val="0"/>
                  <w:tcMar>
                    <w:top w:w="0" w:type="dxa"/>
                    <w:left w:w="0" w:type="dxa"/>
                    <w:bottom w:w="0" w:type="dxa"/>
                    <w:right w:w="0" w:type="dxa"/>
                  </w:tcMar>
                  <w:vAlign w:val="center"/>
                </w:tcPr>
                <w:p w14:paraId="5A633001">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宋体" w:hAnsi="宋体" w:cs="宋体"/>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废实验耗材</w:t>
                  </w:r>
                </w:p>
              </w:tc>
              <w:tc>
                <w:tcPr>
                  <w:tcW w:w="1011" w:type="pct"/>
                  <w:noWrap w:val="0"/>
                  <w:tcMar>
                    <w:top w:w="0" w:type="dxa"/>
                    <w:left w:w="0" w:type="dxa"/>
                    <w:bottom w:w="0" w:type="dxa"/>
                    <w:right w:w="0" w:type="dxa"/>
                  </w:tcMar>
                  <w:vAlign w:val="center"/>
                </w:tcPr>
                <w:p w14:paraId="535C7977">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eastAsia="宋体"/>
                      <w:color w:val="auto"/>
                      <w:sz w:val="21"/>
                      <w:szCs w:val="21"/>
                      <w:highlight w:val="none"/>
                      <w:lang w:val="en-US" w:eastAsia="zh-CN"/>
                    </w:rPr>
                  </w:pPr>
                  <w:r>
                    <w:rPr>
                      <w:rFonts w:hint="eastAsia" w:cs="Times New Roman"/>
                      <w:snapToGrid w:val="0"/>
                      <w:color w:val="auto"/>
                      <w:kern w:val="0"/>
                      <w:szCs w:val="21"/>
                      <w:highlight w:val="none"/>
                      <w:lang w:val="en-US" w:eastAsia="zh-CN"/>
                    </w:rPr>
                    <w:t>实验过程</w:t>
                  </w:r>
                </w:p>
              </w:tc>
              <w:tc>
                <w:tcPr>
                  <w:tcW w:w="213" w:type="pct"/>
                  <w:vMerge w:val="continue"/>
                  <w:noWrap w:val="0"/>
                  <w:tcMar>
                    <w:top w:w="0" w:type="dxa"/>
                    <w:left w:w="0" w:type="dxa"/>
                    <w:bottom w:w="0" w:type="dxa"/>
                    <w:right w:w="0" w:type="dxa"/>
                  </w:tcMar>
                  <w:vAlign w:val="center"/>
                </w:tcPr>
                <w:p w14:paraId="78E4838E">
                  <w:pPr>
                    <w:pStyle w:val="59"/>
                    <w:keepNext w:val="0"/>
                    <w:keepLines w:val="0"/>
                    <w:suppressLineNumbers w:val="0"/>
                    <w:spacing w:before="0" w:beforeAutospacing="0" w:after="0" w:afterAutospacing="0" w:line="240" w:lineRule="auto"/>
                    <w:ind w:left="0" w:right="0"/>
                    <w:rPr>
                      <w:rFonts w:hint="default"/>
                      <w:color w:val="auto"/>
                      <w:kern w:val="0"/>
                      <w:sz w:val="21"/>
                      <w:szCs w:val="21"/>
                      <w:highlight w:val="none"/>
                    </w:rPr>
                  </w:pPr>
                </w:p>
              </w:tc>
              <w:tc>
                <w:tcPr>
                  <w:tcW w:w="468" w:type="pct"/>
                  <w:noWrap w:val="0"/>
                  <w:tcMar>
                    <w:top w:w="0" w:type="dxa"/>
                    <w:left w:w="0" w:type="dxa"/>
                    <w:bottom w:w="0" w:type="dxa"/>
                    <w:right w:w="0" w:type="dxa"/>
                  </w:tcMar>
                  <w:vAlign w:val="center"/>
                </w:tcPr>
                <w:p w14:paraId="438DBB5D">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 xml:space="preserve">HW49 </w:t>
                  </w:r>
                </w:p>
              </w:tc>
              <w:tc>
                <w:tcPr>
                  <w:tcW w:w="478" w:type="pct"/>
                  <w:noWrap w:val="0"/>
                  <w:tcMar>
                    <w:top w:w="0" w:type="dxa"/>
                    <w:left w:w="0" w:type="dxa"/>
                    <w:bottom w:w="0" w:type="dxa"/>
                    <w:right w:w="0" w:type="dxa"/>
                  </w:tcMar>
                  <w:vAlign w:val="center"/>
                </w:tcPr>
                <w:p w14:paraId="015843A8">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900-04</w:t>
                  </w:r>
                  <w:r>
                    <w:rPr>
                      <w:rFonts w:hint="eastAsia" w:cs="Times New Roman"/>
                      <w:color w:val="auto"/>
                      <w:szCs w:val="21"/>
                      <w:highlight w:val="none"/>
                      <w:lang w:val="en-US" w:eastAsia="zh-CN"/>
                    </w:rPr>
                    <w:t>7</w:t>
                  </w:r>
                  <w:r>
                    <w:rPr>
                      <w:rFonts w:hint="default" w:ascii="Times New Roman" w:hAnsi="Times New Roman" w:eastAsia="宋体" w:cs="Times New Roman"/>
                      <w:color w:val="auto"/>
                      <w:szCs w:val="21"/>
                      <w:highlight w:val="none"/>
                      <w:lang w:val="en-US" w:eastAsia="zh-CN"/>
                    </w:rPr>
                    <w:t>-49</w:t>
                  </w:r>
                </w:p>
              </w:tc>
              <w:tc>
                <w:tcPr>
                  <w:tcW w:w="361" w:type="pct"/>
                  <w:noWrap w:val="0"/>
                  <w:tcMar>
                    <w:top w:w="0" w:type="dxa"/>
                    <w:left w:w="0" w:type="dxa"/>
                    <w:bottom w:w="0" w:type="dxa"/>
                    <w:right w:w="0" w:type="dxa"/>
                  </w:tcMar>
                  <w:vAlign w:val="center"/>
                </w:tcPr>
                <w:p w14:paraId="05DC1A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olor w:val="auto"/>
                      <w:kern w:val="2"/>
                      <w:sz w:val="21"/>
                      <w:szCs w:val="21"/>
                      <w:highlight w:val="none"/>
                      <w:lang w:val="en-US" w:eastAsia="zh-CN" w:bidi="ar-SA"/>
                    </w:rPr>
                  </w:pPr>
                </w:p>
              </w:tc>
              <w:tc>
                <w:tcPr>
                  <w:tcW w:w="488" w:type="pct"/>
                  <w:tcBorders>
                    <w:right w:val="single" w:color="auto" w:sz="4" w:space="0"/>
                  </w:tcBorders>
                  <w:noWrap w:val="0"/>
                  <w:tcMar>
                    <w:top w:w="0" w:type="dxa"/>
                    <w:left w:w="0" w:type="dxa"/>
                    <w:bottom w:w="0" w:type="dxa"/>
                    <w:right w:w="0" w:type="dxa"/>
                  </w:tcMar>
                  <w:vAlign w:val="center"/>
                </w:tcPr>
                <w:p w14:paraId="77FB216B">
                  <w:pPr>
                    <w:keepNext w:val="0"/>
                    <w:keepLines w:val="0"/>
                    <w:suppressLineNumbers w:val="0"/>
                    <w:spacing w:before="0" w:beforeAutospacing="0" w:after="0" w:afterAutospacing="0" w:line="240" w:lineRule="auto"/>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桶装</w:t>
                  </w:r>
                </w:p>
              </w:tc>
              <w:tc>
                <w:tcPr>
                  <w:tcW w:w="341" w:type="pct"/>
                  <w:vMerge w:val="continue"/>
                  <w:noWrap w:val="0"/>
                  <w:tcMar>
                    <w:top w:w="0" w:type="dxa"/>
                    <w:left w:w="0" w:type="dxa"/>
                    <w:bottom w:w="0" w:type="dxa"/>
                    <w:right w:w="0" w:type="dxa"/>
                  </w:tcMar>
                  <w:vAlign w:val="center"/>
                </w:tcPr>
                <w:p w14:paraId="7E74C617">
                  <w:pPr>
                    <w:pStyle w:val="59"/>
                    <w:keepNext w:val="0"/>
                    <w:keepLines w:val="0"/>
                    <w:suppressLineNumbers w:val="0"/>
                    <w:spacing w:before="0" w:beforeAutospacing="0" w:after="0" w:afterAutospacing="0" w:line="240" w:lineRule="auto"/>
                    <w:ind w:left="0" w:right="0"/>
                    <w:rPr>
                      <w:rFonts w:hint="default"/>
                      <w:color w:val="auto"/>
                      <w:sz w:val="21"/>
                      <w:szCs w:val="21"/>
                      <w:highlight w:val="none"/>
                    </w:rPr>
                  </w:pPr>
                </w:p>
              </w:tc>
              <w:tc>
                <w:tcPr>
                  <w:tcW w:w="402" w:type="pct"/>
                  <w:vMerge w:val="continue"/>
                  <w:noWrap w:val="0"/>
                  <w:tcMar>
                    <w:top w:w="0" w:type="dxa"/>
                    <w:left w:w="0" w:type="dxa"/>
                    <w:bottom w:w="0" w:type="dxa"/>
                    <w:right w:w="0" w:type="dxa"/>
                  </w:tcMar>
                  <w:vAlign w:val="center"/>
                </w:tcPr>
                <w:p w14:paraId="7788544D">
                  <w:pPr>
                    <w:pStyle w:val="59"/>
                    <w:keepNext w:val="0"/>
                    <w:keepLines w:val="0"/>
                    <w:suppressLineNumbers w:val="0"/>
                    <w:spacing w:before="0" w:beforeAutospacing="0" w:after="0" w:afterAutospacing="0" w:line="240" w:lineRule="auto"/>
                    <w:ind w:left="0" w:right="0"/>
                    <w:rPr>
                      <w:rFonts w:hint="default"/>
                      <w:color w:val="auto"/>
                      <w:sz w:val="21"/>
                      <w:szCs w:val="21"/>
                      <w:highlight w:val="none"/>
                    </w:rPr>
                  </w:pPr>
                </w:p>
              </w:tc>
              <w:tc>
                <w:tcPr>
                  <w:tcW w:w="412" w:type="pct"/>
                  <w:vMerge w:val="continue"/>
                  <w:noWrap w:val="0"/>
                  <w:tcMar>
                    <w:top w:w="0" w:type="dxa"/>
                    <w:left w:w="0" w:type="dxa"/>
                    <w:bottom w:w="0" w:type="dxa"/>
                    <w:right w:w="0" w:type="dxa"/>
                  </w:tcMar>
                  <w:vAlign w:val="center"/>
                </w:tcPr>
                <w:p w14:paraId="3CFF6CC7">
                  <w:pPr>
                    <w:pStyle w:val="59"/>
                    <w:keepNext w:val="0"/>
                    <w:keepLines w:val="0"/>
                    <w:suppressLineNumbers w:val="0"/>
                    <w:spacing w:before="0" w:beforeAutospacing="0" w:after="0" w:afterAutospacing="0" w:line="240" w:lineRule="auto"/>
                    <w:ind w:left="0" w:right="0"/>
                    <w:rPr>
                      <w:rFonts w:hint="default"/>
                      <w:color w:val="auto"/>
                      <w:sz w:val="21"/>
                      <w:szCs w:val="21"/>
                      <w:highlight w:val="none"/>
                    </w:rPr>
                  </w:pPr>
                </w:p>
              </w:tc>
            </w:tr>
            <w:tr w14:paraId="0C1BED5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4" w:type="pct"/>
                  <w:noWrap w:val="0"/>
                  <w:tcMar>
                    <w:top w:w="0" w:type="dxa"/>
                    <w:left w:w="0" w:type="dxa"/>
                    <w:bottom w:w="0" w:type="dxa"/>
                    <w:right w:w="0" w:type="dxa"/>
                  </w:tcMar>
                  <w:vAlign w:val="center"/>
                </w:tcPr>
                <w:p w14:paraId="2969590B">
                  <w:pPr>
                    <w:keepNext w:val="0"/>
                    <w:keepLines w:val="0"/>
                    <w:suppressLineNumbers w:val="0"/>
                    <w:spacing w:before="0" w:beforeAutospacing="0" w:after="0" w:afterAutospacing="0" w:line="240" w:lineRule="auto"/>
                    <w:ind w:left="0" w:right="0"/>
                    <w:jc w:val="center"/>
                    <w:rPr>
                      <w:rFonts w:hint="default" w:eastAsia="宋体"/>
                      <w:color w:val="auto"/>
                      <w:kern w:val="0"/>
                      <w:sz w:val="21"/>
                      <w:szCs w:val="21"/>
                      <w:highlight w:val="none"/>
                      <w:lang w:val="en-US" w:eastAsia="zh-CN"/>
                    </w:rPr>
                  </w:pPr>
                  <w:r>
                    <w:rPr>
                      <w:rFonts w:hint="eastAsia" w:eastAsia="宋体"/>
                      <w:color w:val="auto"/>
                      <w:kern w:val="0"/>
                      <w:sz w:val="21"/>
                      <w:szCs w:val="21"/>
                      <w:highlight w:val="none"/>
                      <w:lang w:val="en-US" w:eastAsia="zh-CN"/>
                    </w:rPr>
                    <w:t>5</w:t>
                  </w:r>
                </w:p>
              </w:tc>
              <w:tc>
                <w:tcPr>
                  <w:tcW w:w="638" w:type="pct"/>
                  <w:noWrap w:val="0"/>
                  <w:tcMar>
                    <w:top w:w="0" w:type="dxa"/>
                    <w:left w:w="0" w:type="dxa"/>
                    <w:bottom w:w="0" w:type="dxa"/>
                    <w:right w:w="0" w:type="dxa"/>
                  </w:tcMar>
                  <w:vAlign w:val="center"/>
                </w:tcPr>
                <w:p w14:paraId="154F0B81">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宋体" w:hAnsi="宋体" w:cs="宋体"/>
                      <w:color w:val="auto"/>
                      <w:kern w:val="0"/>
                      <w:sz w:val="21"/>
                      <w:szCs w:val="21"/>
                      <w:highlight w:val="none"/>
                      <w:lang w:val="en-US" w:eastAsia="zh-CN" w:bidi="ar"/>
                    </w:rPr>
                  </w:pPr>
                  <w:r>
                    <w:rPr>
                      <w:rFonts w:hint="eastAsia" w:cs="Times New Roman"/>
                      <w:color w:val="auto"/>
                      <w:kern w:val="0"/>
                      <w:szCs w:val="21"/>
                      <w:highlight w:val="none"/>
                      <w:lang w:val="en-US" w:eastAsia="zh-CN" w:bidi="ar"/>
                    </w:rPr>
                    <w:t>生物安全柜废滤芯</w:t>
                  </w:r>
                </w:p>
              </w:tc>
              <w:tc>
                <w:tcPr>
                  <w:tcW w:w="1011" w:type="pct"/>
                  <w:noWrap w:val="0"/>
                  <w:tcMar>
                    <w:top w:w="0" w:type="dxa"/>
                    <w:left w:w="0" w:type="dxa"/>
                    <w:bottom w:w="0" w:type="dxa"/>
                    <w:right w:w="0" w:type="dxa"/>
                  </w:tcMar>
                  <w:vAlign w:val="center"/>
                </w:tcPr>
                <w:p w14:paraId="3A56DADD">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eastAsia="宋体"/>
                      <w:color w:val="auto"/>
                      <w:sz w:val="21"/>
                      <w:szCs w:val="21"/>
                      <w:highlight w:val="none"/>
                      <w:lang w:val="en-US" w:eastAsia="zh-CN"/>
                    </w:rPr>
                  </w:pPr>
                  <w:r>
                    <w:rPr>
                      <w:rFonts w:hint="eastAsia" w:cs="Times New Roman"/>
                      <w:snapToGrid w:val="0"/>
                      <w:color w:val="auto"/>
                      <w:kern w:val="0"/>
                      <w:szCs w:val="21"/>
                      <w:highlight w:val="none"/>
                      <w:lang w:val="en-US" w:eastAsia="zh-CN"/>
                    </w:rPr>
                    <w:t>生物安全柜</w:t>
                  </w:r>
                </w:p>
              </w:tc>
              <w:tc>
                <w:tcPr>
                  <w:tcW w:w="213" w:type="pct"/>
                  <w:vMerge w:val="continue"/>
                  <w:noWrap w:val="0"/>
                  <w:tcMar>
                    <w:top w:w="0" w:type="dxa"/>
                    <w:left w:w="0" w:type="dxa"/>
                    <w:bottom w:w="0" w:type="dxa"/>
                    <w:right w:w="0" w:type="dxa"/>
                  </w:tcMar>
                  <w:vAlign w:val="center"/>
                </w:tcPr>
                <w:p w14:paraId="2EDAFAD0">
                  <w:pPr>
                    <w:pStyle w:val="59"/>
                    <w:keepNext w:val="0"/>
                    <w:keepLines w:val="0"/>
                    <w:suppressLineNumbers w:val="0"/>
                    <w:spacing w:before="0" w:beforeAutospacing="0" w:after="0" w:afterAutospacing="0" w:line="240" w:lineRule="auto"/>
                    <w:ind w:left="0" w:right="0"/>
                    <w:rPr>
                      <w:rFonts w:hint="default"/>
                      <w:color w:val="auto"/>
                      <w:kern w:val="0"/>
                      <w:sz w:val="21"/>
                      <w:szCs w:val="21"/>
                      <w:highlight w:val="none"/>
                    </w:rPr>
                  </w:pPr>
                </w:p>
              </w:tc>
              <w:tc>
                <w:tcPr>
                  <w:tcW w:w="468" w:type="pct"/>
                  <w:noWrap w:val="0"/>
                  <w:tcMar>
                    <w:top w:w="0" w:type="dxa"/>
                    <w:left w:w="0" w:type="dxa"/>
                    <w:bottom w:w="0" w:type="dxa"/>
                    <w:right w:w="0" w:type="dxa"/>
                  </w:tcMar>
                  <w:vAlign w:val="center"/>
                </w:tcPr>
                <w:p w14:paraId="17C59BB4">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 xml:space="preserve">HW49 </w:t>
                  </w:r>
                </w:p>
              </w:tc>
              <w:tc>
                <w:tcPr>
                  <w:tcW w:w="478" w:type="pct"/>
                  <w:noWrap w:val="0"/>
                  <w:tcMar>
                    <w:top w:w="0" w:type="dxa"/>
                    <w:left w:w="0" w:type="dxa"/>
                    <w:bottom w:w="0" w:type="dxa"/>
                    <w:right w:w="0" w:type="dxa"/>
                  </w:tcMar>
                  <w:vAlign w:val="center"/>
                </w:tcPr>
                <w:p w14:paraId="62698006">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900-04</w:t>
                  </w:r>
                  <w:r>
                    <w:rPr>
                      <w:rFonts w:hint="eastAsia" w:cs="Times New Roman"/>
                      <w:color w:val="auto"/>
                      <w:szCs w:val="21"/>
                      <w:highlight w:val="none"/>
                      <w:lang w:val="en-US" w:eastAsia="zh-CN"/>
                    </w:rPr>
                    <w:t>7</w:t>
                  </w:r>
                  <w:r>
                    <w:rPr>
                      <w:rFonts w:hint="default" w:ascii="Times New Roman" w:hAnsi="Times New Roman" w:eastAsia="宋体" w:cs="Times New Roman"/>
                      <w:color w:val="auto"/>
                      <w:szCs w:val="21"/>
                      <w:highlight w:val="none"/>
                      <w:lang w:val="en-US" w:eastAsia="zh-CN"/>
                    </w:rPr>
                    <w:t>-49</w:t>
                  </w:r>
                </w:p>
              </w:tc>
              <w:tc>
                <w:tcPr>
                  <w:tcW w:w="361" w:type="pct"/>
                  <w:noWrap w:val="0"/>
                  <w:tcMar>
                    <w:top w:w="0" w:type="dxa"/>
                    <w:left w:w="0" w:type="dxa"/>
                    <w:bottom w:w="0" w:type="dxa"/>
                    <w:right w:w="0" w:type="dxa"/>
                  </w:tcMar>
                  <w:vAlign w:val="center"/>
                </w:tcPr>
                <w:p w14:paraId="7DDA58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olor w:val="auto"/>
                      <w:kern w:val="2"/>
                      <w:sz w:val="21"/>
                      <w:szCs w:val="21"/>
                      <w:highlight w:val="none"/>
                      <w:lang w:val="en-US" w:eastAsia="zh-CN" w:bidi="ar-SA"/>
                    </w:rPr>
                  </w:pPr>
                </w:p>
              </w:tc>
              <w:tc>
                <w:tcPr>
                  <w:tcW w:w="488" w:type="pct"/>
                  <w:tcBorders>
                    <w:right w:val="single" w:color="auto" w:sz="4" w:space="0"/>
                  </w:tcBorders>
                  <w:noWrap w:val="0"/>
                  <w:tcMar>
                    <w:top w:w="0" w:type="dxa"/>
                    <w:left w:w="0" w:type="dxa"/>
                    <w:bottom w:w="0" w:type="dxa"/>
                    <w:right w:w="0" w:type="dxa"/>
                  </w:tcMar>
                  <w:vAlign w:val="center"/>
                </w:tcPr>
                <w:p w14:paraId="662D8A7A">
                  <w:pPr>
                    <w:keepNext w:val="0"/>
                    <w:keepLines w:val="0"/>
                    <w:suppressLineNumbers w:val="0"/>
                    <w:spacing w:before="0" w:beforeAutospacing="0" w:after="0" w:afterAutospacing="0" w:line="240" w:lineRule="auto"/>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桶装</w:t>
                  </w:r>
                </w:p>
              </w:tc>
              <w:tc>
                <w:tcPr>
                  <w:tcW w:w="341" w:type="pct"/>
                  <w:vMerge w:val="continue"/>
                  <w:noWrap w:val="0"/>
                  <w:tcMar>
                    <w:top w:w="0" w:type="dxa"/>
                    <w:left w:w="0" w:type="dxa"/>
                    <w:bottom w:w="0" w:type="dxa"/>
                    <w:right w:w="0" w:type="dxa"/>
                  </w:tcMar>
                  <w:vAlign w:val="center"/>
                </w:tcPr>
                <w:p w14:paraId="4087D393">
                  <w:pPr>
                    <w:pStyle w:val="59"/>
                    <w:keepNext w:val="0"/>
                    <w:keepLines w:val="0"/>
                    <w:suppressLineNumbers w:val="0"/>
                    <w:spacing w:before="0" w:beforeAutospacing="0" w:after="0" w:afterAutospacing="0" w:line="240" w:lineRule="auto"/>
                    <w:ind w:left="0" w:right="0"/>
                    <w:rPr>
                      <w:rFonts w:hint="default"/>
                      <w:color w:val="auto"/>
                      <w:sz w:val="21"/>
                      <w:szCs w:val="21"/>
                      <w:highlight w:val="none"/>
                    </w:rPr>
                  </w:pPr>
                </w:p>
              </w:tc>
              <w:tc>
                <w:tcPr>
                  <w:tcW w:w="402" w:type="pct"/>
                  <w:vMerge w:val="continue"/>
                  <w:noWrap w:val="0"/>
                  <w:tcMar>
                    <w:top w:w="0" w:type="dxa"/>
                    <w:left w:w="0" w:type="dxa"/>
                    <w:bottom w:w="0" w:type="dxa"/>
                    <w:right w:w="0" w:type="dxa"/>
                  </w:tcMar>
                  <w:vAlign w:val="center"/>
                </w:tcPr>
                <w:p w14:paraId="32FC9B03">
                  <w:pPr>
                    <w:pStyle w:val="59"/>
                    <w:keepNext w:val="0"/>
                    <w:keepLines w:val="0"/>
                    <w:suppressLineNumbers w:val="0"/>
                    <w:spacing w:before="0" w:beforeAutospacing="0" w:after="0" w:afterAutospacing="0" w:line="240" w:lineRule="auto"/>
                    <w:ind w:left="0" w:right="0"/>
                    <w:rPr>
                      <w:rFonts w:hint="default"/>
                      <w:color w:val="auto"/>
                      <w:sz w:val="21"/>
                      <w:szCs w:val="21"/>
                      <w:highlight w:val="none"/>
                    </w:rPr>
                  </w:pPr>
                </w:p>
              </w:tc>
              <w:tc>
                <w:tcPr>
                  <w:tcW w:w="412" w:type="pct"/>
                  <w:vMerge w:val="continue"/>
                  <w:noWrap w:val="0"/>
                  <w:tcMar>
                    <w:top w:w="0" w:type="dxa"/>
                    <w:left w:w="0" w:type="dxa"/>
                    <w:bottom w:w="0" w:type="dxa"/>
                    <w:right w:w="0" w:type="dxa"/>
                  </w:tcMar>
                  <w:vAlign w:val="center"/>
                </w:tcPr>
                <w:p w14:paraId="788D00AD">
                  <w:pPr>
                    <w:pStyle w:val="59"/>
                    <w:keepNext w:val="0"/>
                    <w:keepLines w:val="0"/>
                    <w:suppressLineNumbers w:val="0"/>
                    <w:spacing w:before="0" w:beforeAutospacing="0" w:after="0" w:afterAutospacing="0" w:line="240" w:lineRule="auto"/>
                    <w:ind w:left="0" w:right="0"/>
                    <w:rPr>
                      <w:rFonts w:hint="default"/>
                      <w:color w:val="auto"/>
                      <w:sz w:val="21"/>
                      <w:szCs w:val="21"/>
                      <w:highlight w:val="none"/>
                    </w:rPr>
                  </w:pPr>
                </w:p>
              </w:tc>
            </w:tr>
            <w:tr w14:paraId="5C46BC1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4" w:type="pct"/>
                  <w:noWrap w:val="0"/>
                  <w:tcMar>
                    <w:top w:w="0" w:type="dxa"/>
                    <w:left w:w="0" w:type="dxa"/>
                    <w:bottom w:w="0" w:type="dxa"/>
                    <w:right w:w="0" w:type="dxa"/>
                  </w:tcMar>
                  <w:vAlign w:val="center"/>
                </w:tcPr>
                <w:p w14:paraId="10014DEC">
                  <w:pPr>
                    <w:keepNext w:val="0"/>
                    <w:keepLines w:val="0"/>
                    <w:suppressLineNumbers w:val="0"/>
                    <w:spacing w:before="0" w:beforeAutospacing="0" w:after="0" w:afterAutospacing="0" w:line="240" w:lineRule="auto"/>
                    <w:ind w:left="0" w:right="0"/>
                    <w:jc w:val="center"/>
                    <w:rPr>
                      <w:rFonts w:hint="default" w:eastAsia="宋体"/>
                      <w:color w:val="auto"/>
                      <w:kern w:val="0"/>
                      <w:sz w:val="21"/>
                      <w:szCs w:val="21"/>
                      <w:highlight w:val="none"/>
                      <w:shd w:val="clear" w:color="auto" w:fill="auto"/>
                      <w:lang w:val="en-US" w:eastAsia="zh-CN"/>
                    </w:rPr>
                  </w:pPr>
                  <w:r>
                    <w:rPr>
                      <w:rFonts w:hint="eastAsia" w:eastAsia="宋体"/>
                      <w:color w:val="auto"/>
                      <w:kern w:val="0"/>
                      <w:sz w:val="21"/>
                      <w:szCs w:val="21"/>
                      <w:highlight w:val="none"/>
                      <w:shd w:val="clear" w:color="auto" w:fill="auto"/>
                      <w:lang w:val="en-US" w:eastAsia="zh-CN"/>
                    </w:rPr>
                    <w:t>6</w:t>
                  </w:r>
                </w:p>
              </w:tc>
              <w:tc>
                <w:tcPr>
                  <w:tcW w:w="638" w:type="pct"/>
                  <w:noWrap w:val="0"/>
                  <w:tcMar>
                    <w:top w:w="0" w:type="dxa"/>
                    <w:left w:w="0" w:type="dxa"/>
                    <w:bottom w:w="0" w:type="dxa"/>
                    <w:right w:w="0" w:type="dxa"/>
                  </w:tcMar>
                  <w:vAlign w:val="center"/>
                </w:tcPr>
                <w:p w14:paraId="7173C5AB">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宋体" w:hAnsi="宋体" w:cs="宋体"/>
                      <w:color w:val="auto"/>
                      <w:kern w:val="0"/>
                      <w:sz w:val="21"/>
                      <w:szCs w:val="21"/>
                      <w:highlight w:val="none"/>
                      <w:shd w:val="clear" w:color="auto" w:fill="auto"/>
                      <w:lang w:val="en-US" w:eastAsia="zh-CN" w:bidi="ar"/>
                    </w:rPr>
                  </w:pPr>
                  <w:r>
                    <w:rPr>
                      <w:rFonts w:hint="eastAsia" w:cs="Times New Roman"/>
                      <w:color w:val="auto"/>
                      <w:kern w:val="0"/>
                      <w:szCs w:val="21"/>
                      <w:highlight w:val="none"/>
                      <w:lang w:val="en-US" w:eastAsia="zh-CN" w:bidi="ar"/>
                    </w:rPr>
                    <w:t>纯水制备废滤芯</w:t>
                  </w:r>
                </w:p>
              </w:tc>
              <w:tc>
                <w:tcPr>
                  <w:tcW w:w="1011" w:type="pct"/>
                  <w:noWrap w:val="0"/>
                  <w:tcMar>
                    <w:top w:w="0" w:type="dxa"/>
                    <w:left w:w="0" w:type="dxa"/>
                    <w:bottom w:w="0" w:type="dxa"/>
                    <w:right w:w="0" w:type="dxa"/>
                  </w:tcMar>
                  <w:vAlign w:val="center"/>
                </w:tcPr>
                <w:p w14:paraId="1747CA27">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eastAsia="宋体"/>
                      <w:color w:val="auto"/>
                      <w:sz w:val="21"/>
                      <w:szCs w:val="21"/>
                      <w:highlight w:val="none"/>
                      <w:shd w:val="clear" w:color="auto" w:fill="auto"/>
                      <w:lang w:val="en-US" w:eastAsia="zh-CN"/>
                    </w:rPr>
                  </w:pPr>
                  <w:r>
                    <w:rPr>
                      <w:rFonts w:hint="eastAsia" w:cs="Times New Roman"/>
                      <w:snapToGrid w:val="0"/>
                      <w:color w:val="auto"/>
                      <w:kern w:val="0"/>
                      <w:szCs w:val="21"/>
                      <w:highlight w:val="none"/>
                      <w:lang w:val="en-US" w:eastAsia="zh-CN"/>
                    </w:rPr>
                    <w:t>纯水制备</w:t>
                  </w:r>
                </w:p>
              </w:tc>
              <w:tc>
                <w:tcPr>
                  <w:tcW w:w="213" w:type="pct"/>
                  <w:vMerge w:val="continue"/>
                  <w:noWrap w:val="0"/>
                  <w:tcMar>
                    <w:top w:w="0" w:type="dxa"/>
                    <w:left w:w="0" w:type="dxa"/>
                    <w:bottom w:w="0" w:type="dxa"/>
                    <w:right w:w="0" w:type="dxa"/>
                  </w:tcMar>
                  <w:vAlign w:val="center"/>
                </w:tcPr>
                <w:p w14:paraId="2882F30E">
                  <w:pPr>
                    <w:pStyle w:val="59"/>
                    <w:keepNext w:val="0"/>
                    <w:keepLines w:val="0"/>
                    <w:suppressLineNumbers w:val="0"/>
                    <w:spacing w:before="0" w:beforeAutospacing="0" w:after="0" w:afterAutospacing="0" w:line="240" w:lineRule="auto"/>
                    <w:ind w:left="0" w:right="0"/>
                    <w:rPr>
                      <w:rFonts w:hint="default"/>
                      <w:color w:val="auto"/>
                      <w:kern w:val="0"/>
                      <w:sz w:val="21"/>
                      <w:szCs w:val="21"/>
                      <w:highlight w:val="none"/>
                      <w:shd w:val="clear" w:color="auto" w:fill="auto"/>
                    </w:rPr>
                  </w:pPr>
                </w:p>
              </w:tc>
              <w:tc>
                <w:tcPr>
                  <w:tcW w:w="468" w:type="pct"/>
                  <w:noWrap w:val="0"/>
                  <w:tcMar>
                    <w:top w:w="0" w:type="dxa"/>
                    <w:left w:w="0" w:type="dxa"/>
                    <w:bottom w:w="0" w:type="dxa"/>
                    <w:right w:w="0" w:type="dxa"/>
                  </w:tcMar>
                  <w:vAlign w:val="center"/>
                </w:tcPr>
                <w:p w14:paraId="279423A1">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Cs w:val="21"/>
                      <w:highlight w:val="none"/>
                      <w:lang w:val="en-US" w:eastAsia="zh-CN"/>
                    </w:rPr>
                    <w:t>HW49</w:t>
                  </w:r>
                </w:p>
              </w:tc>
              <w:tc>
                <w:tcPr>
                  <w:tcW w:w="478" w:type="pct"/>
                  <w:noWrap w:val="0"/>
                  <w:tcMar>
                    <w:top w:w="0" w:type="dxa"/>
                    <w:left w:w="0" w:type="dxa"/>
                    <w:bottom w:w="0" w:type="dxa"/>
                    <w:right w:w="0" w:type="dxa"/>
                  </w:tcMar>
                  <w:vAlign w:val="center"/>
                </w:tcPr>
                <w:p w14:paraId="00FE7572">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cs="Times New Roman"/>
                      <w:snapToGrid w:val="0"/>
                      <w:color w:val="auto"/>
                      <w:sz w:val="21"/>
                      <w:szCs w:val="21"/>
                      <w:highlight w:val="none"/>
                      <w:shd w:val="clear" w:color="auto" w:fill="auto"/>
                      <w:lang w:val="en-US" w:eastAsia="zh-CN"/>
                    </w:rPr>
                  </w:pPr>
                  <w:r>
                    <w:rPr>
                      <w:rFonts w:hint="default" w:ascii="Times New Roman" w:hAnsi="Times New Roman" w:eastAsia="宋体" w:cs="Times New Roman"/>
                      <w:color w:val="auto"/>
                      <w:szCs w:val="21"/>
                      <w:highlight w:val="none"/>
                      <w:lang w:val="en-US" w:eastAsia="zh-CN"/>
                    </w:rPr>
                    <w:t>00-047-49</w:t>
                  </w:r>
                </w:p>
              </w:tc>
              <w:tc>
                <w:tcPr>
                  <w:tcW w:w="361" w:type="pct"/>
                  <w:noWrap w:val="0"/>
                  <w:tcMar>
                    <w:top w:w="0" w:type="dxa"/>
                    <w:left w:w="0" w:type="dxa"/>
                    <w:bottom w:w="0" w:type="dxa"/>
                    <w:right w:w="0" w:type="dxa"/>
                  </w:tcMar>
                  <w:vAlign w:val="center"/>
                </w:tcPr>
                <w:p w14:paraId="3671AB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olor w:val="auto"/>
                      <w:kern w:val="2"/>
                      <w:sz w:val="21"/>
                      <w:szCs w:val="21"/>
                      <w:highlight w:val="none"/>
                      <w:shd w:val="clear" w:color="auto" w:fill="auto"/>
                      <w:lang w:val="en-US" w:eastAsia="zh-CN" w:bidi="ar-SA"/>
                    </w:rPr>
                  </w:pPr>
                </w:p>
              </w:tc>
              <w:tc>
                <w:tcPr>
                  <w:tcW w:w="488" w:type="pct"/>
                  <w:tcBorders>
                    <w:right w:val="single" w:color="auto" w:sz="4" w:space="0"/>
                  </w:tcBorders>
                  <w:noWrap w:val="0"/>
                  <w:tcMar>
                    <w:top w:w="0" w:type="dxa"/>
                    <w:left w:w="0" w:type="dxa"/>
                    <w:bottom w:w="0" w:type="dxa"/>
                    <w:right w:w="0" w:type="dxa"/>
                  </w:tcMar>
                  <w:vAlign w:val="center"/>
                </w:tcPr>
                <w:p w14:paraId="30B2D729">
                  <w:pPr>
                    <w:keepNext w:val="0"/>
                    <w:keepLines w:val="0"/>
                    <w:suppressLineNumbers w:val="0"/>
                    <w:spacing w:before="0" w:beforeAutospacing="0" w:after="0" w:afterAutospacing="0" w:line="240" w:lineRule="auto"/>
                    <w:ind w:left="0" w:right="0"/>
                    <w:jc w:val="center"/>
                    <w:rPr>
                      <w:rFonts w:hint="default"/>
                      <w:color w:val="auto"/>
                      <w:sz w:val="21"/>
                      <w:szCs w:val="21"/>
                      <w:highlight w:val="none"/>
                      <w:shd w:val="clear" w:color="auto" w:fill="auto"/>
                      <w:lang w:val="en-US" w:eastAsia="zh-CN"/>
                    </w:rPr>
                  </w:pPr>
                  <w:r>
                    <w:rPr>
                      <w:rFonts w:hint="eastAsia"/>
                      <w:color w:val="auto"/>
                      <w:sz w:val="21"/>
                      <w:szCs w:val="21"/>
                      <w:highlight w:val="none"/>
                      <w:lang w:val="en-US" w:eastAsia="zh-CN"/>
                    </w:rPr>
                    <w:t>桶装</w:t>
                  </w:r>
                </w:p>
              </w:tc>
              <w:tc>
                <w:tcPr>
                  <w:tcW w:w="341" w:type="pct"/>
                  <w:vMerge w:val="continue"/>
                  <w:noWrap w:val="0"/>
                  <w:tcMar>
                    <w:top w:w="0" w:type="dxa"/>
                    <w:left w:w="0" w:type="dxa"/>
                    <w:bottom w:w="0" w:type="dxa"/>
                    <w:right w:w="0" w:type="dxa"/>
                  </w:tcMar>
                  <w:vAlign w:val="center"/>
                </w:tcPr>
                <w:p w14:paraId="4A4528A2">
                  <w:pPr>
                    <w:pStyle w:val="59"/>
                    <w:keepNext w:val="0"/>
                    <w:keepLines w:val="0"/>
                    <w:suppressLineNumbers w:val="0"/>
                    <w:spacing w:before="0" w:beforeAutospacing="0" w:after="0" w:afterAutospacing="0" w:line="240" w:lineRule="auto"/>
                    <w:ind w:left="0" w:right="0"/>
                    <w:rPr>
                      <w:rFonts w:hint="default"/>
                      <w:color w:val="auto"/>
                      <w:sz w:val="21"/>
                      <w:szCs w:val="21"/>
                      <w:highlight w:val="none"/>
                    </w:rPr>
                  </w:pPr>
                </w:p>
              </w:tc>
              <w:tc>
                <w:tcPr>
                  <w:tcW w:w="402" w:type="pct"/>
                  <w:vMerge w:val="continue"/>
                  <w:noWrap w:val="0"/>
                  <w:tcMar>
                    <w:top w:w="0" w:type="dxa"/>
                    <w:left w:w="0" w:type="dxa"/>
                    <w:bottom w:w="0" w:type="dxa"/>
                    <w:right w:w="0" w:type="dxa"/>
                  </w:tcMar>
                  <w:vAlign w:val="center"/>
                </w:tcPr>
                <w:p w14:paraId="34E7F7A0">
                  <w:pPr>
                    <w:pStyle w:val="59"/>
                    <w:keepNext w:val="0"/>
                    <w:keepLines w:val="0"/>
                    <w:suppressLineNumbers w:val="0"/>
                    <w:spacing w:before="0" w:beforeAutospacing="0" w:after="0" w:afterAutospacing="0" w:line="240" w:lineRule="auto"/>
                    <w:ind w:left="0" w:right="0"/>
                    <w:rPr>
                      <w:rFonts w:hint="default"/>
                      <w:color w:val="auto"/>
                      <w:sz w:val="21"/>
                      <w:szCs w:val="21"/>
                      <w:highlight w:val="none"/>
                    </w:rPr>
                  </w:pPr>
                </w:p>
              </w:tc>
              <w:tc>
                <w:tcPr>
                  <w:tcW w:w="412" w:type="pct"/>
                  <w:vMerge w:val="continue"/>
                  <w:noWrap w:val="0"/>
                  <w:tcMar>
                    <w:top w:w="0" w:type="dxa"/>
                    <w:left w:w="0" w:type="dxa"/>
                    <w:bottom w:w="0" w:type="dxa"/>
                    <w:right w:w="0" w:type="dxa"/>
                  </w:tcMar>
                  <w:vAlign w:val="center"/>
                </w:tcPr>
                <w:p w14:paraId="49AECFE2">
                  <w:pPr>
                    <w:pStyle w:val="59"/>
                    <w:keepNext w:val="0"/>
                    <w:keepLines w:val="0"/>
                    <w:suppressLineNumbers w:val="0"/>
                    <w:spacing w:before="0" w:beforeAutospacing="0" w:after="0" w:afterAutospacing="0" w:line="240" w:lineRule="auto"/>
                    <w:ind w:left="0" w:right="0"/>
                    <w:rPr>
                      <w:rFonts w:hint="default"/>
                      <w:color w:val="auto"/>
                      <w:sz w:val="21"/>
                      <w:szCs w:val="21"/>
                      <w:highlight w:val="none"/>
                    </w:rPr>
                  </w:pPr>
                </w:p>
              </w:tc>
            </w:tr>
            <w:tr w14:paraId="674098D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4" w:type="pct"/>
                  <w:noWrap w:val="0"/>
                  <w:tcMar>
                    <w:top w:w="0" w:type="dxa"/>
                    <w:left w:w="0" w:type="dxa"/>
                    <w:bottom w:w="0" w:type="dxa"/>
                    <w:right w:w="0" w:type="dxa"/>
                  </w:tcMar>
                  <w:vAlign w:val="center"/>
                </w:tcPr>
                <w:p w14:paraId="3B5621EE">
                  <w:pPr>
                    <w:keepNext w:val="0"/>
                    <w:keepLines w:val="0"/>
                    <w:suppressLineNumbers w:val="0"/>
                    <w:spacing w:before="0" w:beforeAutospacing="0" w:after="0" w:afterAutospacing="0" w:line="240" w:lineRule="auto"/>
                    <w:ind w:left="0" w:right="0"/>
                    <w:jc w:val="center"/>
                    <w:rPr>
                      <w:rFonts w:hint="default" w:eastAsia="宋体"/>
                      <w:color w:val="auto"/>
                      <w:kern w:val="0"/>
                      <w:sz w:val="21"/>
                      <w:szCs w:val="21"/>
                      <w:highlight w:val="none"/>
                      <w:lang w:val="en-US" w:eastAsia="zh-CN" w:bidi="ar-SA"/>
                    </w:rPr>
                  </w:pPr>
                  <w:r>
                    <w:rPr>
                      <w:rFonts w:hint="eastAsia" w:eastAsia="宋体"/>
                      <w:color w:val="auto"/>
                      <w:kern w:val="0"/>
                      <w:sz w:val="21"/>
                      <w:szCs w:val="21"/>
                      <w:highlight w:val="none"/>
                      <w:lang w:val="en-US" w:eastAsia="zh-CN" w:bidi="ar-SA"/>
                    </w:rPr>
                    <w:t>7</w:t>
                  </w:r>
                </w:p>
              </w:tc>
              <w:tc>
                <w:tcPr>
                  <w:tcW w:w="638" w:type="pct"/>
                  <w:noWrap w:val="0"/>
                  <w:tcMar>
                    <w:top w:w="0" w:type="dxa"/>
                    <w:left w:w="0" w:type="dxa"/>
                    <w:bottom w:w="0" w:type="dxa"/>
                    <w:right w:w="0" w:type="dxa"/>
                  </w:tcMar>
                  <w:vAlign w:val="center"/>
                </w:tcPr>
                <w:p w14:paraId="7856BA12">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eastAsia="宋体"/>
                      <w:color w:val="auto"/>
                      <w:kern w:val="2"/>
                      <w:sz w:val="21"/>
                      <w:szCs w:val="21"/>
                      <w:highlight w:val="none"/>
                      <w:lang w:val="en-US" w:eastAsia="zh-CN" w:bidi="ar-SA"/>
                    </w:rPr>
                  </w:pPr>
                  <w:r>
                    <w:rPr>
                      <w:rFonts w:hint="eastAsia" w:cs="Times New Roman"/>
                      <w:color w:val="auto"/>
                      <w:kern w:val="0"/>
                      <w:szCs w:val="21"/>
                      <w:highlight w:val="none"/>
                      <w:lang w:val="en-US" w:eastAsia="zh-CN" w:bidi="ar"/>
                    </w:rPr>
                    <w:t>蛋白纯化废滤芯</w:t>
                  </w:r>
                </w:p>
              </w:tc>
              <w:tc>
                <w:tcPr>
                  <w:tcW w:w="1011" w:type="pct"/>
                  <w:noWrap w:val="0"/>
                  <w:tcMar>
                    <w:top w:w="0" w:type="dxa"/>
                    <w:left w:w="0" w:type="dxa"/>
                    <w:bottom w:w="0" w:type="dxa"/>
                    <w:right w:w="0" w:type="dxa"/>
                  </w:tcMar>
                  <w:vAlign w:val="center"/>
                </w:tcPr>
                <w:p w14:paraId="29F5EE05">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eastAsia="宋体"/>
                      <w:snapToGrid w:val="0"/>
                      <w:color w:val="auto"/>
                      <w:kern w:val="0"/>
                      <w:sz w:val="21"/>
                      <w:szCs w:val="21"/>
                      <w:highlight w:val="none"/>
                      <w:lang w:val="en-US" w:eastAsia="zh-CN" w:bidi="ar-SA"/>
                    </w:rPr>
                  </w:pPr>
                  <w:r>
                    <w:rPr>
                      <w:rFonts w:hint="eastAsia" w:cs="Times New Roman"/>
                      <w:snapToGrid w:val="0"/>
                      <w:color w:val="auto"/>
                      <w:kern w:val="0"/>
                      <w:szCs w:val="21"/>
                      <w:highlight w:val="none"/>
                      <w:lang w:val="en-US" w:eastAsia="zh-CN"/>
                    </w:rPr>
                    <w:t>蛋白纯化</w:t>
                  </w:r>
                </w:p>
              </w:tc>
              <w:tc>
                <w:tcPr>
                  <w:tcW w:w="213" w:type="pct"/>
                  <w:vMerge w:val="continue"/>
                  <w:noWrap w:val="0"/>
                  <w:tcMar>
                    <w:top w:w="0" w:type="dxa"/>
                    <w:left w:w="0" w:type="dxa"/>
                    <w:bottom w:w="0" w:type="dxa"/>
                    <w:right w:w="0" w:type="dxa"/>
                  </w:tcMar>
                  <w:vAlign w:val="center"/>
                </w:tcPr>
                <w:p w14:paraId="5A98E8AA">
                  <w:pPr>
                    <w:pStyle w:val="59"/>
                    <w:keepNext w:val="0"/>
                    <w:keepLines w:val="0"/>
                    <w:suppressLineNumbers w:val="0"/>
                    <w:spacing w:before="0" w:beforeAutospacing="0" w:after="0" w:afterAutospacing="0" w:line="240" w:lineRule="auto"/>
                    <w:ind w:left="0" w:right="0"/>
                    <w:rPr>
                      <w:rFonts w:hint="default"/>
                      <w:snapToGrid w:val="0"/>
                      <w:color w:val="auto"/>
                      <w:sz w:val="21"/>
                      <w:szCs w:val="21"/>
                      <w:highlight w:val="none"/>
                    </w:rPr>
                  </w:pPr>
                </w:p>
              </w:tc>
              <w:tc>
                <w:tcPr>
                  <w:tcW w:w="468" w:type="pct"/>
                  <w:noWrap w:val="0"/>
                  <w:tcMar>
                    <w:top w:w="0" w:type="dxa"/>
                    <w:left w:w="0" w:type="dxa"/>
                    <w:bottom w:w="0" w:type="dxa"/>
                    <w:right w:w="0" w:type="dxa"/>
                  </w:tcMar>
                  <w:vAlign w:val="center"/>
                </w:tcPr>
                <w:p w14:paraId="532870E8">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 xml:space="preserve">HW49 </w:t>
                  </w:r>
                </w:p>
              </w:tc>
              <w:tc>
                <w:tcPr>
                  <w:tcW w:w="478" w:type="pct"/>
                  <w:noWrap w:val="0"/>
                  <w:tcMar>
                    <w:top w:w="0" w:type="dxa"/>
                    <w:left w:w="0" w:type="dxa"/>
                    <w:bottom w:w="0" w:type="dxa"/>
                    <w:right w:w="0" w:type="dxa"/>
                  </w:tcMar>
                  <w:vAlign w:val="center"/>
                </w:tcPr>
                <w:p w14:paraId="34F0C2E1">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900-0</w:t>
                  </w:r>
                  <w:r>
                    <w:rPr>
                      <w:rFonts w:hint="eastAsia" w:ascii="Times New Roman" w:hAnsi="Times New Roman" w:eastAsia="宋体" w:cs="Times New Roman"/>
                      <w:color w:val="auto"/>
                      <w:szCs w:val="21"/>
                      <w:highlight w:val="none"/>
                      <w:lang w:val="en-US" w:eastAsia="zh-CN"/>
                    </w:rPr>
                    <w:t>47</w:t>
                  </w:r>
                  <w:r>
                    <w:rPr>
                      <w:rFonts w:hint="default" w:ascii="Times New Roman" w:hAnsi="Times New Roman" w:eastAsia="宋体" w:cs="Times New Roman"/>
                      <w:color w:val="auto"/>
                      <w:szCs w:val="21"/>
                      <w:highlight w:val="none"/>
                      <w:lang w:val="en-US" w:eastAsia="zh-CN"/>
                    </w:rPr>
                    <w:t>-49</w:t>
                  </w:r>
                </w:p>
              </w:tc>
              <w:tc>
                <w:tcPr>
                  <w:tcW w:w="361" w:type="pct"/>
                  <w:noWrap w:val="0"/>
                  <w:tcMar>
                    <w:top w:w="0" w:type="dxa"/>
                    <w:left w:w="0" w:type="dxa"/>
                    <w:bottom w:w="0" w:type="dxa"/>
                    <w:right w:w="0" w:type="dxa"/>
                  </w:tcMar>
                  <w:vAlign w:val="center"/>
                </w:tcPr>
                <w:p w14:paraId="1E54FD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olor w:val="auto"/>
                      <w:kern w:val="2"/>
                      <w:sz w:val="21"/>
                      <w:szCs w:val="21"/>
                      <w:highlight w:val="none"/>
                      <w:lang w:val="en-US" w:eastAsia="zh-CN" w:bidi="ar-SA"/>
                    </w:rPr>
                  </w:pPr>
                </w:p>
              </w:tc>
              <w:tc>
                <w:tcPr>
                  <w:tcW w:w="488" w:type="pct"/>
                  <w:noWrap w:val="0"/>
                  <w:tcMar>
                    <w:top w:w="0" w:type="dxa"/>
                    <w:left w:w="0" w:type="dxa"/>
                    <w:bottom w:w="0" w:type="dxa"/>
                    <w:right w:w="0" w:type="dxa"/>
                  </w:tcMar>
                  <w:vAlign w:val="center"/>
                </w:tcPr>
                <w:p w14:paraId="410FDE0A">
                  <w:pPr>
                    <w:keepNext w:val="0"/>
                    <w:keepLines w:val="0"/>
                    <w:suppressLineNumbers w:val="0"/>
                    <w:spacing w:before="0" w:beforeAutospacing="0" w:after="0" w:afterAutospacing="0" w:line="240" w:lineRule="auto"/>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桶装</w:t>
                  </w:r>
                </w:p>
              </w:tc>
              <w:tc>
                <w:tcPr>
                  <w:tcW w:w="341" w:type="pct"/>
                  <w:vMerge w:val="continue"/>
                  <w:noWrap w:val="0"/>
                  <w:tcMar>
                    <w:top w:w="0" w:type="dxa"/>
                    <w:left w:w="0" w:type="dxa"/>
                    <w:bottom w:w="0" w:type="dxa"/>
                    <w:right w:w="0" w:type="dxa"/>
                  </w:tcMar>
                  <w:vAlign w:val="center"/>
                </w:tcPr>
                <w:p w14:paraId="608A7767">
                  <w:pPr>
                    <w:pStyle w:val="59"/>
                    <w:keepNext w:val="0"/>
                    <w:keepLines w:val="0"/>
                    <w:suppressLineNumbers w:val="0"/>
                    <w:spacing w:before="0" w:beforeAutospacing="0" w:after="0" w:afterAutospacing="0" w:line="240" w:lineRule="auto"/>
                    <w:ind w:left="0" w:right="0"/>
                    <w:rPr>
                      <w:rFonts w:hint="default"/>
                      <w:color w:val="auto"/>
                      <w:kern w:val="2"/>
                      <w:sz w:val="21"/>
                      <w:szCs w:val="21"/>
                      <w:highlight w:val="none"/>
                      <w:lang w:val="en-US" w:eastAsia="zh-CN" w:bidi="ar-SA"/>
                    </w:rPr>
                  </w:pPr>
                </w:p>
              </w:tc>
              <w:tc>
                <w:tcPr>
                  <w:tcW w:w="402" w:type="pct"/>
                  <w:vMerge w:val="continue"/>
                  <w:noWrap w:val="0"/>
                  <w:tcMar>
                    <w:top w:w="0" w:type="dxa"/>
                    <w:left w:w="0" w:type="dxa"/>
                    <w:bottom w:w="0" w:type="dxa"/>
                    <w:right w:w="0" w:type="dxa"/>
                  </w:tcMar>
                  <w:vAlign w:val="center"/>
                </w:tcPr>
                <w:p w14:paraId="22B02E61">
                  <w:pPr>
                    <w:pStyle w:val="59"/>
                    <w:keepNext w:val="0"/>
                    <w:keepLines w:val="0"/>
                    <w:suppressLineNumbers w:val="0"/>
                    <w:spacing w:before="0" w:beforeAutospacing="0" w:after="0" w:afterAutospacing="0" w:line="240" w:lineRule="auto"/>
                    <w:ind w:left="0" w:right="0"/>
                    <w:rPr>
                      <w:rFonts w:hint="default"/>
                      <w:color w:val="auto"/>
                      <w:kern w:val="2"/>
                      <w:sz w:val="21"/>
                      <w:szCs w:val="21"/>
                      <w:highlight w:val="none"/>
                      <w:lang w:val="en-US" w:eastAsia="zh-CN" w:bidi="ar-SA"/>
                    </w:rPr>
                  </w:pPr>
                </w:p>
              </w:tc>
              <w:tc>
                <w:tcPr>
                  <w:tcW w:w="412" w:type="pct"/>
                  <w:vMerge w:val="continue"/>
                  <w:noWrap w:val="0"/>
                  <w:tcMar>
                    <w:top w:w="0" w:type="dxa"/>
                    <w:left w:w="0" w:type="dxa"/>
                    <w:bottom w:w="0" w:type="dxa"/>
                    <w:right w:w="0" w:type="dxa"/>
                  </w:tcMar>
                  <w:vAlign w:val="center"/>
                </w:tcPr>
                <w:p w14:paraId="70E88257">
                  <w:pPr>
                    <w:pStyle w:val="59"/>
                    <w:keepNext w:val="0"/>
                    <w:keepLines w:val="0"/>
                    <w:suppressLineNumbers w:val="0"/>
                    <w:spacing w:before="0" w:beforeAutospacing="0" w:after="0" w:afterAutospacing="0" w:line="240" w:lineRule="auto"/>
                    <w:ind w:left="0" w:right="0"/>
                    <w:rPr>
                      <w:rFonts w:hint="default"/>
                      <w:color w:val="auto"/>
                      <w:kern w:val="2"/>
                      <w:sz w:val="21"/>
                      <w:szCs w:val="21"/>
                      <w:highlight w:val="none"/>
                      <w:lang w:val="en-US" w:eastAsia="zh-CN" w:bidi="ar-SA"/>
                    </w:rPr>
                  </w:pPr>
                </w:p>
              </w:tc>
            </w:tr>
            <w:tr w14:paraId="1F903CF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4" w:type="pct"/>
                  <w:noWrap w:val="0"/>
                  <w:tcMar>
                    <w:top w:w="0" w:type="dxa"/>
                    <w:left w:w="0" w:type="dxa"/>
                    <w:bottom w:w="0" w:type="dxa"/>
                    <w:right w:w="0" w:type="dxa"/>
                  </w:tcMar>
                  <w:vAlign w:val="center"/>
                </w:tcPr>
                <w:p w14:paraId="2D1EDAF6">
                  <w:pPr>
                    <w:keepNext w:val="0"/>
                    <w:keepLines w:val="0"/>
                    <w:suppressLineNumbers w:val="0"/>
                    <w:spacing w:before="0" w:beforeAutospacing="0" w:after="0" w:afterAutospacing="0" w:line="240" w:lineRule="auto"/>
                    <w:ind w:left="0" w:right="0"/>
                    <w:jc w:val="center"/>
                    <w:rPr>
                      <w:rFonts w:hint="default" w:eastAsia="宋体"/>
                      <w:color w:val="auto"/>
                      <w:kern w:val="0"/>
                      <w:sz w:val="21"/>
                      <w:szCs w:val="21"/>
                      <w:highlight w:val="none"/>
                      <w:lang w:val="en-US" w:eastAsia="zh-CN" w:bidi="ar-SA"/>
                    </w:rPr>
                  </w:pPr>
                  <w:r>
                    <w:rPr>
                      <w:rFonts w:hint="eastAsia" w:eastAsia="宋体"/>
                      <w:color w:val="auto"/>
                      <w:kern w:val="0"/>
                      <w:sz w:val="21"/>
                      <w:szCs w:val="21"/>
                      <w:highlight w:val="none"/>
                      <w:lang w:val="en-US" w:eastAsia="zh-CN" w:bidi="ar-SA"/>
                    </w:rPr>
                    <w:t>8</w:t>
                  </w:r>
                </w:p>
              </w:tc>
              <w:tc>
                <w:tcPr>
                  <w:tcW w:w="638" w:type="pct"/>
                  <w:noWrap w:val="0"/>
                  <w:tcMar>
                    <w:top w:w="0" w:type="dxa"/>
                    <w:left w:w="0" w:type="dxa"/>
                    <w:bottom w:w="0" w:type="dxa"/>
                    <w:right w:w="0" w:type="dxa"/>
                  </w:tcMar>
                  <w:vAlign w:val="center"/>
                </w:tcPr>
                <w:p w14:paraId="2207B2CC">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宋体" w:hAnsi="宋体" w:cs="宋体"/>
                      <w:color w:val="auto"/>
                      <w:kern w:val="0"/>
                      <w:sz w:val="21"/>
                      <w:szCs w:val="21"/>
                      <w:highlight w:val="none"/>
                      <w:lang w:val="en-US" w:eastAsia="zh-CN" w:bidi="ar"/>
                    </w:rPr>
                  </w:pPr>
                  <w:r>
                    <w:rPr>
                      <w:rFonts w:hint="eastAsia" w:cs="Times New Roman"/>
                      <w:color w:val="auto"/>
                      <w:kern w:val="0"/>
                      <w:szCs w:val="21"/>
                      <w:highlight w:val="none"/>
                      <w:lang w:val="en-US" w:eastAsia="zh-CN" w:bidi="ar"/>
                    </w:rPr>
                    <w:t>废活性炭</w:t>
                  </w:r>
                </w:p>
              </w:tc>
              <w:tc>
                <w:tcPr>
                  <w:tcW w:w="1011" w:type="pct"/>
                  <w:tcBorders>
                    <w:bottom w:val="single" w:color="auto" w:sz="4" w:space="0"/>
                  </w:tcBorders>
                  <w:noWrap w:val="0"/>
                  <w:tcMar>
                    <w:top w:w="0" w:type="dxa"/>
                    <w:left w:w="0" w:type="dxa"/>
                    <w:bottom w:w="0" w:type="dxa"/>
                    <w:right w:w="0" w:type="dxa"/>
                  </w:tcMar>
                  <w:vAlign w:val="center"/>
                </w:tcPr>
                <w:p w14:paraId="10F1CCCF">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olor w:val="auto"/>
                      <w:kern w:val="2"/>
                      <w:sz w:val="21"/>
                      <w:szCs w:val="21"/>
                      <w:highlight w:val="none"/>
                      <w:lang w:val="en-US" w:eastAsia="zh-CN"/>
                    </w:rPr>
                  </w:pPr>
                  <w:r>
                    <w:rPr>
                      <w:rFonts w:hint="eastAsia" w:cs="Times New Roman"/>
                      <w:snapToGrid w:val="0"/>
                      <w:color w:val="auto"/>
                      <w:kern w:val="0"/>
                      <w:szCs w:val="21"/>
                      <w:highlight w:val="none"/>
                      <w:lang w:val="en-US" w:eastAsia="zh-CN"/>
                    </w:rPr>
                    <w:t>废气处理</w:t>
                  </w:r>
                </w:p>
              </w:tc>
              <w:tc>
                <w:tcPr>
                  <w:tcW w:w="213" w:type="pct"/>
                  <w:vMerge w:val="continue"/>
                  <w:tcBorders>
                    <w:bottom w:val="single" w:color="auto" w:sz="4" w:space="0"/>
                  </w:tcBorders>
                  <w:noWrap w:val="0"/>
                  <w:tcMar>
                    <w:top w:w="0" w:type="dxa"/>
                    <w:left w:w="0" w:type="dxa"/>
                    <w:bottom w:w="0" w:type="dxa"/>
                    <w:right w:w="0" w:type="dxa"/>
                  </w:tcMar>
                  <w:vAlign w:val="center"/>
                </w:tcPr>
                <w:p w14:paraId="1EDA21B8">
                  <w:pPr>
                    <w:pStyle w:val="59"/>
                    <w:keepNext w:val="0"/>
                    <w:keepLines w:val="0"/>
                    <w:suppressLineNumbers w:val="0"/>
                    <w:spacing w:before="0" w:beforeAutospacing="0" w:after="0" w:afterAutospacing="0" w:line="240" w:lineRule="auto"/>
                    <w:ind w:left="0" w:right="0"/>
                    <w:rPr>
                      <w:rFonts w:hint="eastAsia"/>
                      <w:snapToGrid w:val="0"/>
                      <w:color w:val="auto"/>
                      <w:sz w:val="21"/>
                      <w:szCs w:val="21"/>
                      <w:highlight w:val="none"/>
                      <w:lang w:eastAsia="zh-CN"/>
                    </w:rPr>
                  </w:pPr>
                </w:p>
              </w:tc>
              <w:tc>
                <w:tcPr>
                  <w:tcW w:w="468" w:type="pct"/>
                  <w:tcBorders>
                    <w:bottom w:val="single" w:color="auto" w:sz="4" w:space="0"/>
                  </w:tcBorders>
                  <w:noWrap w:val="0"/>
                  <w:tcMar>
                    <w:top w:w="0" w:type="dxa"/>
                    <w:left w:w="0" w:type="dxa"/>
                    <w:bottom w:w="0" w:type="dxa"/>
                    <w:right w:w="0" w:type="dxa"/>
                  </w:tcMar>
                  <w:vAlign w:val="center"/>
                </w:tcPr>
                <w:p w14:paraId="14D70CC5">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cs="Times New Roman"/>
                      <w:bCs/>
                      <w:color w:val="auto"/>
                      <w:kern w:val="2"/>
                      <w:sz w:val="21"/>
                      <w:szCs w:val="21"/>
                      <w:highlight w:val="none"/>
                      <w:lang w:val="en-US" w:eastAsia="zh-CN" w:bidi="ar-SA"/>
                    </w:rPr>
                  </w:pPr>
                  <w:r>
                    <w:rPr>
                      <w:rFonts w:hint="eastAsia" w:cs="Times New Roman"/>
                      <w:color w:val="auto"/>
                      <w:szCs w:val="21"/>
                      <w:highlight w:val="none"/>
                      <w:lang w:val="en-US" w:eastAsia="zh-CN"/>
                    </w:rPr>
                    <w:t>HW49</w:t>
                  </w:r>
                </w:p>
              </w:tc>
              <w:tc>
                <w:tcPr>
                  <w:tcW w:w="478" w:type="pct"/>
                  <w:noWrap w:val="0"/>
                  <w:tcMar>
                    <w:top w:w="0" w:type="dxa"/>
                    <w:left w:w="0" w:type="dxa"/>
                    <w:bottom w:w="0" w:type="dxa"/>
                    <w:right w:w="0" w:type="dxa"/>
                  </w:tcMar>
                  <w:vAlign w:val="center"/>
                </w:tcPr>
                <w:p w14:paraId="5A36F500">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cs="Times New Roman"/>
                      <w:bCs/>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900-039-49</w:t>
                  </w:r>
                </w:p>
              </w:tc>
              <w:tc>
                <w:tcPr>
                  <w:tcW w:w="361" w:type="pct"/>
                  <w:noWrap w:val="0"/>
                  <w:tcMar>
                    <w:top w:w="0" w:type="dxa"/>
                    <w:left w:w="0" w:type="dxa"/>
                    <w:bottom w:w="0" w:type="dxa"/>
                    <w:right w:w="0" w:type="dxa"/>
                  </w:tcMar>
                  <w:vAlign w:val="center"/>
                </w:tcPr>
                <w:p w14:paraId="5F48410D">
                  <w:pPr>
                    <w:keepNext w:val="0"/>
                    <w:keepLines w:val="0"/>
                    <w:widowControl/>
                    <w:suppressLineNumbers w:val="0"/>
                    <w:spacing w:before="0" w:beforeAutospacing="0" w:after="0" w:afterAutospacing="0"/>
                    <w:ind w:left="0" w:leftChars="0" w:right="0" w:rightChars="0"/>
                    <w:jc w:val="center"/>
                    <w:textAlignment w:val="center"/>
                    <w:rPr>
                      <w:rFonts w:hint="default" w:eastAsia="宋体"/>
                      <w:color w:val="auto"/>
                      <w:kern w:val="2"/>
                      <w:sz w:val="21"/>
                      <w:szCs w:val="21"/>
                      <w:highlight w:val="none"/>
                      <w:lang w:val="en-US" w:eastAsia="zh-CN" w:bidi="ar-SA"/>
                    </w:rPr>
                  </w:pPr>
                  <w:r>
                    <w:rPr>
                      <w:rFonts w:hint="eastAsia" w:cs="Times New Roman"/>
                      <w:color w:val="auto"/>
                      <w:szCs w:val="21"/>
                      <w:highlight w:val="none"/>
                      <w:lang w:val="en-US" w:eastAsia="zh-CN"/>
                    </w:rPr>
                    <w:t>1.841</w:t>
                  </w:r>
                </w:p>
              </w:tc>
              <w:tc>
                <w:tcPr>
                  <w:tcW w:w="488" w:type="pct"/>
                  <w:noWrap w:val="0"/>
                  <w:tcMar>
                    <w:top w:w="0" w:type="dxa"/>
                    <w:left w:w="0" w:type="dxa"/>
                    <w:bottom w:w="0" w:type="dxa"/>
                    <w:right w:w="0" w:type="dxa"/>
                  </w:tcMar>
                  <w:vAlign w:val="center"/>
                </w:tcPr>
                <w:p w14:paraId="2A612043">
                  <w:pPr>
                    <w:keepNext w:val="0"/>
                    <w:keepLines w:val="0"/>
                    <w:suppressLineNumbers w:val="0"/>
                    <w:spacing w:before="0" w:beforeAutospacing="0" w:after="0" w:afterAutospacing="0" w:line="240" w:lineRule="auto"/>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袋装</w:t>
                  </w:r>
                </w:p>
              </w:tc>
              <w:tc>
                <w:tcPr>
                  <w:tcW w:w="341" w:type="pct"/>
                  <w:vMerge w:val="continue"/>
                  <w:noWrap w:val="0"/>
                  <w:tcMar>
                    <w:top w:w="0" w:type="dxa"/>
                    <w:left w:w="0" w:type="dxa"/>
                    <w:bottom w:w="0" w:type="dxa"/>
                    <w:right w:w="0" w:type="dxa"/>
                  </w:tcMar>
                  <w:vAlign w:val="center"/>
                </w:tcPr>
                <w:p w14:paraId="103CECD5">
                  <w:pPr>
                    <w:pStyle w:val="59"/>
                    <w:keepNext w:val="0"/>
                    <w:keepLines w:val="0"/>
                    <w:suppressLineNumbers w:val="0"/>
                    <w:spacing w:before="0" w:beforeAutospacing="0" w:after="0" w:afterAutospacing="0" w:line="240" w:lineRule="auto"/>
                    <w:ind w:left="0" w:right="0"/>
                    <w:rPr>
                      <w:rFonts w:hint="default"/>
                      <w:color w:val="auto"/>
                      <w:sz w:val="21"/>
                      <w:szCs w:val="21"/>
                      <w:highlight w:val="none"/>
                    </w:rPr>
                  </w:pPr>
                </w:p>
              </w:tc>
              <w:tc>
                <w:tcPr>
                  <w:tcW w:w="402" w:type="pct"/>
                  <w:vMerge w:val="continue"/>
                  <w:noWrap w:val="0"/>
                  <w:tcMar>
                    <w:top w:w="0" w:type="dxa"/>
                    <w:left w:w="0" w:type="dxa"/>
                    <w:bottom w:w="0" w:type="dxa"/>
                    <w:right w:w="0" w:type="dxa"/>
                  </w:tcMar>
                  <w:vAlign w:val="center"/>
                </w:tcPr>
                <w:p w14:paraId="3D7DAE5C">
                  <w:pPr>
                    <w:pStyle w:val="59"/>
                    <w:keepNext w:val="0"/>
                    <w:keepLines w:val="0"/>
                    <w:suppressLineNumbers w:val="0"/>
                    <w:spacing w:before="0" w:beforeAutospacing="0" w:after="0" w:afterAutospacing="0" w:line="240" w:lineRule="auto"/>
                    <w:ind w:left="0" w:right="0"/>
                    <w:rPr>
                      <w:rFonts w:hint="default"/>
                      <w:color w:val="auto"/>
                      <w:sz w:val="21"/>
                      <w:szCs w:val="21"/>
                      <w:highlight w:val="none"/>
                    </w:rPr>
                  </w:pPr>
                </w:p>
              </w:tc>
              <w:tc>
                <w:tcPr>
                  <w:tcW w:w="412" w:type="pct"/>
                  <w:vMerge w:val="continue"/>
                  <w:noWrap w:val="0"/>
                  <w:tcMar>
                    <w:top w:w="0" w:type="dxa"/>
                    <w:left w:w="0" w:type="dxa"/>
                    <w:bottom w:w="0" w:type="dxa"/>
                    <w:right w:w="0" w:type="dxa"/>
                  </w:tcMar>
                  <w:vAlign w:val="center"/>
                </w:tcPr>
                <w:p w14:paraId="364B3FD7">
                  <w:pPr>
                    <w:pStyle w:val="59"/>
                    <w:keepNext w:val="0"/>
                    <w:keepLines w:val="0"/>
                    <w:suppressLineNumbers w:val="0"/>
                    <w:spacing w:before="0" w:beforeAutospacing="0" w:after="0" w:afterAutospacing="0" w:line="240" w:lineRule="auto"/>
                    <w:ind w:left="0" w:right="0"/>
                    <w:rPr>
                      <w:rFonts w:hint="default"/>
                      <w:color w:val="auto"/>
                      <w:sz w:val="21"/>
                      <w:szCs w:val="21"/>
                      <w:highlight w:val="none"/>
                    </w:rPr>
                  </w:pPr>
                </w:p>
              </w:tc>
            </w:tr>
            <w:tr w14:paraId="5A80686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4" w:type="pct"/>
                  <w:noWrap w:val="0"/>
                  <w:tcMar>
                    <w:top w:w="0" w:type="dxa"/>
                    <w:left w:w="0" w:type="dxa"/>
                    <w:bottom w:w="0" w:type="dxa"/>
                    <w:right w:w="0" w:type="dxa"/>
                  </w:tcMar>
                  <w:vAlign w:val="center"/>
                </w:tcPr>
                <w:p w14:paraId="69052D95">
                  <w:pPr>
                    <w:keepNext w:val="0"/>
                    <w:keepLines w:val="0"/>
                    <w:suppressLineNumbers w:val="0"/>
                    <w:spacing w:before="0" w:beforeAutospacing="0" w:after="0" w:afterAutospacing="0" w:line="240" w:lineRule="auto"/>
                    <w:ind w:left="0" w:right="0"/>
                    <w:jc w:val="center"/>
                    <w:rPr>
                      <w:rFonts w:hint="default" w:eastAsia="宋体"/>
                      <w:color w:val="auto"/>
                      <w:kern w:val="0"/>
                      <w:sz w:val="21"/>
                      <w:szCs w:val="21"/>
                      <w:highlight w:val="none"/>
                      <w:lang w:val="en-US" w:eastAsia="zh-CN" w:bidi="ar-SA"/>
                    </w:rPr>
                  </w:pPr>
                  <w:r>
                    <w:rPr>
                      <w:rFonts w:hint="eastAsia"/>
                      <w:color w:val="auto"/>
                      <w:kern w:val="0"/>
                      <w:sz w:val="21"/>
                      <w:szCs w:val="21"/>
                      <w:highlight w:val="none"/>
                      <w:lang w:val="en-US" w:eastAsia="zh-CN" w:bidi="ar-SA"/>
                    </w:rPr>
                    <w:t>9</w:t>
                  </w:r>
                </w:p>
              </w:tc>
              <w:tc>
                <w:tcPr>
                  <w:tcW w:w="638" w:type="pct"/>
                  <w:noWrap w:val="0"/>
                  <w:tcMar>
                    <w:top w:w="0" w:type="dxa"/>
                    <w:left w:w="0" w:type="dxa"/>
                    <w:bottom w:w="0" w:type="dxa"/>
                    <w:right w:w="0" w:type="dxa"/>
                  </w:tcMar>
                  <w:vAlign w:val="center"/>
                </w:tcPr>
                <w:p w14:paraId="6B1FF52C">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bidi="ar"/>
                    </w:rPr>
                    <w:t>生活垃圾</w:t>
                  </w:r>
                </w:p>
              </w:tc>
              <w:tc>
                <w:tcPr>
                  <w:tcW w:w="1011" w:type="pct"/>
                  <w:tcBorders>
                    <w:top w:val="single" w:color="auto" w:sz="4" w:space="0"/>
                  </w:tcBorders>
                  <w:noWrap w:val="0"/>
                  <w:tcMar>
                    <w:top w:w="0" w:type="dxa"/>
                    <w:left w:w="0" w:type="dxa"/>
                    <w:bottom w:w="0" w:type="dxa"/>
                    <w:right w:w="0" w:type="dxa"/>
                  </w:tcMar>
                  <w:vAlign w:val="center"/>
                </w:tcPr>
                <w:p w14:paraId="30CCA61F">
                  <w:pPr>
                    <w:keepNext w:val="0"/>
                    <w:keepLines w:val="0"/>
                    <w:suppressLineNumbers w:val="0"/>
                    <w:spacing w:before="0" w:beforeAutospacing="0" w:after="0" w:afterAutospacing="0" w:line="240" w:lineRule="auto"/>
                    <w:ind w:left="0" w:right="0"/>
                    <w:jc w:val="center"/>
                    <w:rPr>
                      <w:rFonts w:hint="default"/>
                      <w:color w:val="auto"/>
                      <w:kern w:val="2"/>
                      <w:sz w:val="21"/>
                      <w:szCs w:val="21"/>
                      <w:highlight w:val="none"/>
                      <w:lang w:val="en-US" w:eastAsia="zh-CN" w:bidi="ar-SA"/>
                    </w:rPr>
                  </w:pPr>
                  <w:r>
                    <w:rPr>
                      <w:rFonts w:hint="eastAsia"/>
                      <w:color w:val="auto"/>
                      <w:sz w:val="21"/>
                      <w:szCs w:val="21"/>
                      <w:highlight w:val="none"/>
                      <w:lang w:eastAsia="zh-CN"/>
                    </w:rPr>
                    <w:t>职</w:t>
                  </w:r>
                  <w:r>
                    <w:rPr>
                      <w:rFonts w:hint="default"/>
                      <w:color w:val="auto"/>
                      <w:sz w:val="21"/>
                      <w:szCs w:val="21"/>
                      <w:highlight w:val="none"/>
                    </w:rPr>
                    <w:t>工生活</w:t>
                  </w:r>
                </w:p>
              </w:tc>
              <w:tc>
                <w:tcPr>
                  <w:tcW w:w="213" w:type="pct"/>
                  <w:tcBorders>
                    <w:top w:val="single" w:color="auto" w:sz="4" w:space="0"/>
                  </w:tcBorders>
                  <w:noWrap w:val="0"/>
                  <w:tcMar>
                    <w:top w:w="0" w:type="dxa"/>
                    <w:left w:w="0" w:type="dxa"/>
                    <w:bottom w:w="0" w:type="dxa"/>
                    <w:right w:w="0" w:type="dxa"/>
                  </w:tcMar>
                  <w:vAlign w:val="center"/>
                </w:tcPr>
                <w:p w14:paraId="248C0E44">
                  <w:pPr>
                    <w:pStyle w:val="59"/>
                    <w:keepNext w:val="0"/>
                    <w:keepLines w:val="0"/>
                    <w:suppressLineNumbers w:val="0"/>
                    <w:spacing w:before="0" w:beforeAutospacing="0" w:after="0" w:afterAutospacing="0" w:line="240" w:lineRule="auto"/>
                    <w:ind w:left="0" w:right="0"/>
                    <w:rPr>
                      <w:rFonts w:hint="default"/>
                      <w:snapToGrid w:val="0"/>
                      <w:color w:val="auto"/>
                      <w:kern w:val="2"/>
                      <w:sz w:val="21"/>
                      <w:szCs w:val="21"/>
                      <w:highlight w:val="none"/>
                      <w:lang w:val="en-US" w:eastAsia="zh-CN" w:bidi="ar-SA"/>
                    </w:rPr>
                  </w:pPr>
                  <w:r>
                    <w:rPr>
                      <w:rFonts w:hint="eastAsia"/>
                      <w:snapToGrid w:val="0"/>
                      <w:color w:val="auto"/>
                      <w:sz w:val="21"/>
                      <w:szCs w:val="21"/>
                      <w:highlight w:val="none"/>
                      <w:lang w:eastAsia="zh-CN"/>
                    </w:rPr>
                    <w:t>一般固废</w:t>
                  </w:r>
                </w:p>
              </w:tc>
              <w:tc>
                <w:tcPr>
                  <w:tcW w:w="468" w:type="pct"/>
                  <w:tcBorders>
                    <w:top w:val="single" w:color="auto" w:sz="4" w:space="0"/>
                  </w:tcBorders>
                  <w:noWrap w:val="0"/>
                  <w:tcMar>
                    <w:top w:w="0" w:type="dxa"/>
                    <w:left w:w="0" w:type="dxa"/>
                    <w:bottom w:w="0" w:type="dxa"/>
                    <w:right w:w="0" w:type="dxa"/>
                  </w:tcMar>
                  <w:vAlign w:val="center"/>
                </w:tcPr>
                <w:p w14:paraId="33A810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SW64</w:t>
                  </w:r>
                </w:p>
              </w:tc>
              <w:tc>
                <w:tcPr>
                  <w:tcW w:w="478" w:type="pct"/>
                  <w:noWrap w:val="0"/>
                  <w:tcMar>
                    <w:top w:w="0" w:type="dxa"/>
                    <w:left w:w="0" w:type="dxa"/>
                    <w:bottom w:w="0" w:type="dxa"/>
                    <w:right w:w="0" w:type="dxa"/>
                  </w:tcMar>
                  <w:vAlign w:val="center"/>
                </w:tcPr>
                <w:p w14:paraId="60C6B6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900</w:t>
                  </w:r>
                  <w:r>
                    <w:rPr>
                      <w:rFonts w:hint="default" w:ascii="Times New Roman" w:hAnsi="Times New Roman" w:eastAsia="宋体" w:cs="Times New Roman"/>
                      <w:i w:val="0"/>
                      <w:color w:val="auto"/>
                      <w:kern w:val="0"/>
                      <w:sz w:val="21"/>
                      <w:szCs w:val="21"/>
                      <w:highlight w:val="none"/>
                      <w:u w:val="none"/>
                      <w:lang w:val="en-US" w:eastAsia="zh-CN" w:bidi="ar"/>
                    </w:rPr>
                    <w:t>-</w:t>
                  </w:r>
                  <w:r>
                    <w:rPr>
                      <w:rFonts w:hint="eastAsia" w:ascii="Times New Roman" w:hAnsi="Times New Roman" w:eastAsia="宋体" w:cs="Times New Roman"/>
                      <w:i w:val="0"/>
                      <w:color w:val="auto"/>
                      <w:kern w:val="0"/>
                      <w:sz w:val="21"/>
                      <w:szCs w:val="21"/>
                      <w:highlight w:val="none"/>
                      <w:u w:val="none"/>
                      <w:lang w:val="en-US" w:eastAsia="zh-CN" w:bidi="ar"/>
                    </w:rPr>
                    <w:t>099-S64</w:t>
                  </w:r>
                </w:p>
              </w:tc>
              <w:tc>
                <w:tcPr>
                  <w:tcW w:w="361" w:type="pct"/>
                  <w:noWrap w:val="0"/>
                  <w:tcMar>
                    <w:top w:w="0" w:type="dxa"/>
                    <w:left w:w="0" w:type="dxa"/>
                    <w:bottom w:w="0" w:type="dxa"/>
                    <w:right w:w="0" w:type="dxa"/>
                  </w:tcMar>
                  <w:vAlign w:val="center"/>
                </w:tcPr>
                <w:p w14:paraId="51CC85FB">
                  <w:pPr>
                    <w:keepNext w:val="0"/>
                    <w:keepLines w:val="0"/>
                    <w:widowControl/>
                    <w:suppressLineNumbers w:val="0"/>
                    <w:spacing w:before="0" w:beforeAutospacing="0" w:after="0" w:afterAutospacing="0"/>
                    <w:ind w:left="0" w:leftChars="0" w:right="0" w:rightChars="0"/>
                    <w:jc w:val="center"/>
                    <w:textAlignment w:val="center"/>
                    <w:rPr>
                      <w:rFonts w:hint="default" w:eastAsia="宋体"/>
                      <w:color w:val="auto"/>
                      <w:kern w:val="2"/>
                      <w:sz w:val="21"/>
                      <w:szCs w:val="21"/>
                      <w:highlight w:val="none"/>
                      <w:lang w:val="en-US" w:eastAsia="zh-CN" w:bidi="ar-SA"/>
                    </w:rPr>
                  </w:pPr>
                  <w:r>
                    <w:rPr>
                      <w:rFonts w:hint="eastAsia" w:cs="Times New Roman"/>
                      <w:color w:val="auto"/>
                      <w:szCs w:val="21"/>
                      <w:highlight w:val="none"/>
                      <w:lang w:val="en-US" w:eastAsia="zh-CN"/>
                    </w:rPr>
                    <w:t>3.075</w:t>
                  </w:r>
                </w:p>
              </w:tc>
              <w:tc>
                <w:tcPr>
                  <w:tcW w:w="488" w:type="pct"/>
                  <w:noWrap w:val="0"/>
                  <w:tcMar>
                    <w:top w:w="0" w:type="dxa"/>
                    <w:left w:w="0" w:type="dxa"/>
                    <w:bottom w:w="0" w:type="dxa"/>
                    <w:right w:w="0" w:type="dxa"/>
                  </w:tcMar>
                  <w:vAlign w:val="center"/>
                </w:tcPr>
                <w:p w14:paraId="28A57657">
                  <w:pPr>
                    <w:keepNext w:val="0"/>
                    <w:keepLines w:val="0"/>
                    <w:suppressLineNumbers w:val="0"/>
                    <w:spacing w:before="0" w:beforeAutospacing="0" w:after="0" w:afterAutospacing="0" w:line="240" w:lineRule="auto"/>
                    <w:ind w:left="0" w:right="0"/>
                    <w:jc w:val="center"/>
                    <w:rPr>
                      <w:rFonts w:hint="default"/>
                      <w:color w:val="auto"/>
                      <w:kern w:val="2"/>
                      <w:sz w:val="21"/>
                      <w:szCs w:val="21"/>
                      <w:highlight w:val="none"/>
                      <w:lang w:val="en-US" w:eastAsia="zh-CN" w:bidi="ar-SA"/>
                    </w:rPr>
                  </w:pPr>
                  <w:r>
                    <w:rPr>
                      <w:rFonts w:hint="eastAsia"/>
                      <w:color w:val="auto"/>
                      <w:kern w:val="2"/>
                      <w:sz w:val="21"/>
                      <w:szCs w:val="21"/>
                      <w:highlight w:val="none"/>
                      <w:lang w:val="en-US" w:eastAsia="zh-CN" w:bidi="ar-SA"/>
                    </w:rPr>
                    <w:t>桶装</w:t>
                  </w:r>
                </w:p>
              </w:tc>
              <w:tc>
                <w:tcPr>
                  <w:tcW w:w="341" w:type="pct"/>
                  <w:noWrap w:val="0"/>
                  <w:tcMar>
                    <w:top w:w="0" w:type="dxa"/>
                    <w:left w:w="0" w:type="dxa"/>
                    <w:bottom w:w="0" w:type="dxa"/>
                    <w:right w:w="0" w:type="dxa"/>
                  </w:tcMar>
                  <w:vAlign w:val="center"/>
                </w:tcPr>
                <w:p w14:paraId="5FF52219">
                  <w:pPr>
                    <w:pStyle w:val="59"/>
                    <w:keepNext w:val="0"/>
                    <w:keepLines w:val="0"/>
                    <w:suppressLineNumbers w:val="0"/>
                    <w:spacing w:before="0" w:beforeAutospacing="0" w:after="0" w:afterAutospacing="0" w:line="240" w:lineRule="auto"/>
                    <w:ind w:left="0" w:right="0"/>
                    <w:rPr>
                      <w:rFonts w:hint="default"/>
                      <w:color w:val="auto"/>
                      <w:sz w:val="21"/>
                      <w:szCs w:val="21"/>
                      <w:highlight w:val="none"/>
                    </w:rPr>
                  </w:pPr>
                  <w:r>
                    <w:rPr>
                      <w:rFonts w:hint="default"/>
                      <w:color w:val="auto"/>
                      <w:sz w:val="21"/>
                      <w:szCs w:val="21"/>
                      <w:highlight w:val="none"/>
                    </w:rPr>
                    <w:t>生活</w:t>
                  </w:r>
                </w:p>
                <w:p w14:paraId="09BA4F8F">
                  <w:pPr>
                    <w:pStyle w:val="59"/>
                    <w:keepNext w:val="0"/>
                    <w:keepLines w:val="0"/>
                    <w:suppressLineNumbers w:val="0"/>
                    <w:spacing w:before="0" w:beforeAutospacing="0" w:after="0" w:afterAutospacing="0" w:line="240" w:lineRule="auto"/>
                    <w:ind w:left="0" w:right="0"/>
                    <w:rPr>
                      <w:rFonts w:hint="default"/>
                      <w:color w:val="auto"/>
                      <w:kern w:val="2"/>
                      <w:sz w:val="21"/>
                      <w:szCs w:val="21"/>
                      <w:highlight w:val="none"/>
                      <w:lang w:val="en-US" w:eastAsia="zh-CN" w:bidi="ar-SA"/>
                    </w:rPr>
                  </w:pPr>
                  <w:r>
                    <w:rPr>
                      <w:rFonts w:hint="default"/>
                      <w:color w:val="auto"/>
                      <w:sz w:val="21"/>
                      <w:szCs w:val="21"/>
                      <w:highlight w:val="none"/>
                    </w:rPr>
                    <w:t>垃圾桶</w:t>
                  </w:r>
                </w:p>
              </w:tc>
              <w:tc>
                <w:tcPr>
                  <w:tcW w:w="402" w:type="pct"/>
                  <w:noWrap w:val="0"/>
                  <w:tcMar>
                    <w:top w:w="0" w:type="dxa"/>
                    <w:left w:w="0" w:type="dxa"/>
                    <w:bottom w:w="0" w:type="dxa"/>
                    <w:right w:w="0" w:type="dxa"/>
                  </w:tcMar>
                  <w:vAlign w:val="center"/>
                </w:tcPr>
                <w:p w14:paraId="702FE402">
                  <w:pPr>
                    <w:pStyle w:val="59"/>
                    <w:keepNext w:val="0"/>
                    <w:keepLines w:val="0"/>
                    <w:suppressLineNumbers w:val="0"/>
                    <w:spacing w:before="0" w:beforeAutospacing="0" w:after="0" w:afterAutospacing="0" w:line="240" w:lineRule="auto"/>
                    <w:ind w:left="0" w:right="0"/>
                    <w:rPr>
                      <w:rFonts w:hint="default"/>
                      <w:color w:val="auto"/>
                      <w:sz w:val="21"/>
                      <w:szCs w:val="21"/>
                      <w:highlight w:val="none"/>
                    </w:rPr>
                  </w:pPr>
                  <w:r>
                    <w:rPr>
                      <w:rFonts w:hint="default"/>
                      <w:color w:val="auto"/>
                      <w:sz w:val="21"/>
                      <w:szCs w:val="21"/>
                      <w:highlight w:val="none"/>
                    </w:rPr>
                    <w:t>环卫部</w:t>
                  </w:r>
                </w:p>
                <w:p w14:paraId="4EDBEB29">
                  <w:pPr>
                    <w:pStyle w:val="59"/>
                    <w:keepNext w:val="0"/>
                    <w:keepLines w:val="0"/>
                    <w:suppressLineNumbers w:val="0"/>
                    <w:spacing w:before="0" w:beforeAutospacing="0" w:after="0" w:afterAutospacing="0" w:line="240" w:lineRule="auto"/>
                    <w:ind w:left="0" w:right="0"/>
                    <w:rPr>
                      <w:rFonts w:hint="default"/>
                      <w:color w:val="auto"/>
                      <w:kern w:val="2"/>
                      <w:sz w:val="21"/>
                      <w:szCs w:val="21"/>
                      <w:highlight w:val="none"/>
                      <w:lang w:val="en-US" w:eastAsia="zh-CN" w:bidi="ar-SA"/>
                    </w:rPr>
                  </w:pPr>
                  <w:r>
                    <w:rPr>
                      <w:rFonts w:hint="default"/>
                      <w:color w:val="auto"/>
                      <w:sz w:val="21"/>
                      <w:szCs w:val="21"/>
                      <w:highlight w:val="none"/>
                    </w:rPr>
                    <w:t>门清运</w:t>
                  </w:r>
                </w:p>
              </w:tc>
              <w:tc>
                <w:tcPr>
                  <w:tcW w:w="412" w:type="pct"/>
                  <w:noWrap w:val="0"/>
                  <w:tcMar>
                    <w:top w:w="0" w:type="dxa"/>
                    <w:left w:w="0" w:type="dxa"/>
                    <w:bottom w:w="0" w:type="dxa"/>
                    <w:right w:w="0" w:type="dxa"/>
                  </w:tcMar>
                  <w:vAlign w:val="center"/>
                </w:tcPr>
                <w:p w14:paraId="65E71FEB">
                  <w:pPr>
                    <w:pStyle w:val="59"/>
                    <w:keepNext w:val="0"/>
                    <w:keepLines w:val="0"/>
                    <w:suppressLineNumbers w:val="0"/>
                    <w:spacing w:before="0" w:beforeAutospacing="0" w:after="0" w:afterAutospacing="0" w:line="240" w:lineRule="auto"/>
                    <w:ind w:left="0" w:right="0"/>
                    <w:rPr>
                      <w:rFonts w:hint="default"/>
                      <w:color w:val="auto"/>
                      <w:kern w:val="2"/>
                      <w:sz w:val="21"/>
                      <w:szCs w:val="21"/>
                      <w:highlight w:val="none"/>
                      <w:lang w:val="en-US" w:eastAsia="zh-CN" w:bidi="ar-SA"/>
                    </w:rPr>
                  </w:pPr>
                  <w:r>
                    <w:rPr>
                      <w:rFonts w:hint="default"/>
                      <w:color w:val="auto"/>
                      <w:sz w:val="21"/>
                      <w:szCs w:val="21"/>
                      <w:highlight w:val="none"/>
                    </w:rPr>
                    <w:t>环卫部门</w:t>
                  </w:r>
                </w:p>
              </w:tc>
            </w:tr>
          </w:tbl>
          <w:p w14:paraId="0F2F8C54">
            <w:pPr>
              <w:pStyle w:val="13"/>
              <w:keepNext w:val="0"/>
              <w:keepLines w:val="0"/>
              <w:pageBreakBefore w:val="0"/>
              <w:widowControl w:val="0"/>
              <w:numPr>
                <w:ilvl w:val="0"/>
                <w:numId w:val="0"/>
              </w:numPr>
              <w:suppressLineNumbers w:val="0"/>
              <w:tabs>
                <w:tab w:val="clear" w:pos="2040"/>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olor w:val="auto"/>
                <w:vertAlign w:val="baseline"/>
              </w:rPr>
            </w:pPr>
            <w:r>
              <w:rPr>
                <w:rFonts w:hint="eastAsia"/>
                <w:color w:val="auto"/>
                <w:sz w:val="24"/>
                <w:highlight w:val="none"/>
              </w:rPr>
              <w:t>由上表可见，项目建成后全厂</w:t>
            </w:r>
            <w:r>
              <w:rPr>
                <w:rFonts w:hint="default"/>
                <w:color w:val="auto"/>
                <w:sz w:val="24"/>
                <w:highlight w:val="none"/>
              </w:rPr>
              <w:t>固废按其性质分类分区收集和暂存，并均能得到有效利用或妥善处置。在严格管理下，本项目的固体废物对周围环境不会产生二次污染。</w:t>
            </w:r>
          </w:p>
        </w:tc>
      </w:tr>
    </w:tbl>
    <w:p w14:paraId="7B93AF33">
      <w:pPr>
        <w:pStyle w:val="13"/>
        <w:numPr>
          <w:ilvl w:val="0"/>
          <w:numId w:val="0"/>
        </w:numPr>
        <w:tabs>
          <w:tab w:val="clear" w:pos="2040"/>
        </w:tabs>
        <w:rPr>
          <w:rFonts w:ascii="Times New Roman" w:hAnsi="Times New Roman" w:eastAsia="宋体"/>
          <w:color w:val="auto"/>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6"/>
        <w:tblW w:w="90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653"/>
      </w:tblGrid>
      <w:tr w14:paraId="59B54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44" w:hRule="atLeast"/>
        </w:trPr>
        <w:tc>
          <w:tcPr>
            <w:tcW w:w="388" w:type="dxa"/>
            <w:vAlign w:val="center"/>
          </w:tcPr>
          <w:p w14:paraId="1E0DDDB8">
            <w:pPr>
              <w:pStyle w:val="13"/>
              <w:keepNext w:val="0"/>
              <w:keepLines w:val="0"/>
              <w:numPr>
                <w:ilvl w:val="0"/>
                <w:numId w:val="0"/>
              </w:numPr>
              <w:suppressLineNumbers w:val="0"/>
              <w:tabs>
                <w:tab w:val="clear" w:pos="2040"/>
              </w:tabs>
              <w:spacing w:before="0" w:beforeAutospacing="0" w:after="0" w:afterAutospacing="0"/>
              <w:ind w:left="0" w:right="0"/>
              <w:jc w:val="center"/>
              <w:rPr>
                <w:rFonts w:hint="default" w:ascii="Times New Roman" w:hAnsi="Times New Roman" w:eastAsia="宋体"/>
                <w:color w:val="auto"/>
                <w:vertAlign w:val="baseline"/>
              </w:rPr>
            </w:pPr>
            <w:r>
              <w:rPr>
                <w:rFonts w:hint="default" w:ascii="Times New Roman" w:hAnsi="Times New Roman" w:eastAsia="宋体"/>
                <w:color w:val="auto"/>
                <w:vertAlign w:val="baseline"/>
              </w:rPr>
              <w:t>运营</w:t>
            </w:r>
          </w:p>
          <w:p w14:paraId="0724FEE8">
            <w:pPr>
              <w:pStyle w:val="13"/>
              <w:keepNext w:val="0"/>
              <w:keepLines w:val="0"/>
              <w:numPr>
                <w:ilvl w:val="0"/>
                <w:numId w:val="0"/>
              </w:numPr>
              <w:suppressLineNumbers w:val="0"/>
              <w:tabs>
                <w:tab w:val="clear" w:pos="2040"/>
              </w:tabs>
              <w:spacing w:before="0" w:beforeAutospacing="0" w:after="0" w:afterAutospacing="0"/>
              <w:ind w:left="0" w:right="0"/>
              <w:jc w:val="center"/>
              <w:rPr>
                <w:rFonts w:hint="default" w:ascii="Times New Roman" w:hAnsi="Times New Roman" w:eastAsia="宋体"/>
                <w:color w:val="auto"/>
                <w:vertAlign w:val="baseline"/>
              </w:rPr>
            </w:pPr>
            <w:r>
              <w:rPr>
                <w:rFonts w:hint="default" w:ascii="Times New Roman" w:hAnsi="Times New Roman" w:eastAsia="宋体"/>
                <w:color w:val="auto"/>
                <w:vertAlign w:val="baseline"/>
              </w:rPr>
              <w:t>期环</w:t>
            </w:r>
          </w:p>
          <w:p w14:paraId="6C814568">
            <w:pPr>
              <w:pStyle w:val="13"/>
              <w:keepNext w:val="0"/>
              <w:keepLines w:val="0"/>
              <w:numPr>
                <w:ilvl w:val="0"/>
                <w:numId w:val="0"/>
              </w:numPr>
              <w:suppressLineNumbers w:val="0"/>
              <w:tabs>
                <w:tab w:val="clear" w:pos="2040"/>
              </w:tabs>
              <w:spacing w:before="0" w:beforeAutospacing="0" w:after="0" w:afterAutospacing="0"/>
              <w:ind w:left="0" w:right="0"/>
              <w:jc w:val="center"/>
              <w:rPr>
                <w:rFonts w:hint="default" w:ascii="Times New Roman" w:hAnsi="Times New Roman" w:eastAsia="宋体"/>
                <w:color w:val="auto"/>
                <w:vertAlign w:val="baseline"/>
              </w:rPr>
            </w:pPr>
            <w:r>
              <w:rPr>
                <w:rFonts w:hint="default" w:ascii="Times New Roman" w:hAnsi="Times New Roman" w:eastAsia="宋体"/>
                <w:color w:val="auto"/>
                <w:vertAlign w:val="baseline"/>
              </w:rPr>
              <w:t>境影</w:t>
            </w:r>
          </w:p>
          <w:p w14:paraId="1881E50C">
            <w:pPr>
              <w:pStyle w:val="13"/>
              <w:keepNext w:val="0"/>
              <w:keepLines w:val="0"/>
              <w:numPr>
                <w:ilvl w:val="0"/>
                <w:numId w:val="0"/>
              </w:numPr>
              <w:suppressLineNumbers w:val="0"/>
              <w:tabs>
                <w:tab w:val="clear" w:pos="2040"/>
              </w:tabs>
              <w:spacing w:before="0" w:beforeAutospacing="0" w:after="0" w:afterAutospacing="0"/>
              <w:ind w:left="0" w:right="0"/>
              <w:jc w:val="center"/>
              <w:rPr>
                <w:rFonts w:hint="default" w:ascii="Times New Roman" w:hAnsi="Times New Roman" w:eastAsia="宋体"/>
                <w:color w:val="auto"/>
                <w:vertAlign w:val="baseline"/>
              </w:rPr>
            </w:pPr>
            <w:r>
              <w:rPr>
                <w:rFonts w:hint="default" w:ascii="Times New Roman" w:hAnsi="Times New Roman" w:eastAsia="宋体"/>
                <w:color w:val="auto"/>
                <w:vertAlign w:val="baseline"/>
              </w:rPr>
              <w:t>响和</w:t>
            </w:r>
          </w:p>
          <w:p w14:paraId="13491517">
            <w:pPr>
              <w:pStyle w:val="13"/>
              <w:keepNext w:val="0"/>
              <w:keepLines w:val="0"/>
              <w:numPr>
                <w:ilvl w:val="0"/>
                <w:numId w:val="0"/>
              </w:numPr>
              <w:suppressLineNumbers w:val="0"/>
              <w:tabs>
                <w:tab w:val="clear" w:pos="2040"/>
              </w:tabs>
              <w:spacing w:before="0" w:beforeAutospacing="0" w:after="0" w:afterAutospacing="0"/>
              <w:ind w:left="0" w:right="0"/>
              <w:jc w:val="center"/>
              <w:rPr>
                <w:rFonts w:hint="default" w:ascii="Times New Roman" w:hAnsi="Times New Roman" w:eastAsia="宋体"/>
                <w:color w:val="auto"/>
                <w:vertAlign w:val="baseline"/>
              </w:rPr>
            </w:pPr>
            <w:r>
              <w:rPr>
                <w:rFonts w:hint="default" w:ascii="Times New Roman" w:hAnsi="Times New Roman" w:eastAsia="宋体"/>
                <w:color w:val="auto"/>
                <w:vertAlign w:val="baseline"/>
              </w:rPr>
              <w:t>保护措施</w:t>
            </w:r>
          </w:p>
        </w:tc>
        <w:tc>
          <w:tcPr>
            <w:tcW w:w="8691" w:type="dxa"/>
          </w:tcPr>
          <w:p w14:paraId="166B83B8">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eastAsia="zh-CN"/>
              </w:rPr>
              <w:t>（</w:t>
            </w:r>
            <w:r>
              <w:rPr>
                <w:rFonts w:hint="eastAsia" w:ascii="Times New Roman" w:hAnsi="Times New Roman" w:eastAsia="宋体" w:cs="Times New Roman"/>
                <w:b/>
                <w:bCs/>
                <w:color w:val="auto"/>
                <w:sz w:val="24"/>
                <w:highlight w:val="none"/>
                <w:lang w:val="en-US" w:eastAsia="zh-CN"/>
              </w:rPr>
              <w:t>5</w:t>
            </w: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固体废物贮存场所合规性分析</w:t>
            </w:r>
          </w:p>
          <w:p w14:paraId="1C73EE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①固废贮存场所建设相关要求</w:t>
            </w:r>
          </w:p>
          <w:p w14:paraId="38C28678">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本项目新建一座占地面积65平方米的危废间贮存生产过程中产生的危险废物。</w:t>
            </w:r>
            <w:r>
              <w:rPr>
                <w:rFonts w:hint="default" w:ascii="Times New Roman" w:hAnsi="Times New Roman" w:eastAsia="宋体" w:cs="Times New Roman"/>
                <w:color w:val="auto"/>
                <w:sz w:val="24"/>
                <w:highlight w:val="none"/>
              </w:rPr>
              <w:t>本项目</w:t>
            </w:r>
            <w:r>
              <w:rPr>
                <w:rFonts w:hint="eastAsia" w:ascii="Times New Roman" w:hAnsi="Times New Roman" w:eastAsia="宋体" w:cs="Times New Roman"/>
                <w:color w:val="auto"/>
                <w:sz w:val="24"/>
                <w:highlight w:val="none"/>
                <w:lang w:val="en-US" w:eastAsia="zh-CN"/>
              </w:rPr>
              <w:t>建成后全厂一般</w:t>
            </w:r>
            <w:r>
              <w:rPr>
                <w:rFonts w:hint="default" w:ascii="Times New Roman" w:hAnsi="Times New Roman" w:eastAsia="宋体" w:cs="Times New Roman"/>
                <w:color w:val="auto"/>
                <w:sz w:val="24"/>
                <w:highlight w:val="none"/>
                <w:lang w:val="en-US" w:eastAsia="zh-CN"/>
              </w:rPr>
              <w:t>固体废物贮存场所</w:t>
            </w:r>
            <w:r>
              <w:rPr>
                <w:rFonts w:hint="default" w:ascii="Times New Roman" w:hAnsi="Times New Roman" w:eastAsia="宋体" w:cs="Times New Roman"/>
                <w:color w:val="auto"/>
                <w:sz w:val="24"/>
                <w:highlight w:val="none"/>
              </w:rPr>
              <w:t>应严格按照《一般工业固体废物贮存和填埋污染控制标准》（GB18599-2020）、《省生态环境厅关于进一步完善一般工业固体废物环境管理的通知》（苏环办</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2023</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327号）</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省生态环境厅关于印发《江苏省固体废物全过程环境监管工作意见》的通知（苏环办[2024]16号）等文件</w:t>
            </w:r>
            <w:r>
              <w:rPr>
                <w:rFonts w:hint="default" w:ascii="Times New Roman" w:hAnsi="Times New Roman" w:eastAsia="宋体" w:cs="Times New Roman"/>
                <w:color w:val="auto"/>
                <w:sz w:val="24"/>
                <w:highlight w:val="none"/>
              </w:rPr>
              <w:t>要求建设和维护使用。</w:t>
            </w:r>
            <w:r>
              <w:rPr>
                <w:rFonts w:hint="default" w:ascii="Times New Roman" w:hAnsi="Times New Roman" w:eastAsia="宋体" w:cs="Times New Roman"/>
                <w:color w:val="auto"/>
                <w:sz w:val="24"/>
                <w:highlight w:val="none"/>
                <w:lang w:val="en-US" w:eastAsia="zh-CN"/>
              </w:rPr>
              <w:t>主要要求如下：</w:t>
            </w:r>
          </w:p>
          <w:p w14:paraId="483FE02C">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val="en-US" w:eastAsia="zh-CN"/>
              </w:rPr>
              <w:t>一般工业固体废物产生单位要严格按照环评文件、排污许可等明确固体废物属性，做好不同属性固体废物分类管理。</w:t>
            </w:r>
          </w:p>
          <w:p w14:paraId="56816BEE">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sz w:val="24"/>
                <w:highlight w:val="none"/>
                <w:lang w:val="en-US" w:eastAsia="zh-CN"/>
              </w:rPr>
              <w:t>B.</w:t>
            </w:r>
            <w:r>
              <w:rPr>
                <w:rFonts w:hint="default" w:ascii="Times New Roman" w:hAnsi="Times New Roman" w:eastAsia="宋体" w:cs="Times New Roman"/>
                <w:color w:val="auto"/>
                <w:sz w:val="24"/>
                <w:highlight w:val="none"/>
                <w:lang w:val="en-US" w:eastAsia="zh-CN"/>
              </w:rPr>
              <w:t>一般工业固体废物产生、收集、贮存、利用处置单位应建设满足防扬散、防流失、防渗漏或者其他防止污染环境措施要求的贮存设施。</w:t>
            </w:r>
          </w:p>
          <w:p w14:paraId="102DFF24">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产生的危险废物应严格按照《危险废物贮存污染控制标准》（GB18597-2023）、省生态环境厅关于印发《江苏省固体废物全过程环境监管工作意见》的通知（苏环办[2024]16号）等文件要求建设和维护使用。主要要求如下：</w:t>
            </w:r>
          </w:p>
          <w:p w14:paraId="689C50DD">
            <w:pPr>
              <w:keepNext w:val="0"/>
              <w:keepLines w:val="0"/>
              <w:pageBreakBefore w:val="0"/>
              <w:widowControl w:val="0"/>
              <w:numPr>
                <w:ilvl w:val="0"/>
                <w:numId w:val="8"/>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贮存设施应根据危险废物的形态、物理化学性质、包装形式和污染物迁移途径，采取必要的防风、防晒、防漏、防渗以及其他环境污染防治措施，不应露天堆放危险废物。贮存设施应采取技术和管理措施防止无关人员进入。</w:t>
            </w:r>
          </w:p>
          <w:p w14:paraId="445E1EFD">
            <w:pPr>
              <w:keepNext w:val="0"/>
              <w:keepLines w:val="0"/>
              <w:pageBreakBefore w:val="0"/>
              <w:widowControl w:val="0"/>
              <w:numPr>
                <w:ilvl w:val="0"/>
                <w:numId w:val="8"/>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危险废物的类别、数量、形态、物理化学性质和污染防治等要求设置必要的贮存分区，避免不相容的危险废物接触、混合。不同贮存分区之间采取隔离措施。隔离措施可根据危险废物特性采用过道、隔板或隔墙等方式。</w:t>
            </w:r>
          </w:p>
          <w:p w14:paraId="7E4477C3">
            <w:pPr>
              <w:keepNext w:val="0"/>
              <w:keepLines w:val="0"/>
              <w:pageBreakBefore w:val="0"/>
              <w:widowControl w:val="0"/>
              <w:numPr>
                <w:ilvl w:val="0"/>
                <w:numId w:val="8"/>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贮存设施或贮存分区内地面、墙面裙角、堵截泄漏的围堰、接触危险废物的隔板和墙体等应采用坚固的材料建造，表面无裂缝。</w:t>
            </w:r>
          </w:p>
          <w:p w14:paraId="012E5142">
            <w:pPr>
              <w:keepNext w:val="0"/>
              <w:keepLines w:val="0"/>
              <w:pageBreakBefore w:val="0"/>
              <w:widowControl w:val="0"/>
              <w:numPr>
                <w:ilvl w:val="0"/>
                <w:numId w:val="8"/>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贮存设施地面与裙角应采取表面防渗措施，表面防渗材料应与所接触的物料或污染物相容，可采用抗渗混凝土、高密度聚乙烯膜、钠基膨润土防水毯或其他防渗性能等效的材料。贮存的危险废物直接接触地面的，还应进行基础防渗，防渗层为至少1m后黏土层（渗透系数不大于10</w:t>
            </w:r>
            <w:r>
              <w:rPr>
                <w:rFonts w:hint="eastAsia" w:ascii="Times New Roman" w:hAnsi="Times New Roman" w:eastAsia="宋体" w:cs="Times New Roman"/>
                <w:color w:val="auto"/>
                <w:sz w:val="24"/>
                <w:highlight w:val="none"/>
                <w:vertAlign w:val="superscript"/>
                <w:lang w:val="en-US" w:eastAsia="zh-CN"/>
              </w:rPr>
              <w:t>-7</w:t>
            </w:r>
            <w:r>
              <w:rPr>
                <w:rFonts w:hint="eastAsia" w:ascii="Times New Roman" w:hAnsi="Times New Roman" w:eastAsia="宋体" w:cs="Times New Roman"/>
                <w:color w:val="auto"/>
                <w:sz w:val="24"/>
                <w:highlight w:val="none"/>
                <w:lang w:val="en-US" w:eastAsia="zh-CN"/>
              </w:rPr>
              <w:t>cm/s），或至少2mm厚高密度聚乙烯膜等人工防渗材料（渗透系数不大于10</w:t>
            </w:r>
            <w:r>
              <w:rPr>
                <w:rFonts w:hint="eastAsia" w:ascii="Times New Roman" w:hAnsi="Times New Roman" w:eastAsia="宋体" w:cs="Times New Roman"/>
                <w:color w:val="auto"/>
                <w:sz w:val="24"/>
                <w:highlight w:val="none"/>
                <w:vertAlign w:val="superscript"/>
                <w:lang w:val="en-US" w:eastAsia="zh-CN"/>
              </w:rPr>
              <w:t>-10</w:t>
            </w:r>
            <w:r>
              <w:rPr>
                <w:rFonts w:hint="eastAsia" w:ascii="Times New Roman" w:hAnsi="Times New Roman" w:eastAsia="宋体" w:cs="Times New Roman"/>
                <w:color w:val="auto"/>
                <w:sz w:val="24"/>
                <w:highlight w:val="none"/>
                <w:lang w:val="en-US" w:eastAsia="zh-CN"/>
              </w:rPr>
              <w:t>cm/s），或其他防渗性能等效的材料。</w:t>
            </w:r>
          </w:p>
          <w:p w14:paraId="45F082C4">
            <w:pPr>
              <w:keepNext w:val="0"/>
              <w:keepLines w:val="0"/>
              <w:pageBreakBefore w:val="0"/>
              <w:widowControl w:val="0"/>
              <w:numPr>
                <w:ilvl w:val="0"/>
                <w:numId w:val="8"/>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同一贮存设施宜采用相同的防渗、防腐工艺（包括防渗、防腐结构或材料），防渗、防腐材料应覆盖所有可能与废物及其渗滤液、泄漏液等接触的构筑物表面；采用不同防渗、防腐工艺应分别建设贮存分区。</w:t>
            </w:r>
          </w:p>
          <w:p w14:paraId="6C68146F">
            <w:pPr>
              <w:keepNext w:val="0"/>
              <w:keepLines w:val="0"/>
              <w:pageBreakBefore w:val="0"/>
              <w:widowControl w:val="0"/>
              <w:suppressLineNumbers w:val="0"/>
              <w:kinsoku/>
              <w:wordWrap/>
              <w:overflowPunct/>
              <w:topLinePunct/>
              <w:autoSpaceDE w:val="0"/>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②</w:t>
            </w:r>
            <w:r>
              <w:rPr>
                <w:rFonts w:hint="eastAsia" w:ascii="Times New Roman" w:hAnsi="Times New Roman" w:eastAsia="宋体" w:cs="Times New Roman"/>
                <w:b/>
                <w:bCs/>
                <w:color w:val="auto"/>
                <w:sz w:val="24"/>
                <w:szCs w:val="24"/>
                <w:highlight w:val="none"/>
                <w:lang w:eastAsia="zh-CN"/>
              </w:rPr>
              <w:t>固废贮存场所合理性分析</w:t>
            </w:r>
          </w:p>
          <w:p w14:paraId="0195FDA5">
            <w:pPr>
              <w:keepNext w:val="0"/>
              <w:keepLines w:val="0"/>
              <w:pageBreakBefore w:val="0"/>
              <w:widowControl w:val="0"/>
              <w:suppressLineNumbers w:val="0"/>
              <w:kinsoku/>
              <w:wordWrap/>
              <w:overflowPunct/>
              <w:topLinePunct/>
              <w:autoSpaceDE w:val="0"/>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本</w:t>
            </w:r>
            <w:r>
              <w:rPr>
                <w:rFonts w:hint="default" w:ascii="Times New Roman" w:hAnsi="Times New Roman" w:eastAsia="宋体" w:cs="Times New Roman"/>
                <w:color w:val="auto"/>
                <w:sz w:val="24"/>
                <w:highlight w:val="none"/>
              </w:rPr>
              <w:t>项目</w:t>
            </w:r>
            <w:r>
              <w:rPr>
                <w:rFonts w:hint="default" w:ascii="Times New Roman" w:hAnsi="Times New Roman" w:eastAsia="宋体" w:cs="Times New Roman"/>
                <w:color w:val="auto"/>
                <w:sz w:val="24"/>
                <w:highlight w:val="none"/>
                <w:lang w:val="en-US" w:eastAsia="zh-CN"/>
              </w:rPr>
              <w:t>建成后全厂危险废物</w:t>
            </w:r>
            <w:r>
              <w:rPr>
                <w:rFonts w:hint="default" w:ascii="Times New Roman" w:hAnsi="Times New Roman" w:eastAsia="宋体" w:cs="Times New Roman"/>
                <w:color w:val="auto"/>
                <w:sz w:val="24"/>
                <w:highlight w:val="none"/>
              </w:rPr>
              <w:t>贮存场所（设施）基本情况见下表：</w:t>
            </w:r>
          </w:p>
          <w:p w14:paraId="39623685">
            <w:pPr>
              <w:keepNext w:val="0"/>
              <w:keepLines w:val="0"/>
              <w:widowControl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bCs/>
                <w:color w:val="auto"/>
                <w:kern w:val="2"/>
                <w:sz w:val="24"/>
                <w:szCs w:val="20"/>
                <w:highlight w:val="none"/>
                <w:lang w:val="en-US" w:eastAsia="zh-CN" w:bidi="ar-SA"/>
              </w:rPr>
            </w:pPr>
            <w:r>
              <w:rPr>
                <w:rFonts w:hint="default" w:ascii="Times New Roman" w:hAnsi="Times New Roman" w:eastAsia="宋体" w:cs="Times New Roman"/>
                <w:b/>
                <w:bCs/>
                <w:color w:val="auto"/>
                <w:kern w:val="2"/>
                <w:sz w:val="24"/>
                <w:szCs w:val="24"/>
                <w:lang w:val="en-US" w:eastAsia="zh-CN" w:bidi="ar-SA"/>
              </w:rPr>
              <w:t>表4-</w:t>
            </w:r>
            <w:r>
              <w:rPr>
                <w:rFonts w:hint="eastAsia" w:ascii="Times New Roman" w:hAnsi="Times New Roman" w:eastAsia="宋体" w:cs="Times New Roman"/>
                <w:b/>
                <w:bCs/>
                <w:color w:val="auto"/>
                <w:kern w:val="2"/>
                <w:sz w:val="24"/>
                <w:szCs w:val="24"/>
                <w:lang w:val="en-US" w:eastAsia="zh-CN" w:bidi="ar-SA"/>
              </w:rPr>
              <w:t xml:space="preserve">25  </w:t>
            </w:r>
            <w:r>
              <w:rPr>
                <w:rFonts w:hint="default" w:ascii="Times New Roman" w:hAnsi="Times New Roman" w:eastAsia="宋体" w:cs="Times New Roman"/>
                <w:b/>
                <w:bCs/>
                <w:color w:val="auto"/>
                <w:kern w:val="2"/>
                <w:sz w:val="24"/>
                <w:szCs w:val="20"/>
                <w:highlight w:val="none"/>
                <w:lang w:val="en-US" w:eastAsia="zh-CN" w:bidi="ar-SA"/>
              </w:rPr>
              <w:t>本项目建成后全厂危险废物贮存场所基本情况样表</w:t>
            </w:r>
          </w:p>
          <w:tbl>
            <w:tblPr>
              <w:tblStyle w:val="25"/>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33"/>
              <w:gridCol w:w="661"/>
              <w:gridCol w:w="1182"/>
              <w:gridCol w:w="1319"/>
              <w:gridCol w:w="692"/>
              <w:gridCol w:w="1113"/>
              <w:gridCol w:w="520"/>
              <w:gridCol w:w="653"/>
              <w:gridCol w:w="614"/>
              <w:gridCol w:w="671"/>
              <w:gridCol w:w="666"/>
            </w:tblGrid>
            <w:tr w14:paraId="3E5C9B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 w:type="pct"/>
                  <w:tcBorders>
                    <w:tl2br w:val="nil"/>
                    <w:tr2bl w:val="nil"/>
                  </w:tcBorders>
                  <w:vAlign w:val="center"/>
                </w:tcPr>
                <w:p w14:paraId="054D4E78">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 w:val="20"/>
                      <w:szCs w:val="20"/>
                      <w:highlight w:val="none"/>
                    </w:rPr>
                  </w:pPr>
                  <w:r>
                    <w:rPr>
                      <w:rFonts w:hint="default" w:ascii="Times New Roman" w:hAnsi="Times New Roman" w:eastAsia="宋体" w:cs="Times New Roman"/>
                      <w:b/>
                      <w:bCs/>
                      <w:color w:val="auto"/>
                      <w:sz w:val="20"/>
                      <w:szCs w:val="20"/>
                      <w:highlight w:val="none"/>
                    </w:rPr>
                    <w:t>序号</w:t>
                  </w:r>
                </w:p>
              </w:tc>
              <w:tc>
                <w:tcPr>
                  <w:tcW w:w="392" w:type="pct"/>
                  <w:tcBorders>
                    <w:tl2br w:val="nil"/>
                    <w:tr2bl w:val="nil"/>
                  </w:tcBorders>
                  <w:vAlign w:val="center"/>
                </w:tcPr>
                <w:p w14:paraId="6284FFE2">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 w:val="20"/>
                      <w:szCs w:val="20"/>
                      <w:highlight w:val="none"/>
                    </w:rPr>
                  </w:pPr>
                  <w:r>
                    <w:rPr>
                      <w:rFonts w:hint="default" w:ascii="Times New Roman" w:hAnsi="Times New Roman" w:eastAsia="宋体" w:cs="Times New Roman"/>
                      <w:b/>
                      <w:bCs/>
                      <w:color w:val="auto"/>
                      <w:sz w:val="20"/>
                      <w:szCs w:val="20"/>
                      <w:highlight w:val="none"/>
                    </w:rPr>
                    <w:t>贮存场所名称</w:t>
                  </w:r>
                </w:p>
              </w:tc>
              <w:tc>
                <w:tcPr>
                  <w:tcW w:w="701" w:type="pct"/>
                  <w:tcBorders>
                    <w:tl2br w:val="nil"/>
                    <w:tr2bl w:val="nil"/>
                  </w:tcBorders>
                  <w:vAlign w:val="center"/>
                </w:tcPr>
                <w:p w14:paraId="52AE1869">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 w:val="20"/>
                      <w:szCs w:val="20"/>
                      <w:highlight w:val="none"/>
                    </w:rPr>
                  </w:pPr>
                  <w:r>
                    <w:rPr>
                      <w:rFonts w:hint="default" w:ascii="Times New Roman" w:hAnsi="Times New Roman" w:eastAsia="宋体" w:cs="Times New Roman"/>
                      <w:b/>
                      <w:bCs/>
                      <w:color w:val="auto"/>
                      <w:sz w:val="20"/>
                      <w:szCs w:val="20"/>
                      <w:highlight w:val="none"/>
                    </w:rPr>
                    <w:t>地理坐标</w:t>
                  </w:r>
                </w:p>
              </w:tc>
              <w:tc>
                <w:tcPr>
                  <w:tcW w:w="782" w:type="pct"/>
                  <w:tcBorders>
                    <w:tl2br w:val="nil"/>
                    <w:tr2bl w:val="nil"/>
                  </w:tcBorders>
                  <w:vAlign w:val="center"/>
                </w:tcPr>
                <w:p w14:paraId="46BF4C8E">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 w:val="20"/>
                      <w:szCs w:val="20"/>
                      <w:highlight w:val="none"/>
                    </w:rPr>
                  </w:pPr>
                  <w:r>
                    <w:rPr>
                      <w:rFonts w:hint="default" w:ascii="Times New Roman" w:hAnsi="Times New Roman" w:eastAsia="宋体" w:cs="Times New Roman"/>
                      <w:b/>
                      <w:bCs/>
                      <w:color w:val="auto"/>
                      <w:sz w:val="20"/>
                      <w:szCs w:val="20"/>
                      <w:highlight w:val="none"/>
                    </w:rPr>
                    <w:t>危险废物名称</w:t>
                  </w:r>
                </w:p>
              </w:tc>
              <w:tc>
                <w:tcPr>
                  <w:tcW w:w="410" w:type="pct"/>
                  <w:tcBorders>
                    <w:tl2br w:val="nil"/>
                    <w:tr2bl w:val="nil"/>
                  </w:tcBorders>
                  <w:vAlign w:val="center"/>
                </w:tcPr>
                <w:p w14:paraId="31882C10">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 w:val="20"/>
                      <w:szCs w:val="20"/>
                      <w:highlight w:val="none"/>
                    </w:rPr>
                  </w:pPr>
                  <w:r>
                    <w:rPr>
                      <w:rFonts w:hint="default" w:ascii="Times New Roman" w:hAnsi="Times New Roman" w:eastAsia="宋体" w:cs="Times New Roman"/>
                      <w:b/>
                      <w:bCs/>
                      <w:color w:val="auto"/>
                      <w:sz w:val="20"/>
                      <w:szCs w:val="20"/>
                      <w:highlight w:val="none"/>
                    </w:rPr>
                    <w:t>废物类别</w:t>
                  </w:r>
                </w:p>
              </w:tc>
              <w:tc>
                <w:tcPr>
                  <w:tcW w:w="660" w:type="pct"/>
                  <w:tcBorders>
                    <w:tl2br w:val="nil"/>
                    <w:tr2bl w:val="nil"/>
                  </w:tcBorders>
                  <w:vAlign w:val="center"/>
                </w:tcPr>
                <w:p w14:paraId="5863A196">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 w:val="20"/>
                      <w:szCs w:val="20"/>
                      <w:highlight w:val="none"/>
                    </w:rPr>
                  </w:pPr>
                  <w:r>
                    <w:rPr>
                      <w:rFonts w:hint="default" w:ascii="Times New Roman" w:hAnsi="Times New Roman" w:eastAsia="宋体" w:cs="Times New Roman"/>
                      <w:b/>
                      <w:bCs/>
                      <w:color w:val="auto"/>
                      <w:sz w:val="20"/>
                      <w:szCs w:val="20"/>
                      <w:highlight w:val="none"/>
                    </w:rPr>
                    <w:t>废物代码</w:t>
                  </w:r>
                </w:p>
              </w:tc>
              <w:tc>
                <w:tcPr>
                  <w:tcW w:w="308" w:type="pct"/>
                  <w:tcBorders>
                    <w:tl2br w:val="nil"/>
                    <w:tr2bl w:val="nil"/>
                  </w:tcBorders>
                  <w:vAlign w:val="center"/>
                </w:tcPr>
                <w:p w14:paraId="7F63C6BC">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 w:val="20"/>
                      <w:szCs w:val="20"/>
                      <w:highlight w:val="none"/>
                    </w:rPr>
                  </w:pPr>
                  <w:r>
                    <w:rPr>
                      <w:rFonts w:hint="default" w:ascii="Times New Roman" w:hAnsi="Times New Roman" w:eastAsia="宋体" w:cs="Times New Roman"/>
                      <w:b/>
                      <w:bCs/>
                      <w:color w:val="auto"/>
                      <w:sz w:val="20"/>
                      <w:szCs w:val="20"/>
                      <w:highlight w:val="none"/>
                    </w:rPr>
                    <w:t>位置</w:t>
                  </w:r>
                </w:p>
              </w:tc>
              <w:tc>
                <w:tcPr>
                  <w:tcW w:w="387" w:type="pct"/>
                  <w:tcBorders>
                    <w:tl2br w:val="nil"/>
                    <w:tr2bl w:val="nil"/>
                  </w:tcBorders>
                  <w:vAlign w:val="center"/>
                </w:tcPr>
                <w:p w14:paraId="155A64D2">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 w:val="20"/>
                      <w:szCs w:val="20"/>
                      <w:highlight w:val="none"/>
                    </w:rPr>
                  </w:pPr>
                  <w:r>
                    <w:rPr>
                      <w:rFonts w:hint="default" w:ascii="Times New Roman" w:hAnsi="Times New Roman" w:eastAsia="宋体" w:cs="Times New Roman"/>
                      <w:b/>
                      <w:bCs/>
                      <w:color w:val="auto"/>
                      <w:sz w:val="20"/>
                      <w:szCs w:val="20"/>
                      <w:highlight w:val="none"/>
                    </w:rPr>
                    <w:t>占地面积</w:t>
                  </w:r>
                </w:p>
              </w:tc>
              <w:tc>
                <w:tcPr>
                  <w:tcW w:w="364" w:type="pct"/>
                  <w:tcBorders>
                    <w:tl2br w:val="nil"/>
                    <w:tr2bl w:val="nil"/>
                  </w:tcBorders>
                  <w:vAlign w:val="center"/>
                </w:tcPr>
                <w:p w14:paraId="212398AE">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 w:val="20"/>
                      <w:szCs w:val="20"/>
                      <w:highlight w:val="none"/>
                    </w:rPr>
                  </w:pPr>
                  <w:r>
                    <w:rPr>
                      <w:rFonts w:hint="default" w:ascii="Times New Roman" w:hAnsi="Times New Roman" w:eastAsia="宋体" w:cs="Times New Roman"/>
                      <w:b/>
                      <w:bCs/>
                      <w:color w:val="auto"/>
                      <w:sz w:val="20"/>
                      <w:szCs w:val="20"/>
                      <w:highlight w:val="none"/>
                    </w:rPr>
                    <w:t>贮存方式</w:t>
                  </w:r>
                </w:p>
              </w:tc>
              <w:tc>
                <w:tcPr>
                  <w:tcW w:w="398" w:type="pct"/>
                  <w:tcBorders>
                    <w:tl2br w:val="nil"/>
                    <w:tr2bl w:val="nil"/>
                  </w:tcBorders>
                  <w:vAlign w:val="center"/>
                </w:tcPr>
                <w:p w14:paraId="4C844E2B">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 w:val="20"/>
                      <w:szCs w:val="20"/>
                      <w:highlight w:val="none"/>
                    </w:rPr>
                  </w:pPr>
                  <w:r>
                    <w:rPr>
                      <w:rFonts w:hint="default" w:ascii="Times New Roman" w:hAnsi="Times New Roman" w:eastAsia="宋体" w:cs="Times New Roman"/>
                      <w:b/>
                      <w:bCs/>
                      <w:color w:val="auto"/>
                      <w:sz w:val="20"/>
                      <w:szCs w:val="20"/>
                      <w:highlight w:val="none"/>
                    </w:rPr>
                    <w:t>贮存能力</w:t>
                  </w:r>
                </w:p>
              </w:tc>
              <w:tc>
                <w:tcPr>
                  <w:tcW w:w="395" w:type="pct"/>
                  <w:tcBorders>
                    <w:tl2br w:val="nil"/>
                    <w:tr2bl w:val="nil"/>
                  </w:tcBorders>
                  <w:vAlign w:val="center"/>
                </w:tcPr>
                <w:p w14:paraId="550A2CAC">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 w:val="20"/>
                      <w:szCs w:val="20"/>
                      <w:highlight w:val="none"/>
                    </w:rPr>
                  </w:pPr>
                  <w:r>
                    <w:rPr>
                      <w:rFonts w:hint="default" w:ascii="Times New Roman" w:hAnsi="Times New Roman" w:eastAsia="宋体" w:cs="Times New Roman"/>
                      <w:b/>
                      <w:bCs/>
                      <w:color w:val="auto"/>
                      <w:sz w:val="20"/>
                      <w:szCs w:val="20"/>
                      <w:highlight w:val="none"/>
                    </w:rPr>
                    <w:t>贮存周期</w:t>
                  </w:r>
                </w:p>
              </w:tc>
            </w:tr>
            <w:tr w14:paraId="2D4CF5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97" w:type="pct"/>
                  <w:tcBorders>
                    <w:tl2br w:val="nil"/>
                    <w:tr2bl w:val="nil"/>
                  </w:tcBorders>
                  <w:vAlign w:val="center"/>
                </w:tcPr>
                <w:p w14:paraId="29ED87AE">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eastAsia" w:ascii="Times New Roman" w:hAnsi="Times New Roman" w:eastAsia="宋体" w:cs="Times New Roman"/>
                      <w:color w:val="auto"/>
                      <w:kern w:val="0"/>
                      <w:sz w:val="20"/>
                      <w:szCs w:val="20"/>
                      <w:highlight w:val="none"/>
                      <w:lang w:val="en-US" w:eastAsia="zh-CN"/>
                    </w:rPr>
                  </w:pPr>
                  <w:r>
                    <w:rPr>
                      <w:rFonts w:hint="eastAsia" w:ascii="Times New Roman" w:hAnsi="Times New Roman" w:eastAsia="宋体" w:cs="Times New Roman"/>
                      <w:color w:val="auto"/>
                      <w:kern w:val="0"/>
                      <w:sz w:val="20"/>
                      <w:szCs w:val="20"/>
                      <w:highlight w:val="none"/>
                      <w:lang w:val="en-US" w:eastAsia="zh-CN"/>
                    </w:rPr>
                    <w:t>1</w:t>
                  </w:r>
                </w:p>
              </w:tc>
              <w:tc>
                <w:tcPr>
                  <w:tcW w:w="392" w:type="pct"/>
                  <w:vMerge w:val="restart"/>
                  <w:tcBorders>
                    <w:tl2br w:val="nil"/>
                    <w:tr2bl w:val="nil"/>
                  </w:tcBorders>
                  <w:vAlign w:val="center"/>
                </w:tcPr>
                <w:p w14:paraId="6E87991A">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0"/>
                      <w:szCs w:val="20"/>
                      <w:highlight w:val="none"/>
                    </w:rPr>
                  </w:pPr>
                  <w:r>
                    <w:rPr>
                      <w:rFonts w:hint="default" w:ascii="Times New Roman" w:hAnsi="Times New Roman" w:eastAsia="宋体" w:cs="Times New Roman"/>
                      <w:color w:val="auto"/>
                      <w:kern w:val="0"/>
                      <w:sz w:val="20"/>
                      <w:szCs w:val="20"/>
                      <w:highlight w:val="none"/>
                    </w:rPr>
                    <w:t>危废</w:t>
                  </w:r>
                </w:p>
                <w:p w14:paraId="14AB8486">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0"/>
                      <w:szCs w:val="20"/>
                      <w:highlight w:val="none"/>
                    </w:rPr>
                  </w:pPr>
                  <w:r>
                    <w:rPr>
                      <w:rFonts w:hint="default" w:ascii="Times New Roman" w:hAnsi="Times New Roman" w:eastAsia="宋体" w:cs="Times New Roman"/>
                      <w:color w:val="auto"/>
                      <w:kern w:val="0"/>
                      <w:sz w:val="20"/>
                      <w:szCs w:val="20"/>
                      <w:highlight w:val="none"/>
                    </w:rPr>
                    <w:t>仓库</w:t>
                  </w:r>
                </w:p>
              </w:tc>
              <w:tc>
                <w:tcPr>
                  <w:tcW w:w="701" w:type="pct"/>
                  <w:vMerge w:val="restart"/>
                  <w:tcBorders>
                    <w:tl2br w:val="nil"/>
                    <w:tr2bl w:val="nil"/>
                  </w:tcBorders>
                  <w:vAlign w:val="center"/>
                </w:tcPr>
                <w:p w14:paraId="371B09E2">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0"/>
                      <w:szCs w:val="20"/>
                      <w:highlight w:val="none"/>
                      <w:lang w:val="en-US" w:eastAsia="zh-CN"/>
                    </w:rPr>
                  </w:pPr>
                </w:p>
              </w:tc>
              <w:tc>
                <w:tcPr>
                  <w:tcW w:w="1319" w:type="dxa"/>
                  <w:tcBorders>
                    <w:tl2br w:val="nil"/>
                    <w:tr2bl w:val="nil"/>
                  </w:tcBorders>
                  <w:vAlign w:val="center"/>
                </w:tcPr>
                <w:p w14:paraId="226ADEB4">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0"/>
                      <w:szCs w:val="20"/>
                      <w:highlight w:val="none"/>
                      <w:lang w:val="en-US" w:eastAsia="zh-CN"/>
                    </w:rPr>
                  </w:pPr>
                  <w:r>
                    <w:rPr>
                      <w:rFonts w:hint="default" w:ascii="Times New Roman" w:hAnsi="Times New Roman" w:eastAsia="宋体" w:cs="Times New Roman"/>
                      <w:color w:val="auto"/>
                      <w:kern w:val="0"/>
                      <w:sz w:val="20"/>
                      <w:szCs w:val="20"/>
                      <w:highlight w:val="none"/>
                    </w:rPr>
                    <w:t>实验废液</w:t>
                  </w:r>
                </w:p>
              </w:tc>
              <w:tc>
                <w:tcPr>
                  <w:tcW w:w="692" w:type="dxa"/>
                  <w:tcBorders>
                    <w:tl2br w:val="nil"/>
                    <w:tr2bl w:val="nil"/>
                  </w:tcBorders>
                  <w:vAlign w:val="center"/>
                </w:tcPr>
                <w:p w14:paraId="6EFE027B">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0"/>
                      <w:szCs w:val="20"/>
                      <w:highlight w:val="none"/>
                    </w:rPr>
                  </w:pPr>
                  <w:r>
                    <w:rPr>
                      <w:rFonts w:hint="default" w:ascii="Times New Roman" w:hAnsi="Times New Roman" w:eastAsia="宋体" w:cs="Times New Roman"/>
                      <w:color w:val="auto"/>
                      <w:kern w:val="0"/>
                      <w:sz w:val="20"/>
                      <w:szCs w:val="20"/>
                      <w:highlight w:val="none"/>
                      <w:lang w:val="en-US"/>
                    </w:rPr>
                    <w:t xml:space="preserve">HW49 </w:t>
                  </w:r>
                </w:p>
              </w:tc>
              <w:tc>
                <w:tcPr>
                  <w:tcW w:w="1113" w:type="dxa"/>
                  <w:tcBorders>
                    <w:tl2br w:val="nil"/>
                    <w:tr2bl w:val="nil"/>
                  </w:tcBorders>
                  <w:vAlign w:val="center"/>
                </w:tcPr>
                <w:p w14:paraId="555848F2">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0"/>
                      <w:szCs w:val="20"/>
                      <w:highlight w:val="none"/>
                    </w:rPr>
                  </w:pPr>
                  <w:r>
                    <w:rPr>
                      <w:rFonts w:hint="default" w:ascii="Times New Roman" w:hAnsi="Times New Roman" w:eastAsia="宋体" w:cs="Times New Roman"/>
                      <w:color w:val="auto"/>
                      <w:kern w:val="0"/>
                      <w:sz w:val="20"/>
                      <w:szCs w:val="20"/>
                      <w:highlight w:val="none"/>
                      <w:lang w:val="en-US"/>
                    </w:rPr>
                    <w:t>900-047-49</w:t>
                  </w:r>
                </w:p>
              </w:tc>
              <w:tc>
                <w:tcPr>
                  <w:tcW w:w="308" w:type="pct"/>
                  <w:vMerge w:val="restart"/>
                  <w:tcBorders>
                    <w:tl2br w:val="nil"/>
                    <w:tr2bl w:val="nil"/>
                  </w:tcBorders>
                  <w:vAlign w:val="center"/>
                </w:tcPr>
                <w:p w14:paraId="54CC3184">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eastAsia"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kern w:val="0"/>
                      <w:sz w:val="20"/>
                      <w:szCs w:val="20"/>
                      <w:highlight w:val="none"/>
                    </w:rPr>
                    <w:t>厂区</w:t>
                  </w:r>
                  <w:r>
                    <w:rPr>
                      <w:rFonts w:hint="eastAsia" w:cs="Times New Roman"/>
                      <w:color w:val="auto"/>
                      <w:kern w:val="0"/>
                      <w:sz w:val="20"/>
                      <w:szCs w:val="20"/>
                      <w:highlight w:val="none"/>
                      <w:lang w:val="en-US" w:eastAsia="zh-CN"/>
                    </w:rPr>
                    <w:t>北侧</w:t>
                  </w:r>
                </w:p>
              </w:tc>
              <w:tc>
                <w:tcPr>
                  <w:tcW w:w="387" w:type="pct"/>
                  <w:vMerge w:val="restart"/>
                  <w:tcBorders>
                    <w:tl2br w:val="nil"/>
                    <w:tr2bl w:val="nil"/>
                  </w:tcBorders>
                  <w:vAlign w:val="center"/>
                </w:tcPr>
                <w:p w14:paraId="338219AA">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rPr>
                  </w:pPr>
                  <w:r>
                    <w:rPr>
                      <w:rFonts w:hint="eastAsia" w:cs="Times New Roman"/>
                      <w:color w:val="auto"/>
                      <w:kern w:val="0"/>
                      <w:sz w:val="20"/>
                      <w:szCs w:val="20"/>
                      <w:highlight w:val="none"/>
                      <w:lang w:val="en-US" w:eastAsia="zh-CN"/>
                    </w:rPr>
                    <w:t>65</w:t>
                  </w:r>
                  <w:r>
                    <w:rPr>
                      <w:rFonts w:hint="default" w:ascii="Times New Roman" w:hAnsi="Times New Roman" w:eastAsia="宋体" w:cs="Times New Roman"/>
                      <w:color w:val="auto"/>
                      <w:sz w:val="20"/>
                      <w:szCs w:val="20"/>
                      <w:highlight w:val="none"/>
                    </w:rPr>
                    <w:t>m</w:t>
                  </w:r>
                  <w:r>
                    <w:rPr>
                      <w:rFonts w:hint="default" w:ascii="Times New Roman" w:hAnsi="Times New Roman" w:eastAsia="宋体" w:cs="Times New Roman"/>
                      <w:color w:val="auto"/>
                      <w:sz w:val="20"/>
                      <w:szCs w:val="20"/>
                      <w:highlight w:val="none"/>
                      <w:vertAlign w:val="superscript"/>
                    </w:rPr>
                    <w:t>2</w:t>
                  </w:r>
                </w:p>
              </w:tc>
              <w:tc>
                <w:tcPr>
                  <w:tcW w:w="614" w:type="dxa"/>
                  <w:tcBorders>
                    <w:tl2br w:val="nil"/>
                    <w:tr2bl w:val="nil"/>
                  </w:tcBorders>
                  <w:vAlign w:val="center"/>
                </w:tcPr>
                <w:p w14:paraId="158B31B4">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Cs/>
                      <w:color w:val="auto"/>
                      <w:kern w:val="0"/>
                      <w:sz w:val="20"/>
                      <w:szCs w:val="20"/>
                      <w:highlight w:val="none"/>
                      <w:lang w:val="en-US" w:eastAsia="zh-CN" w:bidi="ar-SA"/>
                    </w:rPr>
                  </w:pPr>
                  <w:r>
                    <w:rPr>
                      <w:rFonts w:hint="default" w:ascii="Times New Roman" w:hAnsi="Times New Roman" w:eastAsia="宋体" w:cs="Times New Roman"/>
                      <w:bCs/>
                      <w:color w:val="auto"/>
                      <w:kern w:val="0"/>
                      <w:sz w:val="20"/>
                      <w:szCs w:val="20"/>
                      <w:highlight w:val="none"/>
                      <w:lang w:val="en-US" w:eastAsia="zh-CN" w:bidi="ar-SA"/>
                    </w:rPr>
                    <w:t>桶装</w:t>
                  </w:r>
                </w:p>
              </w:tc>
              <w:tc>
                <w:tcPr>
                  <w:tcW w:w="398" w:type="pct"/>
                  <w:vMerge w:val="restart"/>
                  <w:tcBorders>
                    <w:tl2br w:val="nil"/>
                    <w:tr2bl w:val="nil"/>
                  </w:tcBorders>
                  <w:vAlign w:val="center"/>
                </w:tcPr>
                <w:p w14:paraId="3F225180">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rPr>
                  </w:pPr>
                  <w:r>
                    <w:rPr>
                      <w:rFonts w:hint="eastAsia" w:cs="Times New Roman"/>
                      <w:color w:val="auto"/>
                      <w:kern w:val="0"/>
                      <w:sz w:val="20"/>
                      <w:szCs w:val="20"/>
                      <w:highlight w:val="none"/>
                      <w:lang w:val="en-US" w:eastAsia="zh-CN"/>
                    </w:rPr>
                    <w:t>65</w:t>
                  </w:r>
                  <w:r>
                    <w:rPr>
                      <w:rFonts w:hint="default" w:ascii="Times New Roman" w:hAnsi="Times New Roman" w:eastAsia="宋体" w:cs="Times New Roman"/>
                      <w:color w:val="auto"/>
                      <w:kern w:val="0"/>
                      <w:sz w:val="20"/>
                      <w:szCs w:val="20"/>
                      <w:highlight w:val="none"/>
                    </w:rPr>
                    <w:t>m</w:t>
                  </w:r>
                  <w:r>
                    <w:rPr>
                      <w:rFonts w:hint="default" w:ascii="Times New Roman" w:hAnsi="Times New Roman" w:eastAsia="宋体" w:cs="Times New Roman"/>
                      <w:color w:val="auto"/>
                      <w:kern w:val="0"/>
                      <w:sz w:val="20"/>
                      <w:szCs w:val="20"/>
                      <w:highlight w:val="none"/>
                      <w:vertAlign w:val="superscript"/>
                    </w:rPr>
                    <w:t>2</w:t>
                  </w:r>
                </w:p>
              </w:tc>
              <w:tc>
                <w:tcPr>
                  <w:tcW w:w="395" w:type="pct"/>
                  <w:tcBorders>
                    <w:tl2br w:val="nil"/>
                    <w:tr2bl w:val="nil"/>
                  </w:tcBorders>
                  <w:vAlign w:val="center"/>
                </w:tcPr>
                <w:p w14:paraId="68B7635F">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0"/>
                      <w:szCs w:val="20"/>
                      <w:highlight w:val="none"/>
                      <w:lang w:val="en-US" w:eastAsia="zh-CN"/>
                    </w:rPr>
                  </w:pPr>
                </w:p>
              </w:tc>
            </w:tr>
            <w:tr w14:paraId="0A59F1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 w:type="pct"/>
                  <w:tcBorders>
                    <w:tl2br w:val="nil"/>
                    <w:tr2bl w:val="nil"/>
                  </w:tcBorders>
                  <w:vAlign w:val="center"/>
                </w:tcPr>
                <w:p w14:paraId="0B141168">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eastAsia"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2</w:t>
                  </w:r>
                </w:p>
              </w:tc>
              <w:tc>
                <w:tcPr>
                  <w:tcW w:w="392" w:type="pct"/>
                  <w:vMerge w:val="continue"/>
                  <w:tcBorders>
                    <w:tl2br w:val="nil"/>
                    <w:tr2bl w:val="nil"/>
                  </w:tcBorders>
                  <w:vAlign w:val="center"/>
                </w:tcPr>
                <w:p w14:paraId="3AC26AD6">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0"/>
                      <w:szCs w:val="20"/>
                      <w:highlight w:val="none"/>
                    </w:rPr>
                  </w:pPr>
                </w:p>
              </w:tc>
              <w:tc>
                <w:tcPr>
                  <w:tcW w:w="701" w:type="pct"/>
                  <w:vMerge w:val="continue"/>
                  <w:tcBorders>
                    <w:tl2br w:val="nil"/>
                    <w:tr2bl w:val="nil"/>
                  </w:tcBorders>
                  <w:vAlign w:val="center"/>
                </w:tcPr>
                <w:p w14:paraId="54FC00A4">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0"/>
                      <w:szCs w:val="20"/>
                      <w:highlight w:val="none"/>
                      <w:lang w:val="en-US" w:eastAsia="zh-CN"/>
                    </w:rPr>
                  </w:pPr>
                </w:p>
              </w:tc>
              <w:tc>
                <w:tcPr>
                  <w:tcW w:w="1319" w:type="dxa"/>
                  <w:tcBorders>
                    <w:tl2br w:val="nil"/>
                    <w:tr2bl w:val="nil"/>
                  </w:tcBorders>
                  <w:vAlign w:val="center"/>
                </w:tcPr>
                <w:p w14:paraId="440222CB">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0"/>
                      <w:szCs w:val="20"/>
                      <w:highlight w:val="none"/>
                    </w:rPr>
                  </w:pPr>
                  <w:r>
                    <w:rPr>
                      <w:rFonts w:hint="default" w:ascii="Times New Roman" w:hAnsi="Times New Roman" w:eastAsia="宋体" w:cs="Times New Roman"/>
                      <w:color w:val="auto"/>
                      <w:kern w:val="0"/>
                      <w:sz w:val="20"/>
                      <w:szCs w:val="20"/>
                      <w:highlight w:val="none"/>
                      <w:lang w:val="en-US" w:eastAsia="zh-CN"/>
                    </w:rPr>
                    <w:t>废生物材料</w:t>
                  </w:r>
                </w:p>
              </w:tc>
              <w:tc>
                <w:tcPr>
                  <w:tcW w:w="692" w:type="dxa"/>
                  <w:tcBorders>
                    <w:tl2br w:val="nil"/>
                    <w:tr2bl w:val="nil"/>
                  </w:tcBorders>
                  <w:vAlign w:val="center"/>
                </w:tcPr>
                <w:p w14:paraId="4F8B4296">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0"/>
                      <w:szCs w:val="20"/>
                      <w:highlight w:val="none"/>
                    </w:rPr>
                  </w:pPr>
                  <w:r>
                    <w:rPr>
                      <w:rFonts w:hint="default" w:ascii="Times New Roman" w:hAnsi="Times New Roman" w:eastAsia="宋体" w:cs="Times New Roman"/>
                      <w:color w:val="auto"/>
                      <w:kern w:val="0"/>
                      <w:sz w:val="20"/>
                      <w:szCs w:val="20"/>
                      <w:highlight w:val="none"/>
                      <w:lang w:val="en-US" w:eastAsia="zh-CN"/>
                    </w:rPr>
                    <w:t xml:space="preserve">HW49 </w:t>
                  </w:r>
                </w:p>
              </w:tc>
              <w:tc>
                <w:tcPr>
                  <w:tcW w:w="1113" w:type="dxa"/>
                  <w:tcBorders>
                    <w:tl2br w:val="nil"/>
                    <w:tr2bl w:val="nil"/>
                  </w:tcBorders>
                  <w:vAlign w:val="center"/>
                </w:tcPr>
                <w:p w14:paraId="4F82428F">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0"/>
                      <w:szCs w:val="20"/>
                      <w:highlight w:val="none"/>
                    </w:rPr>
                  </w:pPr>
                  <w:r>
                    <w:rPr>
                      <w:rFonts w:hint="default" w:ascii="Times New Roman" w:hAnsi="Times New Roman" w:eastAsia="宋体" w:cs="Times New Roman"/>
                      <w:color w:val="auto"/>
                      <w:kern w:val="0"/>
                      <w:sz w:val="20"/>
                      <w:szCs w:val="20"/>
                      <w:highlight w:val="none"/>
                      <w:lang w:val="en-US" w:eastAsia="zh-CN"/>
                    </w:rPr>
                    <w:t>900-047-49</w:t>
                  </w:r>
                </w:p>
              </w:tc>
              <w:tc>
                <w:tcPr>
                  <w:tcW w:w="308" w:type="pct"/>
                  <w:vMerge w:val="continue"/>
                  <w:tcBorders>
                    <w:tl2br w:val="nil"/>
                    <w:tr2bl w:val="nil"/>
                  </w:tcBorders>
                  <w:vAlign w:val="center"/>
                </w:tcPr>
                <w:p w14:paraId="15AB5690">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rPr>
                  </w:pPr>
                </w:p>
              </w:tc>
              <w:tc>
                <w:tcPr>
                  <w:tcW w:w="387" w:type="pct"/>
                  <w:vMerge w:val="continue"/>
                  <w:tcBorders>
                    <w:tl2br w:val="nil"/>
                    <w:tr2bl w:val="nil"/>
                  </w:tcBorders>
                  <w:vAlign w:val="center"/>
                </w:tcPr>
                <w:p w14:paraId="12E3C24B">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rPr>
                  </w:pPr>
                </w:p>
              </w:tc>
              <w:tc>
                <w:tcPr>
                  <w:tcW w:w="614" w:type="dxa"/>
                  <w:tcBorders>
                    <w:tl2br w:val="nil"/>
                    <w:tr2bl w:val="nil"/>
                  </w:tcBorders>
                  <w:vAlign w:val="center"/>
                </w:tcPr>
                <w:p w14:paraId="61034D2D">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Cs/>
                      <w:color w:val="auto"/>
                      <w:kern w:val="0"/>
                      <w:sz w:val="20"/>
                      <w:szCs w:val="20"/>
                      <w:highlight w:val="none"/>
                      <w:lang w:val="en-US" w:eastAsia="zh-CN" w:bidi="ar-SA"/>
                    </w:rPr>
                  </w:pPr>
                  <w:r>
                    <w:rPr>
                      <w:rFonts w:hint="default" w:ascii="Times New Roman" w:hAnsi="Times New Roman" w:eastAsia="宋体" w:cs="Times New Roman"/>
                      <w:bCs/>
                      <w:color w:val="auto"/>
                      <w:kern w:val="0"/>
                      <w:sz w:val="20"/>
                      <w:szCs w:val="20"/>
                      <w:highlight w:val="none"/>
                      <w:lang w:val="en-US" w:eastAsia="zh-CN"/>
                    </w:rPr>
                    <w:t>桶装</w:t>
                  </w:r>
                </w:p>
              </w:tc>
              <w:tc>
                <w:tcPr>
                  <w:tcW w:w="398" w:type="pct"/>
                  <w:vMerge w:val="continue"/>
                  <w:tcBorders>
                    <w:tl2br w:val="nil"/>
                    <w:tr2bl w:val="nil"/>
                  </w:tcBorders>
                  <w:vAlign w:val="center"/>
                </w:tcPr>
                <w:p w14:paraId="5100B500">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rPr>
                  </w:pPr>
                </w:p>
              </w:tc>
              <w:tc>
                <w:tcPr>
                  <w:tcW w:w="395" w:type="pct"/>
                  <w:tcBorders>
                    <w:tl2br w:val="nil"/>
                    <w:tr2bl w:val="nil"/>
                  </w:tcBorders>
                  <w:vAlign w:val="center"/>
                </w:tcPr>
                <w:p w14:paraId="2E91A651">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0"/>
                      <w:szCs w:val="20"/>
                      <w:highlight w:val="none"/>
                      <w:lang w:val="en-US" w:eastAsia="zh-CN"/>
                    </w:rPr>
                  </w:pPr>
                </w:p>
              </w:tc>
            </w:tr>
            <w:tr w14:paraId="10A121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 w:type="pct"/>
                  <w:tcBorders>
                    <w:tl2br w:val="nil"/>
                    <w:tr2bl w:val="nil"/>
                  </w:tcBorders>
                  <w:vAlign w:val="center"/>
                </w:tcPr>
                <w:p w14:paraId="4B5F991F">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eastAsia" w:ascii="Times New Roman" w:hAnsi="Times New Roman" w:eastAsia="宋体" w:cs="Times New Roman"/>
                      <w:color w:val="auto"/>
                      <w:kern w:val="0"/>
                      <w:sz w:val="20"/>
                      <w:szCs w:val="20"/>
                      <w:highlight w:val="none"/>
                      <w:lang w:val="en-US" w:eastAsia="zh-CN"/>
                    </w:rPr>
                  </w:pPr>
                  <w:r>
                    <w:rPr>
                      <w:rFonts w:hint="eastAsia" w:ascii="Times New Roman" w:hAnsi="Times New Roman" w:eastAsia="宋体" w:cs="Times New Roman"/>
                      <w:color w:val="auto"/>
                      <w:kern w:val="0"/>
                      <w:sz w:val="20"/>
                      <w:szCs w:val="20"/>
                      <w:highlight w:val="none"/>
                      <w:lang w:val="en-US" w:eastAsia="zh-CN"/>
                    </w:rPr>
                    <w:t>3</w:t>
                  </w:r>
                </w:p>
              </w:tc>
              <w:tc>
                <w:tcPr>
                  <w:tcW w:w="392" w:type="pct"/>
                  <w:vMerge w:val="continue"/>
                  <w:tcBorders>
                    <w:tl2br w:val="nil"/>
                    <w:tr2bl w:val="nil"/>
                  </w:tcBorders>
                  <w:vAlign w:val="center"/>
                </w:tcPr>
                <w:p w14:paraId="18AD34C1">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rPr>
                  </w:pPr>
                </w:p>
              </w:tc>
              <w:tc>
                <w:tcPr>
                  <w:tcW w:w="701" w:type="pct"/>
                  <w:vMerge w:val="continue"/>
                  <w:tcBorders>
                    <w:tl2br w:val="nil"/>
                    <w:tr2bl w:val="nil"/>
                  </w:tcBorders>
                  <w:vAlign w:val="center"/>
                </w:tcPr>
                <w:p w14:paraId="4DCB6F4F">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0"/>
                      <w:szCs w:val="20"/>
                      <w:highlight w:val="none"/>
                    </w:rPr>
                  </w:pPr>
                </w:p>
              </w:tc>
              <w:tc>
                <w:tcPr>
                  <w:tcW w:w="1319" w:type="dxa"/>
                  <w:tcBorders>
                    <w:tl2br w:val="nil"/>
                    <w:tr2bl w:val="nil"/>
                  </w:tcBorders>
                  <w:vAlign w:val="center"/>
                </w:tcPr>
                <w:p w14:paraId="7EBA0359">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0"/>
                      <w:szCs w:val="20"/>
                      <w:highlight w:val="none"/>
                    </w:rPr>
                  </w:pPr>
                  <w:r>
                    <w:rPr>
                      <w:rFonts w:hint="default" w:ascii="Times New Roman" w:hAnsi="Times New Roman" w:eastAsia="宋体" w:cs="Times New Roman"/>
                      <w:color w:val="auto"/>
                      <w:kern w:val="0"/>
                      <w:sz w:val="20"/>
                      <w:szCs w:val="20"/>
                      <w:highlight w:val="none"/>
                    </w:rPr>
                    <w:t>废化学</w:t>
                  </w:r>
                  <w:r>
                    <w:rPr>
                      <w:rFonts w:hint="eastAsia" w:ascii="Times New Roman" w:hAnsi="Times New Roman" w:eastAsia="宋体" w:cs="Times New Roman"/>
                      <w:color w:val="auto"/>
                      <w:kern w:val="0"/>
                      <w:sz w:val="20"/>
                      <w:szCs w:val="20"/>
                      <w:highlight w:val="none"/>
                      <w:lang w:val="en-US" w:eastAsia="zh-CN"/>
                    </w:rPr>
                    <w:t>品</w:t>
                  </w:r>
                  <w:r>
                    <w:rPr>
                      <w:rFonts w:hint="default" w:ascii="Times New Roman" w:hAnsi="Times New Roman" w:eastAsia="宋体" w:cs="Times New Roman"/>
                      <w:color w:val="auto"/>
                      <w:kern w:val="0"/>
                      <w:sz w:val="20"/>
                      <w:szCs w:val="20"/>
                      <w:highlight w:val="none"/>
                    </w:rPr>
                    <w:t>包装</w:t>
                  </w:r>
                </w:p>
              </w:tc>
              <w:tc>
                <w:tcPr>
                  <w:tcW w:w="692" w:type="dxa"/>
                  <w:tcBorders>
                    <w:tl2br w:val="nil"/>
                    <w:tr2bl w:val="nil"/>
                  </w:tcBorders>
                  <w:vAlign w:val="center"/>
                </w:tcPr>
                <w:p w14:paraId="3EAFD0C9">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0"/>
                      <w:szCs w:val="20"/>
                      <w:highlight w:val="none"/>
                    </w:rPr>
                  </w:pPr>
                  <w:r>
                    <w:rPr>
                      <w:rFonts w:hint="default" w:ascii="Times New Roman" w:hAnsi="Times New Roman" w:eastAsia="宋体" w:cs="Times New Roman"/>
                      <w:color w:val="auto"/>
                      <w:kern w:val="0"/>
                      <w:sz w:val="20"/>
                      <w:szCs w:val="20"/>
                      <w:highlight w:val="none"/>
                      <w:lang w:val="en-US" w:eastAsia="zh-CN"/>
                    </w:rPr>
                    <w:t xml:space="preserve">HW49 </w:t>
                  </w:r>
                </w:p>
              </w:tc>
              <w:tc>
                <w:tcPr>
                  <w:tcW w:w="1113" w:type="dxa"/>
                  <w:tcBorders>
                    <w:tl2br w:val="nil"/>
                    <w:tr2bl w:val="nil"/>
                  </w:tcBorders>
                  <w:vAlign w:val="center"/>
                </w:tcPr>
                <w:p w14:paraId="4708302D">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0"/>
                      <w:szCs w:val="20"/>
                      <w:highlight w:val="none"/>
                    </w:rPr>
                  </w:pPr>
                  <w:r>
                    <w:rPr>
                      <w:rFonts w:hint="default" w:ascii="Times New Roman" w:hAnsi="Times New Roman" w:eastAsia="宋体" w:cs="Times New Roman"/>
                      <w:color w:val="auto"/>
                      <w:kern w:val="0"/>
                      <w:sz w:val="20"/>
                      <w:szCs w:val="20"/>
                      <w:highlight w:val="none"/>
                      <w:lang w:val="en-US" w:eastAsia="zh-CN"/>
                    </w:rPr>
                    <w:t>900-041-49</w:t>
                  </w:r>
                </w:p>
              </w:tc>
              <w:tc>
                <w:tcPr>
                  <w:tcW w:w="308" w:type="pct"/>
                  <w:vMerge w:val="continue"/>
                  <w:tcBorders>
                    <w:tl2br w:val="nil"/>
                    <w:tr2bl w:val="nil"/>
                  </w:tcBorders>
                  <w:vAlign w:val="center"/>
                </w:tcPr>
                <w:p w14:paraId="133A7CBD">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rPr>
                  </w:pPr>
                </w:p>
              </w:tc>
              <w:tc>
                <w:tcPr>
                  <w:tcW w:w="387" w:type="pct"/>
                  <w:vMerge w:val="continue"/>
                  <w:tcBorders>
                    <w:tl2br w:val="nil"/>
                    <w:tr2bl w:val="nil"/>
                  </w:tcBorders>
                  <w:vAlign w:val="center"/>
                </w:tcPr>
                <w:p w14:paraId="30E8CE4F">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rPr>
                  </w:pPr>
                </w:p>
              </w:tc>
              <w:tc>
                <w:tcPr>
                  <w:tcW w:w="614" w:type="dxa"/>
                  <w:tcBorders>
                    <w:tl2br w:val="nil"/>
                    <w:tr2bl w:val="nil"/>
                  </w:tcBorders>
                  <w:vAlign w:val="center"/>
                </w:tcPr>
                <w:p w14:paraId="37AD2D9F">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0"/>
                      <w:szCs w:val="20"/>
                      <w:highlight w:val="none"/>
                      <w:lang w:val="en-US" w:eastAsia="zh-CN" w:bidi="ar-SA"/>
                    </w:rPr>
                  </w:pPr>
                  <w:r>
                    <w:rPr>
                      <w:rFonts w:hint="default" w:ascii="Times New Roman" w:hAnsi="Times New Roman" w:eastAsia="宋体" w:cs="Times New Roman"/>
                      <w:bCs/>
                      <w:color w:val="auto"/>
                      <w:kern w:val="0"/>
                      <w:sz w:val="20"/>
                      <w:szCs w:val="20"/>
                      <w:highlight w:val="none"/>
                      <w:lang w:val="en-US" w:eastAsia="zh-CN" w:bidi="ar-SA"/>
                    </w:rPr>
                    <w:t>桶装</w:t>
                  </w:r>
                </w:p>
              </w:tc>
              <w:tc>
                <w:tcPr>
                  <w:tcW w:w="398" w:type="pct"/>
                  <w:vMerge w:val="continue"/>
                  <w:tcBorders>
                    <w:tl2br w:val="nil"/>
                    <w:tr2bl w:val="nil"/>
                  </w:tcBorders>
                  <w:vAlign w:val="center"/>
                </w:tcPr>
                <w:p w14:paraId="5FF3001C">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rPr>
                  </w:pPr>
                </w:p>
              </w:tc>
              <w:tc>
                <w:tcPr>
                  <w:tcW w:w="395" w:type="pct"/>
                  <w:tcBorders>
                    <w:tl2br w:val="nil"/>
                    <w:tr2bl w:val="nil"/>
                  </w:tcBorders>
                  <w:vAlign w:val="center"/>
                </w:tcPr>
                <w:p w14:paraId="7F2198D9">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lang w:eastAsia="zh-CN"/>
                    </w:rPr>
                  </w:pPr>
                </w:p>
              </w:tc>
            </w:tr>
            <w:tr w14:paraId="62E659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 w:type="pct"/>
                  <w:tcBorders>
                    <w:tl2br w:val="nil"/>
                    <w:tr2bl w:val="nil"/>
                  </w:tcBorders>
                  <w:vAlign w:val="center"/>
                </w:tcPr>
                <w:p w14:paraId="75A2D97D">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eastAsia" w:ascii="Times New Roman" w:hAnsi="Times New Roman" w:eastAsia="宋体" w:cs="Times New Roman"/>
                      <w:color w:val="auto"/>
                      <w:kern w:val="0"/>
                      <w:sz w:val="20"/>
                      <w:szCs w:val="20"/>
                      <w:highlight w:val="none"/>
                      <w:lang w:val="en-US" w:eastAsia="zh-CN"/>
                    </w:rPr>
                  </w:pPr>
                  <w:r>
                    <w:rPr>
                      <w:rFonts w:hint="eastAsia" w:ascii="Times New Roman" w:hAnsi="Times New Roman" w:eastAsia="宋体" w:cs="Times New Roman"/>
                      <w:color w:val="auto"/>
                      <w:kern w:val="0"/>
                      <w:sz w:val="20"/>
                      <w:szCs w:val="20"/>
                      <w:highlight w:val="none"/>
                      <w:lang w:val="en-US" w:eastAsia="zh-CN"/>
                    </w:rPr>
                    <w:t>4</w:t>
                  </w:r>
                </w:p>
              </w:tc>
              <w:tc>
                <w:tcPr>
                  <w:tcW w:w="392" w:type="pct"/>
                  <w:vMerge w:val="continue"/>
                  <w:tcBorders>
                    <w:tl2br w:val="nil"/>
                    <w:tr2bl w:val="nil"/>
                  </w:tcBorders>
                  <w:vAlign w:val="center"/>
                </w:tcPr>
                <w:p w14:paraId="16CAD1FF">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rPr>
                  </w:pPr>
                </w:p>
              </w:tc>
              <w:tc>
                <w:tcPr>
                  <w:tcW w:w="701" w:type="pct"/>
                  <w:vMerge w:val="continue"/>
                  <w:tcBorders>
                    <w:tl2br w:val="nil"/>
                    <w:tr2bl w:val="nil"/>
                  </w:tcBorders>
                  <w:vAlign w:val="center"/>
                </w:tcPr>
                <w:p w14:paraId="17D001FF">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0"/>
                      <w:szCs w:val="20"/>
                      <w:highlight w:val="none"/>
                    </w:rPr>
                  </w:pPr>
                </w:p>
              </w:tc>
              <w:tc>
                <w:tcPr>
                  <w:tcW w:w="1319" w:type="dxa"/>
                  <w:tcBorders>
                    <w:tl2br w:val="nil"/>
                    <w:tr2bl w:val="nil"/>
                  </w:tcBorders>
                  <w:vAlign w:val="center"/>
                </w:tcPr>
                <w:p w14:paraId="7436620D">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0"/>
                      <w:szCs w:val="20"/>
                      <w:highlight w:val="none"/>
                    </w:rPr>
                  </w:pPr>
                  <w:r>
                    <w:rPr>
                      <w:rFonts w:hint="default" w:ascii="Times New Roman" w:hAnsi="Times New Roman" w:eastAsia="宋体" w:cs="Times New Roman"/>
                      <w:color w:val="auto"/>
                      <w:kern w:val="0"/>
                      <w:sz w:val="20"/>
                      <w:szCs w:val="20"/>
                      <w:highlight w:val="none"/>
                      <w:lang w:val="en-US" w:eastAsia="zh-CN"/>
                    </w:rPr>
                    <w:t>废实验耗材</w:t>
                  </w:r>
                </w:p>
              </w:tc>
              <w:tc>
                <w:tcPr>
                  <w:tcW w:w="692" w:type="dxa"/>
                  <w:tcBorders>
                    <w:tl2br w:val="nil"/>
                    <w:tr2bl w:val="nil"/>
                  </w:tcBorders>
                  <w:vAlign w:val="center"/>
                </w:tcPr>
                <w:p w14:paraId="56DDAC1C">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0"/>
                      <w:szCs w:val="20"/>
                      <w:highlight w:val="none"/>
                    </w:rPr>
                  </w:pPr>
                  <w:r>
                    <w:rPr>
                      <w:rFonts w:hint="default" w:ascii="Times New Roman" w:hAnsi="Times New Roman" w:eastAsia="宋体" w:cs="Times New Roman"/>
                      <w:color w:val="auto"/>
                      <w:kern w:val="0"/>
                      <w:sz w:val="20"/>
                      <w:szCs w:val="20"/>
                      <w:highlight w:val="none"/>
                      <w:lang w:val="en-US" w:eastAsia="zh-CN"/>
                    </w:rPr>
                    <w:t xml:space="preserve">HW49 </w:t>
                  </w:r>
                </w:p>
              </w:tc>
              <w:tc>
                <w:tcPr>
                  <w:tcW w:w="1113" w:type="dxa"/>
                  <w:tcBorders>
                    <w:tl2br w:val="nil"/>
                    <w:tr2bl w:val="nil"/>
                  </w:tcBorders>
                  <w:vAlign w:val="center"/>
                </w:tcPr>
                <w:p w14:paraId="0AFE70C4">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0"/>
                      <w:szCs w:val="20"/>
                      <w:highlight w:val="none"/>
                    </w:rPr>
                  </w:pPr>
                  <w:r>
                    <w:rPr>
                      <w:rFonts w:hint="default" w:ascii="Times New Roman" w:hAnsi="Times New Roman" w:eastAsia="宋体" w:cs="Times New Roman"/>
                      <w:color w:val="auto"/>
                      <w:kern w:val="0"/>
                      <w:sz w:val="20"/>
                      <w:szCs w:val="20"/>
                      <w:highlight w:val="none"/>
                      <w:lang w:val="en-US" w:eastAsia="zh-CN"/>
                    </w:rPr>
                    <w:t>900-04</w:t>
                  </w:r>
                  <w:r>
                    <w:rPr>
                      <w:rFonts w:hint="eastAsia" w:ascii="Times New Roman" w:hAnsi="Times New Roman" w:eastAsia="宋体" w:cs="Times New Roman"/>
                      <w:color w:val="auto"/>
                      <w:kern w:val="0"/>
                      <w:sz w:val="20"/>
                      <w:szCs w:val="20"/>
                      <w:highlight w:val="none"/>
                      <w:lang w:val="en-US" w:eastAsia="zh-CN"/>
                    </w:rPr>
                    <w:t>7</w:t>
                  </w:r>
                  <w:r>
                    <w:rPr>
                      <w:rFonts w:hint="default" w:ascii="Times New Roman" w:hAnsi="Times New Roman" w:eastAsia="宋体" w:cs="Times New Roman"/>
                      <w:color w:val="auto"/>
                      <w:kern w:val="0"/>
                      <w:sz w:val="20"/>
                      <w:szCs w:val="20"/>
                      <w:highlight w:val="none"/>
                      <w:lang w:val="en-US" w:eastAsia="zh-CN"/>
                    </w:rPr>
                    <w:t>-49</w:t>
                  </w:r>
                </w:p>
              </w:tc>
              <w:tc>
                <w:tcPr>
                  <w:tcW w:w="308" w:type="pct"/>
                  <w:vMerge w:val="continue"/>
                  <w:tcBorders>
                    <w:tl2br w:val="nil"/>
                    <w:tr2bl w:val="nil"/>
                  </w:tcBorders>
                  <w:vAlign w:val="center"/>
                </w:tcPr>
                <w:p w14:paraId="1D8B691E">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rPr>
                  </w:pPr>
                </w:p>
              </w:tc>
              <w:tc>
                <w:tcPr>
                  <w:tcW w:w="387" w:type="pct"/>
                  <w:vMerge w:val="continue"/>
                  <w:tcBorders>
                    <w:tl2br w:val="nil"/>
                    <w:tr2bl w:val="nil"/>
                  </w:tcBorders>
                  <w:vAlign w:val="center"/>
                </w:tcPr>
                <w:p w14:paraId="7926AE76">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rPr>
                  </w:pPr>
                </w:p>
              </w:tc>
              <w:tc>
                <w:tcPr>
                  <w:tcW w:w="614" w:type="dxa"/>
                  <w:tcBorders>
                    <w:tl2br w:val="nil"/>
                    <w:tr2bl w:val="nil"/>
                  </w:tcBorders>
                  <w:vAlign w:val="center"/>
                </w:tcPr>
                <w:p w14:paraId="7937A672">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0"/>
                      <w:szCs w:val="20"/>
                      <w:highlight w:val="none"/>
                    </w:rPr>
                  </w:pPr>
                  <w:r>
                    <w:rPr>
                      <w:rFonts w:hint="default" w:ascii="Times New Roman" w:hAnsi="Times New Roman" w:eastAsia="宋体" w:cs="Times New Roman"/>
                      <w:bCs/>
                      <w:color w:val="auto"/>
                      <w:kern w:val="0"/>
                      <w:sz w:val="20"/>
                      <w:szCs w:val="20"/>
                      <w:highlight w:val="none"/>
                      <w:lang w:val="en-US" w:eastAsia="zh-CN"/>
                    </w:rPr>
                    <w:t>桶装</w:t>
                  </w:r>
                </w:p>
              </w:tc>
              <w:tc>
                <w:tcPr>
                  <w:tcW w:w="398" w:type="pct"/>
                  <w:vMerge w:val="continue"/>
                  <w:tcBorders>
                    <w:tl2br w:val="nil"/>
                    <w:tr2bl w:val="nil"/>
                  </w:tcBorders>
                  <w:vAlign w:val="center"/>
                </w:tcPr>
                <w:p w14:paraId="67E1688A">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rPr>
                  </w:pPr>
                </w:p>
              </w:tc>
              <w:tc>
                <w:tcPr>
                  <w:tcW w:w="395" w:type="pct"/>
                  <w:tcBorders>
                    <w:tl2br w:val="nil"/>
                    <w:tr2bl w:val="nil"/>
                  </w:tcBorders>
                  <w:vAlign w:val="center"/>
                </w:tcPr>
                <w:p w14:paraId="21C56875">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rPr>
                  </w:pPr>
                </w:p>
              </w:tc>
            </w:tr>
            <w:tr w14:paraId="71A520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 w:type="pct"/>
                  <w:tcBorders>
                    <w:tl2br w:val="nil"/>
                    <w:tr2bl w:val="nil"/>
                  </w:tcBorders>
                  <w:vAlign w:val="center"/>
                </w:tcPr>
                <w:p w14:paraId="67DD281D">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eastAsia"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5</w:t>
                  </w:r>
                </w:p>
              </w:tc>
              <w:tc>
                <w:tcPr>
                  <w:tcW w:w="392" w:type="pct"/>
                  <w:vMerge w:val="continue"/>
                  <w:tcBorders>
                    <w:tl2br w:val="nil"/>
                    <w:tr2bl w:val="nil"/>
                  </w:tcBorders>
                  <w:vAlign w:val="center"/>
                </w:tcPr>
                <w:p w14:paraId="663D718F">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rPr>
                  </w:pPr>
                </w:p>
              </w:tc>
              <w:tc>
                <w:tcPr>
                  <w:tcW w:w="701" w:type="pct"/>
                  <w:vMerge w:val="continue"/>
                  <w:tcBorders>
                    <w:tl2br w:val="nil"/>
                    <w:tr2bl w:val="nil"/>
                  </w:tcBorders>
                  <w:vAlign w:val="center"/>
                </w:tcPr>
                <w:p w14:paraId="17B7E237">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0"/>
                      <w:szCs w:val="20"/>
                      <w:highlight w:val="none"/>
                    </w:rPr>
                  </w:pPr>
                </w:p>
              </w:tc>
              <w:tc>
                <w:tcPr>
                  <w:tcW w:w="1319" w:type="dxa"/>
                  <w:tcBorders>
                    <w:tl2br w:val="nil"/>
                    <w:tr2bl w:val="nil"/>
                  </w:tcBorders>
                  <w:vAlign w:val="center"/>
                </w:tcPr>
                <w:p w14:paraId="71A831C5">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lang w:val="en-US" w:eastAsia="zh-CN"/>
                    </w:rPr>
                    <w:t>生物安全柜废滤芯</w:t>
                  </w:r>
                </w:p>
              </w:tc>
              <w:tc>
                <w:tcPr>
                  <w:tcW w:w="692" w:type="dxa"/>
                  <w:tcBorders>
                    <w:tl2br w:val="nil"/>
                    <w:tr2bl w:val="nil"/>
                  </w:tcBorders>
                  <w:vAlign w:val="center"/>
                </w:tcPr>
                <w:p w14:paraId="07055A5E">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0"/>
                      <w:szCs w:val="20"/>
                      <w:highlight w:val="none"/>
                    </w:rPr>
                  </w:pPr>
                  <w:r>
                    <w:rPr>
                      <w:rFonts w:hint="default" w:ascii="Times New Roman" w:hAnsi="Times New Roman" w:eastAsia="宋体" w:cs="Times New Roman"/>
                      <w:color w:val="auto"/>
                      <w:kern w:val="0"/>
                      <w:sz w:val="20"/>
                      <w:szCs w:val="20"/>
                      <w:highlight w:val="none"/>
                      <w:lang w:val="en-US" w:eastAsia="zh-CN"/>
                    </w:rPr>
                    <w:t xml:space="preserve">HW49 </w:t>
                  </w:r>
                </w:p>
              </w:tc>
              <w:tc>
                <w:tcPr>
                  <w:tcW w:w="1113" w:type="dxa"/>
                  <w:tcBorders>
                    <w:tl2br w:val="nil"/>
                    <w:tr2bl w:val="nil"/>
                  </w:tcBorders>
                  <w:vAlign w:val="center"/>
                </w:tcPr>
                <w:p w14:paraId="4D381AC6">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0"/>
                      <w:szCs w:val="20"/>
                      <w:highlight w:val="none"/>
                    </w:rPr>
                  </w:pPr>
                  <w:r>
                    <w:rPr>
                      <w:rFonts w:hint="default" w:ascii="Times New Roman" w:hAnsi="Times New Roman" w:eastAsia="宋体" w:cs="Times New Roman"/>
                      <w:color w:val="auto"/>
                      <w:kern w:val="0"/>
                      <w:sz w:val="20"/>
                      <w:szCs w:val="20"/>
                      <w:highlight w:val="none"/>
                      <w:lang w:val="en-US" w:eastAsia="zh-CN"/>
                    </w:rPr>
                    <w:t>900-04</w:t>
                  </w:r>
                  <w:r>
                    <w:rPr>
                      <w:rFonts w:hint="eastAsia" w:ascii="Times New Roman" w:hAnsi="Times New Roman" w:eastAsia="宋体" w:cs="Times New Roman"/>
                      <w:color w:val="auto"/>
                      <w:kern w:val="0"/>
                      <w:sz w:val="20"/>
                      <w:szCs w:val="20"/>
                      <w:highlight w:val="none"/>
                      <w:lang w:val="en-US" w:eastAsia="zh-CN"/>
                    </w:rPr>
                    <w:t>7</w:t>
                  </w:r>
                  <w:r>
                    <w:rPr>
                      <w:rFonts w:hint="default" w:ascii="Times New Roman" w:hAnsi="Times New Roman" w:eastAsia="宋体" w:cs="Times New Roman"/>
                      <w:color w:val="auto"/>
                      <w:kern w:val="0"/>
                      <w:sz w:val="20"/>
                      <w:szCs w:val="20"/>
                      <w:highlight w:val="none"/>
                      <w:lang w:val="en-US" w:eastAsia="zh-CN"/>
                    </w:rPr>
                    <w:t>-49</w:t>
                  </w:r>
                </w:p>
              </w:tc>
              <w:tc>
                <w:tcPr>
                  <w:tcW w:w="308" w:type="pct"/>
                  <w:vMerge w:val="continue"/>
                  <w:tcBorders>
                    <w:tl2br w:val="nil"/>
                    <w:tr2bl w:val="nil"/>
                  </w:tcBorders>
                  <w:vAlign w:val="center"/>
                </w:tcPr>
                <w:p w14:paraId="2E369FC2">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rPr>
                  </w:pPr>
                </w:p>
              </w:tc>
              <w:tc>
                <w:tcPr>
                  <w:tcW w:w="387" w:type="pct"/>
                  <w:vMerge w:val="continue"/>
                  <w:tcBorders>
                    <w:tl2br w:val="nil"/>
                    <w:tr2bl w:val="nil"/>
                  </w:tcBorders>
                  <w:vAlign w:val="center"/>
                </w:tcPr>
                <w:p w14:paraId="22CA1A7A">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rPr>
                  </w:pPr>
                </w:p>
              </w:tc>
              <w:tc>
                <w:tcPr>
                  <w:tcW w:w="614" w:type="dxa"/>
                  <w:tcBorders>
                    <w:tl2br w:val="nil"/>
                    <w:tr2bl w:val="nil"/>
                  </w:tcBorders>
                  <w:vAlign w:val="center"/>
                </w:tcPr>
                <w:p w14:paraId="2CD65841">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lang w:eastAsia="zh-CN"/>
                    </w:rPr>
                  </w:pPr>
                  <w:r>
                    <w:rPr>
                      <w:rFonts w:hint="default" w:ascii="Times New Roman" w:hAnsi="Times New Roman" w:eastAsia="宋体" w:cs="Times New Roman"/>
                      <w:bCs/>
                      <w:color w:val="auto"/>
                      <w:kern w:val="0"/>
                      <w:sz w:val="20"/>
                      <w:szCs w:val="20"/>
                      <w:highlight w:val="none"/>
                      <w:lang w:val="en-US" w:eastAsia="zh-CN" w:bidi="ar-SA"/>
                    </w:rPr>
                    <w:t>桶装</w:t>
                  </w:r>
                </w:p>
              </w:tc>
              <w:tc>
                <w:tcPr>
                  <w:tcW w:w="398" w:type="pct"/>
                  <w:vMerge w:val="continue"/>
                  <w:tcBorders>
                    <w:tl2br w:val="nil"/>
                    <w:tr2bl w:val="nil"/>
                  </w:tcBorders>
                  <w:vAlign w:val="center"/>
                </w:tcPr>
                <w:p w14:paraId="1221FD10">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rPr>
                  </w:pPr>
                </w:p>
              </w:tc>
              <w:tc>
                <w:tcPr>
                  <w:tcW w:w="395" w:type="pct"/>
                  <w:tcBorders>
                    <w:tl2br w:val="nil"/>
                    <w:tr2bl w:val="nil"/>
                  </w:tcBorders>
                  <w:vAlign w:val="center"/>
                </w:tcPr>
                <w:p w14:paraId="241E005F">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eastAsia" w:ascii="Times New Roman" w:hAnsi="Times New Roman" w:eastAsia="宋体" w:cs="Times New Roman"/>
                      <w:color w:val="auto"/>
                      <w:sz w:val="20"/>
                      <w:szCs w:val="20"/>
                      <w:highlight w:val="none"/>
                      <w:lang w:val="en-US" w:eastAsia="zh-CN"/>
                    </w:rPr>
                  </w:pPr>
                </w:p>
              </w:tc>
            </w:tr>
            <w:tr w14:paraId="35DABE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 w:type="pct"/>
                  <w:tcBorders>
                    <w:tl2br w:val="nil"/>
                    <w:tr2bl w:val="nil"/>
                  </w:tcBorders>
                  <w:vAlign w:val="center"/>
                </w:tcPr>
                <w:p w14:paraId="7DDBF079">
                  <w:pPr>
                    <w:keepNext w:val="0"/>
                    <w:keepLines w:val="0"/>
                    <w:pageBreakBefore w:val="0"/>
                    <w:widowControl/>
                    <w:suppressLineNumbers w:val="0"/>
                    <w:kinsoku/>
                    <w:wordWrap/>
                    <w:overflowPunct/>
                    <w:autoSpaceDE/>
                    <w:autoSpaceDN/>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6</w:t>
                  </w:r>
                </w:p>
              </w:tc>
              <w:tc>
                <w:tcPr>
                  <w:tcW w:w="392" w:type="pct"/>
                  <w:vMerge w:val="continue"/>
                  <w:tcBorders>
                    <w:tl2br w:val="nil"/>
                    <w:tr2bl w:val="nil"/>
                  </w:tcBorders>
                  <w:vAlign w:val="center"/>
                </w:tcPr>
                <w:p w14:paraId="082F31E3">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0"/>
                      <w:szCs w:val="20"/>
                      <w:highlight w:val="none"/>
                    </w:rPr>
                  </w:pPr>
                </w:p>
              </w:tc>
              <w:tc>
                <w:tcPr>
                  <w:tcW w:w="701" w:type="pct"/>
                  <w:vMerge w:val="continue"/>
                  <w:tcBorders>
                    <w:tl2br w:val="nil"/>
                    <w:tr2bl w:val="nil"/>
                  </w:tcBorders>
                  <w:vAlign w:val="center"/>
                </w:tcPr>
                <w:p w14:paraId="21E2B059">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0"/>
                      <w:szCs w:val="20"/>
                      <w:highlight w:val="none"/>
                    </w:rPr>
                  </w:pPr>
                </w:p>
              </w:tc>
              <w:tc>
                <w:tcPr>
                  <w:tcW w:w="1319" w:type="dxa"/>
                  <w:tcBorders>
                    <w:tl2br w:val="nil"/>
                    <w:tr2bl w:val="nil"/>
                  </w:tcBorders>
                  <w:vAlign w:val="center"/>
                </w:tcPr>
                <w:p w14:paraId="24A7F2B6">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lang w:val="en-US" w:eastAsia="zh-CN"/>
                    </w:rPr>
                    <w:t>纯水制备废滤芯</w:t>
                  </w:r>
                </w:p>
              </w:tc>
              <w:tc>
                <w:tcPr>
                  <w:tcW w:w="692" w:type="dxa"/>
                  <w:tcBorders>
                    <w:tl2br w:val="nil"/>
                    <w:tr2bl w:val="nil"/>
                  </w:tcBorders>
                  <w:vAlign w:val="center"/>
                </w:tcPr>
                <w:p w14:paraId="30ACEF86">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0"/>
                      <w:szCs w:val="20"/>
                      <w:highlight w:val="none"/>
                      <w:lang w:val="en-US"/>
                    </w:rPr>
                  </w:pPr>
                  <w:r>
                    <w:rPr>
                      <w:rFonts w:hint="default" w:ascii="Times New Roman" w:hAnsi="Times New Roman" w:eastAsia="宋体" w:cs="Times New Roman"/>
                      <w:color w:val="auto"/>
                      <w:kern w:val="0"/>
                      <w:sz w:val="20"/>
                      <w:szCs w:val="20"/>
                      <w:highlight w:val="none"/>
                      <w:lang w:val="en-US" w:eastAsia="zh-CN"/>
                    </w:rPr>
                    <w:t>HW49</w:t>
                  </w:r>
                </w:p>
              </w:tc>
              <w:tc>
                <w:tcPr>
                  <w:tcW w:w="1113" w:type="dxa"/>
                  <w:tcBorders>
                    <w:tl2br w:val="nil"/>
                    <w:tr2bl w:val="nil"/>
                  </w:tcBorders>
                  <w:vAlign w:val="center"/>
                </w:tcPr>
                <w:p w14:paraId="50CB9D45">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0"/>
                      <w:szCs w:val="20"/>
                      <w:highlight w:val="none"/>
                    </w:rPr>
                  </w:pPr>
                  <w:r>
                    <w:rPr>
                      <w:rFonts w:hint="default" w:ascii="Times New Roman" w:hAnsi="Times New Roman" w:eastAsia="宋体" w:cs="Times New Roman"/>
                      <w:color w:val="auto"/>
                      <w:kern w:val="0"/>
                      <w:sz w:val="20"/>
                      <w:szCs w:val="20"/>
                      <w:highlight w:val="none"/>
                      <w:lang w:val="en-US" w:eastAsia="zh-CN"/>
                    </w:rPr>
                    <w:t>00-047-49</w:t>
                  </w:r>
                </w:p>
              </w:tc>
              <w:tc>
                <w:tcPr>
                  <w:tcW w:w="308" w:type="pct"/>
                  <w:vMerge w:val="continue"/>
                  <w:tcBorders>
                    <w:tl2br w:val="nil"/>
                    <w:tr2bl w:val="nil"/>
                  </w:tcBorders>
                  <w:vAlign w:val="center"/>
                </w:tcPr>
                <w:p w14:paraId="0F691761">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rPr>
                  </w:pPr>
                </w:p>
              </w:tc>
              <w:tc>
                <w:tcPr>
                  <w:tcW w:w="387" w:type="pct"/>
                  <w:vMerge w:val="continue"/>
                  <w:tcBorders>
                    <w:tl2br w:val="nil"/>
                    <w:tr2bl w:val="nil"/>
                  </w:tcBorders>
                  <w:vAlign w:val="center"/>
                </w:tcPr>
                <w:p w14:paraId="00EBC5CD">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rPr>
                  </w:pPr>
                </w:p>
              </w:tc>
              <w:tc>
                <w:tcPr>
                  <w:tcW w:w="614" w:type="dxa"/>
                  <w:tcBorders>
                    <w:tl2br w:val="nil"/>
                    <w:tr2bl w:val="nil"/>
                  </w:tcBorders>
                  <w:vAlign w:val="center"/>
                </w:tcPr>
                <w:p w14:paraId="39F30CB8">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0"/>
                      <w:szCs w:val="20"/>
                      <w:highlight w:val="none"/>
                    </w:rPr>
                  </w:pPr>
                  <w:r>
                    <w:rPr>
                      <w:rFonts w:hint="default" w:ascii="Times New Roman" w:hAnsi="Times New Roman" w:eastAsia="宋体" w:cs="Times New Roman"/>
                      <w:bCs/>
                      <w:color w:val="auto"/>
                      <w:kern w:val="0"/>
                      <w:sz w:val="20"/>
                      <w:szCs w:val="20"/>
                      <w:highlight w:val="none"/>
                      <w:lang w:val="en-US" w:eastAsia="zh-CN"/>
                    </w:rPr>
                    <w:t>桶装</w:t>
                  </w:r>
                </w:p>
              </w:tc>
              <w:tc>
                <w:tcPr>
                  <w:tcW w:w="398" w:type="pct"/>
                  <w:vMerge w:val="continue"/>
                  <w:tcBorders>
                    <w:tl2br w:val="nil"/>
                    <w:tr2bl w:val="nil"/>
                  </w:tcBorders>
                  <w:vAlign w:val="center"/>
                </w:tcPr>
                <w:p w14:paraId="75C2E6F4">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rPr>
                  </w:pPr>
                </w:p>
              </w:tc>
              <w:tc>
                <w:tcPr>
                  <w:tcW w:w="395" w:type="pct"/>
                  <w:tcBorders>
                    <w:tl2br w:val="nil"/>
                    <w:tr2bl w:val="nil"/>
                  </w:tcBorders>
                  <w:vAlign w:val="center"/>
                </w:tcPr>
                <w:p w14:paraId="21AD21C9">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lang w:val="en-US" w:eastAsia="zh-CN"/>
                    </w:rPr>
                  </w:pPr>
                </w:p>
              </w:tc>
            </w:tr>
            <w:tr w14:paraId="559DEB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 w:type="pct"/>
                  <w:tcBorders>
                    <w:tl2br w:val="nil"/>
                    <w:tr2bl w:val="nil"/>
                  </w:tcBorders>
                  <w:vAlign w:val="center"/>
                </w:tcPr>
                <w:p w14:paraId="153380D8">
                  <w:pPr>
                    <w:keepNext w:val="0"/>
                    <w:keepLines w:val="0"/>
                    <w:pageBreakBefore w:val="0"/>
                    <w:widowControl/>
                    <w:suppressLineNumbers w:val="0"/>
                    <w:kinsoku/>
                    <w:wordWrap/>
                    <w:overflowPunct/>
                    <w:autoSpaceDE/>
                    <w:autoSpaceDN/>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7</w:t>
                  </w:r>
                </w:p>
              </w:tc>
              <w:tc>
                <w:tcPr>
                  <w:tcW w:w="392" w:type="pct"/>
                  <w:vMerge w:val="continue"/>
                  <w:tcBorders>
                    <w:tl2br w:val="nil"/>
                    <w:tr2bl w:val="nil"/>
                  </w:tcBorders>
                  <w:vAlign w:val="center"/>
                </w:tcPr>
                <w:p w14:paraId="7A1B0040">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rPr>
                  </w:pPr>
                </w:p>
              </w:tc>
              <w:tc>
                <w:tcPr>
                  <w:tcW w:w="701" w:type="pct"/>
                  <w:vMerge w:val="continue"/>
                  <w:tcBorders>
                    <w:tl2br w:val="nil"/>
                    <w:tr2bl w:val="nil"/>
                  </w:tcBorders>
                  <w:vAlign w:val="center"/>
                </w:tcPr>
                <w:p w14:paraId="11419ADC">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0"/>
                      <w:szCs w:val="20"/>
                      <w:highlight w:val="none"/>
                    </w:rPr>
                  </w:pPr>
                </w:p>
              </w:tc>
              <w:tc>
                <w:tcPr>
                  <w:tcW w:w="1319" w:type="dxa"/>
                  <w:tcBorders>
                    <w:tl2br w:val="nil"/>
                    <w:tr2bl w:val="nil"/>
                  </w:tcBorders>
                  <w:vAlign w:val="center"/>
                </w:tcPr>
                <w:p w14:paraId="5240CD4D">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lang w:val="en-US" w:eastAsia="zh-CN"/>
                    </w:rPr>
                    <w:t>蛋白纯化废滤芯</w:t>
                  </w:r>
                </w:p>
              </w:tc>
              <w:tc>
                <w:tcPr>
                  <w:tcW w:w="692" w:type="dxa"/>
                  <w:tcBorders>
                    <w:tl2br w:val="nil"/>
                    <w:tr2bl w:val="nil"/>
                  </w:tcBorders>
                  <w:vAlign w:val="center"/>
                </w:tcPr>
                <w:p w14:paraId="3324ABD1">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0"/>
                      <w:szCs w:val="20"/>
                      <w:highlight w:val="none"/>
                    </w:rPr>
                  </w:pPr>
                  <w:r>
                    <w:rPr>
                      <w:rFonts w:hint="default" w:ascii="Times New Roman" w:hAnsi="Times New Roman" w:eastAsia="宋体" w:cs="Times New Roman"/>
                      <w:color w:val="auto"/>
                      <w:kern w:val="0"/>
                      <w:sz w:val="20"/>
                      <w:szCs w:val="20"/>
                      <w:highlight w:val="none"/>
                      <w:lang w:val="en-US" w:eastAsia="zh-CN"/>
                    </w:rPr>
                    <w:t xml:space="preserve">HW49 </w:t>
                  </w:r>
                </w:p>
              </w:tc>
              <w:tc>
                <w:tcPr>
                  <w:tcW w:w="1113" w:type="dxa"/>
                  <w:tcBorders>
                    <w:tl2br w:val="nil"/>
                    <w:tr2bl w:val="nil"/>
                  </w:tcBorders>
                  <w:vAlign w:val="center"/>
                </w:tcPr>
                <w:p w14:paraId="6C0DB512">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0"/>
                      <w:szCs w:val="20"/>
                      <w:highlight w:val="none"/>
                    </w:rPr>
                  </w:pPr>
                  <w:r>
                    <w:rPr>
                      <w:rFonts w:hint="default" w:ascii="Times New Roman" w:hAnsi="Times New Roman" w:eastAsia="宋体" w:cs="Times New Roman"/>
                      <w:color w:val="auto"/>
                      <w:kern w:val="0"/>
                      <w:sz w:val="20"/>
                      <w:szCs w:val="20"/>
                      <w:highlight w:val="none"/>
                      <w:lang w:val="en-US" w:eastAsia="zh-CN"/>
                    </w:rPr>
                    <w:t>900-0</w:t>
                  </w:r>
                  <w:r>
                    <w:rPr>
                      <w:rFonts w:hint="eastAsia" w:ascii="Times New Roman" w:hAnsi="Times New Roman" w:eastAsia="宋体" w:cs="Times New Roman"/>
                      <w:color w:val="auto"/>
                      <w:kern w:val="0"/>
                      <w:sz w:val="20"/>
                      <w:szCs w:val="20"/>
                      <w:highlight w:val="none"/>
                      <w:lang w:val="en-US" w:eastAsia="zh-CN"/>
                    </w:rPr>
                    <w:t>47</w:t>
                  </w:r>
                  <w:r>
                    <w:rPr>
                      <w:rFonts w:hint="default" w:ascii="Times New Roman" w:hAnsi="Times New Roman" w:eastAsia="宋体" w:cs="Times New Roman"/>
                      <w:color w:val="auto"/>
                      <w:kern w:val="0"/>
                      <w:sz w:val="20"/>
                      <w:szCs w:val="20"/>
                      <w:highlight w:val="none"/>
                      <w:lang w:val="en-US" w:eastAsia="zh-CN"/>
                    </w:rPr>
                    <w:t>-49</w:t>
                  </w:r>
                </w:p>
              </w:tc>
              <w:tc>
                <w:tcPr>
                  <w:tcW w:w="308" w:type="pct"/>
                  <w:vMerge w:val="continue"/>
                  <w:tcBorders>
                    <w:tl2br w:val="nil"/>
                    <w:tr2bl w:val="nil"/>
                  </w:tcBorders>
                  <w:vAlign w:val="center"/>
                </w:tcPr>
                <w:p w14:paraId="0E293F33">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rPr>
                  </w:pPr>
                </w:p>
              </w:tc>
              <w:tc>
                <w:tcPr>
                  <w:tcW w:w="387" w:type="pct"/>
                  <w:vMerge w:val="continue"/>
                  <w:tcBorders>
                    <w:tl2br w:val="nil"/>
                    <w:tr2bl w:val="nil"/>
                  </w:tcBorders>
                  <w:vAlign w:val="center"/>
                </w:tcPr>
                <w:p w14:paraId="71E0F740">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rPr>
                  </w:pPr>
                </w:p>
              </w:tc>
              <w:tc>
                <w:tcPr>
                  <w:tcW w:w="614" w:type="dxa"/>
                  <w:tcBorders>
                    <w:tl2br w:val="nil"/>
                    <w:tr2bl w:val="nil"/>
                  </w:tcBorders>
                  <w:vAlign w:val="center"/>
                </w:tcPr>
                <w:p w14:paraId="6B6C9CF7">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color w:val="auto"/>
                      <w:kern w:val="0"/>
                      <w:sz w:val="20"/>
                      <w:szCs w:val="20"/>
                      <w:highlight w:val="none"/>
                      <w:lang w:val="en-US" w:eastAsia="zh-CN" w:bidi="ar-SA"/>
                    </w:rPr>
                    <w:t>桶装</w:t>
                  </w:r>
                </w:p>
              </w:tc>
              <w:tc>
                <w:tcPr>
                  <w:tcW w:w="398" w:type="pct"/>
                  <w:vMerge w:val="continue"/>
                  <w:tcBorders>
                    <w:tl2br w:val="nil"/>
                    <w:tr2bl w:val="nil"/>
                  </w:tcBorders>
                  <w:vAlign w:val="center"/>
                </w:tcPr>
                <w:p w14:paraId="4A56EB6C">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rPr>
                  </w:pPr>
                </w:p>
              </w:tc>
              <w:tc>
                <w:tcPr>
                  <w:tcW w:w="395" w:type="pct"/>
                  <w:tcBorders>
                    <w:tl2br w:val="nil"/>
                    <w:tr2bl w:val="nil"/>
                  </w:tcBorders>
                  <w:vAlign w:val="center"/>
                </w:tcPr>
                <w:p w14:paraId="6985D43A">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lang w:val="en-US" w:eastAsia="zh-CN"/>
                    </w:rPr>
                  </w:pPr>
                </w:p>
              </w:tc>
            </w:tr>
            <w:tr w14:paraId="751B26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 w:type="pct"/>
                  <w:tcBorders>
                    <w:tl2br w:val="nil"/>
                    <w:tr2bl w:val="nil"/>
                  </w:tcBorders>
                  <w:vAlign w:val="center"/>
                </w:tcPr>
                <w:p w14:paraId="7F3EB938">
                  <w:pPr>
                    <w:keepNext w:val="0"/>
                    <w:keepLines w:val="0"/>
                    <w:pageBreakBefore w:val="0"/>
                    <w:widowControl/>
                    <w:suppressLineNumbers w:val="0"/>
                    <w:kinsoku/>
                    <w:wordWrap/>
                    <w:overflowPunct/>
                    <w:autoSpaceDE/>
                    <w:autoSpaceDN/>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8</w:t>
                  </w:r>
                </w:p>
              </w:tc>
              <w:tc>
                <w:tcPr>
                  <w:tcW w:w="392" w:type="pct"/>
                  <w:vMerge w:val="continue"/>
                  <w:tcBorders>
                    <w:tl2br w:val="nil"/>
                    <w:tr2bl w:val="nil"/>
                  </w:tcBorders>
                  <w:vAlign w:val="center"/>
                </w:tcPr>
                <w:p w14:paraId="3B2D1F81">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rPr>
                  </w:pPr>
                </w:p>
              </w:tc>
              <w:tc>
                <w:tcPr>
                  <w:tcW w:w="701" w:type="pct"/>
                  <w:vMerge w:val="continue"/>
                  <w:tcBorders>
                    <w:tl2br w:val="nil"/>
                    <w:tr2bl w:val="nil"/>
                  </w:tcBorders>
                  <w:vAlign w:val="center"/>
                </w:tcPr>
                <w:p w14:paraId="73F16077">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0"/>
                      <w:szCs w:val="20"/>
                      <w:highlight w:val="none"/>
                    </w:rPr>
                  </w:pPr>
                </w:p>
              </w:tc>
              <w:tc>
                <w:tcPr>
                  <w:tcW w:w="1319" w:type="dxa"/>
                  <w:tcBorders>
                    <w:tl2br w:val="nil"/>
                    <w:tr2bl w:val="nil"/>
                  </w:tcBorders>
                  <w:vAlign w:val="center"/>
                </w:tcPr>
                <w:p w14:paraId="3A4BE4F0">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lang w:val="en-US" w:eastAsia="zh-CN"/>
                    </w:rPr>
                    <w:t>废活性炭</w:t>
                  </w:r>
                </w:p>
              </w:tc>
              <w:tc>
                <w:tcPr>
                  <w:tcW w:w="692" w:type="dxa"/>
                  <w:tcBorders>
                    <w:tl2br w:val="nil"/>
                    <w:tr2bl w:val="nil"/>
                  </w:tcBorders>
                  <w:vAlign w:val="center"/>
                </w:tcPr>
                <w:p w14:paraId="215064A9">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lang w:val="en-US" w:eastAsia="zh-CN"/>
                    </w:rPr>
                    <w:t>HW49</w:t>
                  </w:r>
                </w:p>
              </w:tc>
              <w:tc>
                <w:tcPr>
                  <w:tcW w:w="1113" w:type="dxa"/>
                  <w:tcBorders>
                    <w:tl2br w:val="nil"/>
                    <w:tr2bl w:val="nil"/>
                  </w:tcBorders>
                  <w:vAlign w:val="center"/>
                </w:tcPr>
                <w:p w14:paraId="68EEA27A">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0"/>
                      <w:szCs w:val="20"/>
                      <w:highlight w:val="none"/>
                    </w:rPr>
                  </w:pPr>
                  <w:r>
                    <w:rPr>
                      <w:rFonts w:hint="default" w:ascii="Times New Roman" w:hAnsi="Times New Roman" w:eastAsia="宋体" w:cs="Times New Roman"/>
                      <w:color w:val="auto"/>
                      <w:kern w:val="0"/>
                      <w:sz w:val="20"/>
                      <w:szCs w:val="20"/>
                      <w:highlight w:val="none"/>
                      <w:lang w:val="en-US" w:eastAsia="zh-CN"/>
                    </w:rPr>
                    <w:t>900-039-49</w:t>
                  </w:r>
                </w:p>
              </w:tc>
              <w:tc>
                <w:tcPr>
                  <w:tcW w:w="308" w:type="pct"/>
                  <w:vMerge w:val="continue"/>
                  <w:tcBorders>
                    <w:tl2br w:val="nil"/>
                    <w:tr2bl w:val="nil"/>
                  </w:tcBorders>
                  <w:vAlign w:val="center"/>
                </w:tcPr>
                <w:p w14:paraId="05653F4E">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rPr>
                  </w:pPr>
                </w:p>
              </w:tc>
              <w:tc>
                <w:tcPr>
                  <w:tcW w:w="387" w:type="pct"/>
                  <w:vMerge w:val="continue"/>
                  <w:tcBorders>
                    <w:tl2br w:val="nil"/>
                    <w:tr2bl w:val="nil"/>
                  </w:tcBorders>
                  <w:vAlign w:val="center"/>
                </w:tcPr>
                <w:p w14:paraId="6DDB808F">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rPr>
                  </w:pPr>
                </w:p>
              </w:tc>
              <w:tc>
                <w:tcPr>
                  <w:tcW w:w="364" w:type="pct"/>
                  <w:tcBorders>
                    <w:tl2br w:val="nil"/>
                    <w:tr2bl w:val="nil"/>
                  </w:tcBorders>
                  <w:vAlign w:val="center"/>
                </w:tcPr>
                <w:p w14:paraId="0DC33CF9">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0"/>
                      <w:szCs w:val="20"/>
                      <w:highlight w:val="none"/>
                      <w:lang w:val="en-US" w:eastAsia="zh-CN" w:bidi="ar-SA"/>
                    </w:rPr>
                  </w:pPr>
                  <w:r>
                    <w:rPr>
                      <w:rFonts w:hint="default" w:ascii="Times New Roman" w:hAnsi="Times New Roman" w:eastAsia="宋体" w:cs="Times New Roman"/>
                      <w:bCs/>
                      <w:color w:val="auto"/>
                      <w:kern w:val="0"/>
                      <w:sz w:val="20"/>
                      <w:szCs w:val="20"/>
                      <w:highlight w:val="none"/>
                      <w:lang w:val="en-US" w:eastAsia="zh-CN" w:bidi="ar-SA"/>
                    </w:rPr>
                    <w:t>吨袋</w:t>
                  </w:r>
                </w:p>
              </w:tc>
              <w:tc>
                <w:tcPr>
                  <w:tcW w:w="398" w:type="pct"/>
                  <w:vMerge w:val="continue"/>
                  <w:tcBorders>
                    <w:tl2br w:val="nil"/>
                    <w:tr2bl w:val="nil"/>
                  </w:tcBorders>
                  <w:vAlign w:val="center"/>
                </w:tcPr>
                <w:p w14:paraId="0C04EA76">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rPr>
                  </w:pPr>
                </w:p>
              </w:tc>
              <w:tc>
                <w:tcPr>
                  <w:tcW w:w="395" w:type="pct"/>
                  <w:tcBorders>
                    <w:tl2br w:val="nil"/>
                    <w:tr2bl w:val="nil"/>
                  </w:tcBorders>
                  <w:vAlign w:val="center"/>
                </w:tcPr>
                <w:p w14:paraId="7932C6EC">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0"/>
                      <w:szCs w:val="20"/>
                      <w:highlight w:val="none"/>
                      <w:lang w:eastAsia="zh-CN"/>
                    </w:rPr>
                  </w:pPr>
                </w:p>
              </w:tc>
            </w:tr>
          </w:tbl>
          <w:p w14:paraId="3C7E556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yellow"/>
              </w:rPr>
            </w:pPr>
            <w:r>
              <w:rPr>
                <w:rFonts w:hint="default" w:ascii="Times New Roman" w:hAnsi="Times New Roman" w:eastAsia="宋体" w:cs="Times New Roman"/>
                <w:color w:val="auto"/>
                <w:sz w:val="24"/>
                <w:szCs w:val="24"/>
                <w:highlight w:val="yellow"/>
              </w:rPr>
              <w:t>本项目建成后</w:t>
            </w:r>
            <w:r>
              <w:rPr>
                <w:rFonts w:hint="eastAsia" w:ascii="Times New Roman" w:hAnsi="Times New Roman" w:eastAsia="宋体" w:cs="Times New Roman"/>
                <w:color w:val="auto"/>
                <w:sz w:val="24"/>
                <w:szCs w:val="24"/>
                <w:highlight w:val="yellow"/>
                <w:lang w:eastAsia="zh-CN"/>
              </w:rPr>
              <w:t>全厂</w:t>
            </w:r>
            <w:r>
              <w:rPr>
                <w:rFonts w:hint="default" w:ascii="Times New Roman" w:hAnsi="Times New Roman" w:eastAsia="宋体" w:cs="Times New Roman"/>
                <w:color w:val="auto"/>
                <w:sz w:val="24"/>
                <w:szCs w:val="24"/>
                <w:highlight w:val="yellow"/>
              </w:rPr>
              <w:t>产生的一般固废包括</w:t>
            </w:r>
            <w:r>
              <w:rPr>
                <w:rFonts w:hint="eastAsia" w:ascii="Times New Roman" w:hAnsi="Times New Roman" w:eastAsia="宋体" w:cs="Times New Roman"/>
                <w:color w:val="auto"/>
                <w:sz w:val="24"/>
                <w:szCs w:val="24"/>
                <w:highlight w:val="yellow"/>
                <w:lang w:val="en-US" w:eastAsia="zh-CN"/>
              </w:rPr>
              <w:t>膜片边角料500t/a、废模型1022.5184t/a、废包装袋4.12t/a、废样品0.1t/a、粉尘11.95t/a、废布袋4t/a、天使扣边角料2t/a、废纸板50t/a</w:t>
            </w:r>
            <w:r>
              <w:rPr>
                <w:rFonts w:hint="eastAsia" w:ascii="Times New Roman" w:hAnsi="Times New Roman" w:eastAsia="宋体" w:cs="Times New Roman"/>
                <w:color w:val="auto"/>
                <w:sz w:val="24"/>
                <w:szCs w:val="24"/>
                <w:highlight w:val="yellow"/>
                <w:lang w:eastAsia="zh-CN"/>
              </w:rPr>
              <w:t>等</w:t>
            </w:r>
            <w:r>
              <w:rPr>
                <w:rFonts w:hint="default" w:ascii="Times New Roman" w:hAnsi="Times New Roman" w:eastAsia="宋体" w:cs="Times New Roman"/>
                <w:color w:val="auto"/>
                <w:sz w:val="24"/>
                <w:szCs w:val="24"/>
                <w:highlight w:val="yellow"/>
              </w:rPr>
              <w:t>，</w:t>
            </w:r>
            <w:r>
              <w:rPr>
                <w:rFonts w:hint="eastAsia" w:ascii="Times New Roman" w:hAnsi="Times New Roman" w:eastAsia="宋体" w:cs="Times New Roman"/>
                <w:color w:val="auto"/>
                <w:sz w:val="24"/>
                <w:szCs w:val="24"/>
                <w:highlight w:val="yellow"/>
                <w:lang w:val="en-US" w:eastAsia="zh-CN"/>
              </w:rPr>
              <w:t>膜片边角料、废模型、天使扣边角料、废纸板</w:t>
            </w:r>
            <w:r>
              <w:rPr>
                <w:rFonts w:hint="eastAsia" w:ascii="Times New Roman" w:hAnsi="Times New Roman" w:eastAsia="宋体" w:cs="Times New Roman"/>
                <w:color w:val="auto"/>
                <w:sz w:val="24"/>
                <w:szCs w:val="24"/>
                <w:highlight w:val="yellow"/>
                <w:lang w:eastAsia="zh-CN"/>
              </w:rPr>
              <w:t>和废</w:t>
            </w:r>
            <w:r>
              <w:rPr>
                <w:rFonts w:hint="eastAsia" w:ascii="Times New Roman" w:hAnsi="Times New Roman" w:eastAsia="宋体" w:cs="Times New Roman"/>
                <w:color w:val="auto"/>
                <w:sz w:val="24"/>
                <w:szCs w:val="24"/>
                <w:highlight w:val="yellow"/>
                <w:lang w:val="en-US" w:eastAsia="zh-CN"/>
              </w:rPr>
              <w:t>包装袋</w:t>
            </w:r>
            <w:r>
              <w:rPr>
                <w:rFonts w:hint="eastAsia" w:ascii="Times New Roman" w:hAnsi="Times New Roman" w:eastAsia="宋体" w:cs="Times New Roman"/>
                <w:color w:val="auto"/>
                <w:sz w:val="24"/>
                <w:szCs w:val="24"/>
                <w:highlight w:val="yellow"/>
                <w:lang w:eastAsia="zh-CN"/>
              </w:rPr>
              <w:t>的</w:t>
            </w:r>
            <w:r>
              <w:rPr>
                <w:rFonts w:hint="default" w:ascii="Times New Roman" w:hAnsi="Times New Roman" w:eastAsia="宋体" w:cs="Times New Roman"/>
                <w:color w:val="auto"/>
                <w:sz w:val="24"/>
                <w:szCs w:val="24"/>
                <w:highlight w:val="yellow"/>
              </w:rPr>
              <w:t>贮存周期为</w:t>
            </w:r>
            <w:r>
              <w:rPr>
                <w:rFonts w:hint="eastAsia" w:ascii="Times New Roman" w:hAnsi="Times New Roman" w:eastAsia="宋体" w:cs="Times New Roman"/>
                <w:color w:val="auto"/>
                <w:sz w:val="24"/>
                <w:szCs w:val="24"/>
                <w:highlight w:val="yellow"/>
                <w:lang w:eastAsia="zh-CN"/>
              </w:rPr>
              <w:t>半</w:t>
            </w:r>
            <w:r>
              <w:rPr>
                <w:rFonts w:hint="eastAsia" w:ascii="Times New Roman" w:hAnsi="Times New Roman" w:eastAsia="宋体" w:cs="Times New Roman"/>
                <w:color w:val="auto"/>
                <w:sz w:val="24"/>
                <w:szCs w:val="24"/>
                <w:highlight w:val="yellow"/>
                <w:lang w:val="en-US" w:eastAsia="zh-CN"/>
              </w:rPr>
              <w:t>个月</w:t>
            </w:r>
            <w:r>
              <w:rPr>
                <w:rFonts w:hint="default" w:ascii="Times New Roman" w:hAnsi="Times New Roman" w:eastAsia="宋体" w:cs="Times New Roman"/>
                <w:color w:val="auto"/>
                <w:sz w:val="24"/>
                <w:szCs w:val="24"/>
                <w:highlight w:val="yellow"/>
              </w:rPr>
              <w:t>，</w:t>
            </w:r>
            <w:r>
              <w:rPr>
                <w:rFonts w:hint="eastAsia" w:ascii="Times New Roman" w:hAnsi="Times New Roman" w:eastAsia="宋体" w:cs="Times New Roman"/>
                <w:color w:val="auto"/>
                <w:sz w:val="24"/>
                <w:szCs w:val="24"/>
                <w:highlight w:val="yellow"/>
                <w:lang w:val="en-US" w:eastAsia="zh-CN"/>
              </w:rPr>
              <w:t>废样品、</w:t>
            </w:r>
            <w:r>
              <w:rPr>
                <w:rFonts w:hint="eastAsia" w:ascii="Times New Roman" w:hAnsi="Times New Roman" w:eastAsia="宋体" w:cs="Times New Roman"/>
                <w:color w:val="auto"/>
                <w:sz w:val="24"/>
                <w:szCs w:val="24"/>
                <w:highlight w:val="yellow"/>
                <w:lang w:eastAsia="zh-CN"/>
              </w:rPr>
              <w:t>粉尘和废布袋的贮存周期为一年，</w:t>
            </w:r>
            <w:r>
              <w:rPr>
                <w:rFonts w:hint="default" w:ascii="Times New Roman" w:hAnsi="Times New Roman" w:eastAsia="宋体" w:cs="Times New Roman"/>
                <w:color w:val="auto"/>
                <w:sz w:val="24"/>
                <w:szCs w:val="24"/>
                <w:highlight w:val="yellow"/>
              </w:rPr>
              <w:t>贮存密度以</w:t>
            </w:r>
            <w:r>
              <w:rPr>
                <w:rFonts w:hint="eastAsia" w:ascii="Times New Roman" w:hAnsi="Times New Roman" w:eastAsia="宋体" w:cs="Times New Roman"/>
                <w:color w:val="auto"/>
                <w:sz w:val="24"/>
                <w:szCs w:val="24"/>
                <w:highlight w:val="yellow"/>
                <w:lang w:val="en-US" w:eastAsia="zh-CN"/>
              </w:rPr>
              <w:t>1</w:t>
            </w:r>
            <w:r>
              <w:rPr>
                <w:rFonts w:hint="default" w:ascii="Times New Roman" w:hAnsi="Times New Roman" w:eastAsia="宋体" w:cs="Times New Roman"/>
                <w:color w:val="auto"/>
                <w:sz w:val="24"/>
                <w:szCs w:val="24"/>
                <w:highlight w:val="yellow"/>
              </w:rPr>
              <w:t>t/m</w:t>
            </w:r>
            <w:r>
              <w:rPr>
                <w:rFonts w:hint="default" w:ascii="Times New Roman" w:hAnsi="Times New Roman" w:eastAsia="宋体" w:cs="Times New Roman"/>
                <w:color w:val="auto"/>
                <w:sz w:val="24"/>
                <w:szCs w:val="24"/>
                <w:highlight w:val="yellow"/>
                <w:vertAlign w:val="superscript"/>
              </w:rPr>
              <w:t>3</w:t>
            </w:r>
            <w:r>
              <w:rPr>
                <w:rFonts w:hint="default" w:ascii="Times New Roman" w:hAnsi="Times New Roman" w:eastAsia="宋体" w:cs="Times New Roman"/>
                <w:color w:val="auto"/>
                <w:sz w:val="24"/>
                <w:szCs w:val="24"/>
                <w:highlight w:val="yellow"/>
              </w:rPr>
              <w:t>计，则一般固废仓库所需</w:t>
            </w:r>
            <w:r>
              <w:rPr>
                <w:rFonts w:hint="eastAsia" w:ascii="Times New Roman" w:hAnsi="Times New Roman" w:eastAsia="宋体" w:cs="Times New Roman"/>
                <w:color w:val="auto"/>
                <w:sz w:val="24"/>
                <w:szCs w:val="24"/>
                <w:highlight w:val="yellow"/>
                <w:lang w:eastAsia="zh-CN"/>
              </w:rPr>
              <w:t>贮存能力为</w:t>
            </w:r>
            <w:r>
              <w:rPr>
                <w:rFonts w:hint="eastAsia" w:ascii="Times New Roman" w:hAnsi="Times New Roman" w:eastAsia="宋体" w:cs="Times New Roman"/>
                <w:color w:val="auto"/>
                <w:sz w:val="24"/>
                <w:szCs w:val="24"/>
                <w:highlight w:val="yellow"/>
                <w:lang w:val="en-US" w:eastAsia="zh-CN"/>
              </w:rPr>
              <w:t>81.83m</w:t>
            </w:r>
            <w:r>
              <w:rPr>
                <w:rFonts w:hint="eastAsia" w:ascii="Times New Roman" w:hAnsi="Times New Roman" w:eastAsia="宋体" w:cs="Times New Roman"/>
                <w:color w:val="auto"/>
                <w:sz w:val="24"/>
                <w:szCs w:val="24"/>
                <w:highlight w:val="yellow"/>
                <w:vertAlign w:val="superscript"/>
                <w:lang w:val="en-US" w:eastAsia="zh-CN"/>
              </w:rPr>
              <w:t>3</w:t>
            </w:r>
            <w:r>
              <w:rPr>
                <w:rFonts w:hint="default" w:ascii="Times New Roman" w:hAnsi="Times New Roman" w:eastAsia="宋体" w:cs="Times New Roman"/>
                <w:color w:val="auto"/>
                <w:sz w:val="24"/>
                <w:szCs w:val="24"/>
                <w:highlight w:val="yellow"/>
              </w:rPr>
              <w:t>，一般固废仓库</w:t>
            </w:r>
            <w:r>
              <w:rPr>
                <w:rFonts w:hint="eastAsia" w:ascii="Times New Roman" w:hAnsi="Times New Roman" w:eastAsia="宋体" w:cs="Times New Roman"/>
                <w:color w:val="auto"/>
                <w:sz w:val="24"/>
                <w:szCs w:val="24"/>
                <w:highlight w:val="yellow"/>
                <w:lang w:eastAsia="zh-CN"/>
              </w:rPr>
              <w:t>贮存能力</w:t>
            </w:r>
            <w:r>
              <w:rPr>
                <w:rFonts w:hint="eastAsia" w:ascii="Times New Roman" w:hAnsi="Times New Roman" w:eastAsia="宋体" w:cs="Times New Roman"/>
                <w:color w:val="auto"/>
                <w:sz w:val="24"/>
                <w:szCs w:val="24"/>
                <w:highlight w:val="yellow"/>
                <w:lang w:val="en-US" w:eastAsia="zh-CN"/>
              </w:rPr>
              <w:t>250</w:t>
            </w:r>
            <w:r>
              <w:rPr>
                <w:rFonts w:hint="default" w:ascii="Times New Roman" w:hAnsi="Times New Roman" w:eastAsia="宋体" w:cs="Times New Roman"/>
                <w:color w:val="auto"/>
                <w:sz w:val="24"/>
                <w:szCs w:val="24"/>
                <w:highlight w:val="yellow"/>
              </w:rPr>
              <w:t>m</w:t>
            </w:r>
            <w:r>
              <w:rPr>
                <w:rFonts w:hint="eastAsia" w:ascii="Times New Roman" w:hAnsi="Times New Roman" w:eastAsia="宋体" w:cs="Times New Roman"/>
                <w:color w:val="auto"/>
                <w:sz w:val="24"/>
                <w:szCs w:val="24"/>
                <w:highlight w:val="yellow"/>
                <w:vertAlign w:val="superscript"/>
                <w:lang w:val="en-US" w:eastAsia="zh-CN"/>
              </w:rPr>
              <w:t>3</w:t>
            </w:r>
            <w:r>
              <w:rPr>
                <w:rFonts w:hint="default" w:ascii="Times New Roman" w:hAnsi="Times New Roman" w:eastAsia="宋体" w:cs="Times New Roman"/>
                <w:color w:val="auto"/>
                <w:sz w:val="24"/>
                <w:szCs w:val="24"/>
                <w:highlight w:val="yellow"/>
              </w:rPr>
              <w:t>，能够满足存储要求。</w:t>
            </w:r>
          </w:p>
          <w:p w14:paraId="1268979C">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yellow"/>
                <w:lang w:val="en-US" w:eastAsia="zh-CN"/>
              </w:rPr>
            </w:pPr>
            <w:r>
              <w:rPr>
                <w:rFonts w:hint="default" w:ascii="Times New Roman" w:hAnsi="Times New Roman" w:eastAsia="宋体" w:cs="Times New Roman"/>
                <w:color w:val="auto"/>
                <w:sz w:val="24"/>
                <w:highlight w:val="yellow"/>
              </w:rPr>
              <w:t>本项目</w:t>
            </w:r>
            <w:r>
              <w:rPr>
                <w:rFonts w:hint="default" w:ascii="Times New Roman" w:hAnsi="Times New Roman" w:eastAsia="宋体" w:cs="Times New Roman"/>
                <w:color w:val="auto"/>
                <w:sz w:val="24"/>
                <w:highlight w:val="yellow"/>
                <w:lang w:val="en-US" w:eastAsia="zh-CN"/>
              </w:rPr>
              <w:t>建成后</w:t>
            </w:r>
            <w:r>
              <w:rPr>
                <w:rFonts w:hint="eastAsia" w:ascii="Times New Roman" w:hAnsi="Times New Roman" w:eastAsia="宋体" w:cs="Times New Roman"/>
                <w:color w:val="auto"/>
                <w:sz w:val="24"/>
                <w:highlight w:val="yellow"/>
                <w:lang w:val="en-US" w:eastAsia="zh-CN"/>
              </w:rPr>
              <w:t>将产生硅油-脱模剂废包装桶215个/年</w:t>
            </w:r>
            <w:r>
              <w:rPr>
                <w:rFonts w:hint="default" w:ascii="Times New Roman" w:hAnsi="Times New Roman" w:eastAsia="宋体" w:cs="Times New Roman"/>
                <w:color w:val="auto"/>
                <w:sz w:val="24"/>
                <w:highlight w:val="yellow"/>
                <w:lang w:val="en-US" w:eastAsia="zh-CN"/>
              </w:rPr>
              <w:t>，每</w:t>
            </w:r>
            <w:r>
              <w:rPr>
                <w:rFonts w:hint="eastAsia" w:ascii="Times New Roman" w:hAnsi="Times New Roman" w:eastAsia="宋体" w:cs="Times New Roman"/>
                <w:color w:val="auto"/>
                <w:sz w:val="24"/>
                <w:highlight w:val="yellow"/>
                <w:lang w:val="en-US" w:eastAsia="zh-CN"/>
              </w:rPr>
              <w:t>月转运</w:t>
            </w:r>
            <w:r>
              <w:rPr>
                <w:rFonts w:hint="default" w:ascii="Times New Roman" w:hAnsi="Times New Roman" w:eastAsia="宋体" w:cs="Times New Roman"/>
                <w:color w:val="auto"/>
                <w:sz w:val="24"/>
                <w:highlight w:val="yellow"/>
                <w:lang w:val="en-US" w:eastAsia="zh-CN"/>
              </w:rPr>
              <w:t>一次；</w:t>
            </w:r>
            <w:r>
              <w:rPr>
                <w:rFonts w:hint="eastAsia" w:ascii="Times New Roman" w:hAnsi="Times New Roman" w:eastAsia="宋体" w:cs="Times New Roman"/>
                <w:color w:val="auto"/>
                <w:sz w:val="24"/>
                <w:highlight w:val="yellow"/>
                <w:lang w:val="en-US" w:eastAsia="zh-CN"/>
              </w:rPr>
              <w:t>新增</w:t>
            </w:r>
            <w:r>
              <w:rPr>
                <w:rFonts w:hint="default" w:ascii="Times New Roman" w:hAnsi="Times New Roman" w:eastAsia="宋体" w:cs="Times New Roman"/>
                <w:color w:val="auto"/>
                <w:sz w:val="24"/>
                <w:highlight w:val="yellow"/>
              </w:rPr>
              <w:t>废活性炭</w:t>
            </w:r>
            <w:r>
              <w:rPr>
                <w:rFonts w:hint="eastAsia" w:ascii="Times New Roman" w:hAnsi="Times New Roman" w:eastAsia="宋体" w:cs="Times New Roman"/>
                <w:color w:val="auto"/>
                <w:sz w:val="24"/>
                <w:highlight w:val="yellow"/>
                <w:lang w:val="en-US" w:eastAsia="zh-CN"/>
              </w:rPr>
              <w:t>28.71</w:t>
            </w:r>
            <w:r>
              <w:rPr>
                <w:rFonts w:hint="default" w:ascii="Times New Roman" w:hAnsi="Times New Roman" w:eastAsia="宋体" w:cs="Times New Roman"/>
                <w:color w:val="auto"/>
                <w:sz w:val="24"/>
                <w:highlight w:val="yellow"/>
                <w:lang w:val="en-US" w:eastAsia="zh-CN"/>
              </w:rPr>
              <w:t>t/a，废活性炭</w:t>
            </w:r>
            <w:r>
              <w:rPr>
                <w:rFonts w:hint="eastAsia" w:ascii="Times New Roman" w:hAnsi="Times New Roman" w:eastAsia="宋体" w:cs="Times New Roman"/>
                <w:color w:val="auto"/>
                <w:sz w:val="24"/>
                <w:highlight w:val="yellow"/>
                <w:lang w:val="en-US" w:eastAsia="zh-CN"/>
              </w:rPr>
              <w:t>每3个月</w:t>
            </w:r>
            <w:r>
              <w:rPr>
                <w:rFonts w:hint="default" w:ascii="Times New Roman" w:hAnsi="Times New Roman" w:eastAsia="宋体" w:cs="Times New Roman"/>
                <w:color w:val="auto"/>
                <w:sz w:val="24"/>
                <w:highlight w:val="yellow"/>
                <w:lang w:val="en-US" w:eastAsia="zh-CN"/>
              </w:rPr>
              <w:t>转运一次</w:t>
            </w:r>
            <w:r>
              <w:rPr>
                <w:rFonts w:hint="eastAsia" w:ascii="Times New Roman" w:hAnsi="Times New Roman" w:eastAsia="宋体" w:cs="Times New Roman"/>
                <w:color w:val="auto"/>
                <w:sz w:val="24"/>
                <w:highlight w:val="yellow"/>
                <w:lang w:val="en-US" w:eastAsia="zh-CN"/>
              </w:rPr>
              <w:t>；新增废润滑油2t/a，每年转运一次；新增润滑油产生的废包装桶0.1t/a，每年转运一次；新增设备清洗废液20t/a，每个月转运一次；①本项目产生约硅油-脱模剂废包装桶215只/年</w:t>
            </w:r>
            <w:r>
              <w:rPr>
                <w:rFonts w:hint="default" w:ascii="Times New Roman" w:hAnsi="Times New Roman" w:eastAsia="宋体" w:cs="Times New Roman"/>
                <w:color w:val="auto"/>
                <w:sz w:val="24"/>
                <w:highlight w:val="yellow"/>
                <w:lang w:val="en-US" w:eastAsia="zh-CN"/>
              </w:rPr>
              <w:t>，每</w:t>
            </w:r>
            <w:r>
              <w:rPr>
                <w:rFonts w:hint="eastAsia" w:ascii="Times New Roman" w:hAnsi="Times New Roman" w:eastAsia="宋体" w:cs="Times New Roman"/>
                <w:color w:val="auto"/>
                <w:sz w:val="24"/>
                <w:highlight w:val="yellow"/>
                <w:lang w:val="en-US" w:eastAsia="zh-CN"/>
              </w:rPr>
              <w:t>月转运</w:t>
            </w:r>
            <w:r>
              <w:rPr>
                <w:rFonts w:hint="default" w:ascii="Times New Roman" w:hAnsi="Times New Roman" w:eastAsia="宋体" w:cs="Times New Roman"/>
                <w:color w:val="auto"/>
                <w:sz w:val="24"/>
                <w:highlight w:val="yellow"/>
                <w:lang w:val="en-US" w:eastAsia="zh-CN"/>
              </w:rPr>
              <w:t>一次</w:t>
            </w:r>
            <w:r>
              <w:rPr>
                <w:rFonts w:hint="eastAsia" w:ascii="Times New Roman" w:hAnsi="Times New Roman" w:eastAsia="宋体" w:cs="Times New Roman"/>
                <w:color w:val="auto"/>
                <w:sz w:val="24"/>
                <w:highlight w:val="yellow"/>
                <w:lang w:val="en-US" w:eastAsia="zh-CN"/>
              </w:rPr>
              <w:t>，废包装桶码齐后用保鲜膜缠绕暂存于为危废车间，单只包装桶的占地面积约为0.3m</w:t>
            </w:r>
            <w:r>
              <w:rPr>
                <w:rFonts w:hint="eastAsia" w:ascii="Times New Roman" w:hAnsi="Times New Roman" w:eastAsia="宋体" w:cs="Times New Roman"/>
                <w:color w:val="auto"/>
                <w:sz w:val="24"/>
                <w:highlight w:val="yellow"/>
                <w:vertAlign w:val="superscript"/>
                <w:lang w:val="en-US" w:eastAsia="zh-CN"/>
              </w:rPr>
              <w:t>2</w:t>
            </w:r>
            <w:r>
              <w:rPr>
                <w:rFonts w:hint="eastAsia" w:ascii="Times New Roman" w:hAnsi="Times New Roman" w:eastAsia="宋体" w:cs="Times New Roman"/>
                <w:color w:val="auto"/>
                <w:sz w:val="24"/>
                <w:highlight w:val="yellow"/>
                <w:lang w:val="en-US" w:eastAsia="zh-CN"/>
              </w:rPr>
              <w:t>，按1层，则所需暂存面积约5.4m</w:t>
            </w:r>
            <w:r>
              <w:rPr>
                <w:rFonts w:hint="eastAsia" w:ascii="Times New Roman" w:hAnsi="Times New Roman" w:eastAsia="宋体" w:cs="Times New Roman"/>
                <w:color w:val="auto"/>
                <w:sz w:val="24"/>
                <w:highlight w:val="yellow"/>
                <w:vertAlign w:val="superscript"/>
                <w:lang w:val="en-US" w:eastAsia="zh-CN"/>
              </w:rPr>
              <w:t>2</w:t>
            </w:r>
            <w:r>
              <w:rPr>
                <w:rFonts w:hint="eastAsia" w:ascii="Times New Roman" w:hAnsi="Times New Roman" w:eastAsia="宋体" w:cs="Times New Roman"/>
                <w:color w:val="auto"/>
                <w:sz w:val="24"/>
                <w:highlight w:val="yellow"/>
                <w:lang w:val="en-US" w:eastAsia="zh-CN"/>
              </w:rPr>
              <w:t>；于</w:t>
            </w:r>
            <w:r>
              <w:rPr>
                <w:rFonts w:hint="eastAsia" w:cs="Times New Roman"/>
                <w:color w:val="auto"/>
                <w:sz w:val="24"/>
                <w:highlight w:val="yellow"/>
                <w:lang w:val="en-US" w:eastAsia="zh-CN"/>
              </w:rPr>
              <w:t>危废间</w:t>
            </w:r>
            <w:r>
              <w:rPr>
                <w:rFonts w:hint="eastAsia" w:ascii="Times New Roman" w:hAnsi="Times New Roman" w:eastAsia="宋体" w:cs="Times New Roman"/>
                <w:color w:val="auto"/>
                <w:sz w:val="24"/>
                <w:highlight w:val="yellow"/>
                <w:lang w:val="en-US" w:eastAsia="zh-CN"/>
              </w:rPr>
              <w:t>内暂存后委托资质单位处置。②项目新增废活性炭产生量28.71t/a，贮存周期为半年，装入容重为1t的塑料桶中暂存，单只塑料桶的占地面积约为0.785m</w:t>
            </w:r>
            <w:r>
              <w:rPr>
                <w:rFonts w:hint="eastAsia" w:ascii="Times New Roman" w:hAnsi="Times New Roman" w:eastAsia="宋体" w:cs="Times New Roman"/>
                <w:color w:val="auto"/>
                <w:sz w:val="24"/>
                <w:highlight w:val="yellow"/>
                <w:vertAlign w:val="superscript"/>
                <w:lang w:val="en-US" w:eastAsia="zh-CN"/>
              </w:rPr>
              <w:t>2</w:t>
            </w:r>
            <w:r>
              <w:rPr>
                <w:rFonts w:hint="eastAsia" w:ascii="Times New Roman" w:hAnsi="Times New Roman" w:eastAsia="宋体" w:cs="Times New Roman"/>
                <w:color w:val="auto"/>
                <w:sz w:val="24"/>
                <w:highlight w:val="yellow"/>
                <w:lang w:val="en-US" w:eastAsia="zh-CN"/>
              </w:rPr>
              <w:t>，需15只桶，则所需暂存面积约11.775m</w:t>
            </w:r>
            <w:r>
              <w:rPr>
                <w:rFonts w:hint="eastAsia" w:ascii="Times New Roman" w:hAnsi="Times New Roman" w:eastAsia="宋体" w:cs="Times New Roman"/>
                <w:color w:val="auto"/>
                <w:sz w:val="24"/>
                <w:highlight w:val="yellow"/>
                <w:vertAlign w:val="superscript"/>
                <w:lang w:val="en-US" w:eastAsia="zh-CN"/>
              </w:rPr>
              <w:t>2</w:t>
            </w:r>
            <w:r>
              <w:rPr>
                <w:rFonts w:hint="eastAsia" w:ascii="Times New Roman" w:hAnsi="Times New Roman" w:eastAsia="宋体" w:cs="Times New Roman"/>
                <w:color w:val="auto"/>
                <w:sz w:val="24"/>
                <w:highlight w:val="yellow"/>
                <w:lang w:val="en-US" w:eastAsia="zh-CN"/>
              </w:rPr>
              <w:t>；③废润滑油产生量为2t/a，贮存周期为一年，装入容重为1t的塑料桶中暂存，单只塑料桶的占地面积约为0.785m</w:t>
            </w:r>
            <w:r>
              <w:rPr>
                <w:rFonts w:hint="eastAsia" w:ascii="Times New Roman" w:hAnsi="Times New Roman" w:eastAsia="宋体" w:cs="Times New Roman"/>
                <w:color w:val="auto"/>
                <w:sz w:val="24"/>
                <w:highlight w:val="yellow"/>
                <w:vertAlign w:val="superscript"/>
                <w:lang w:val="en-US" w:eastAsia="zh-CN"/>
              </w:rPr>
              <w:t>2</w:t>
            </w:r>
            <w:r>
              <w:rPr>
                <w:rFonts w:hint="eastAsia" w:ascii="Times New Roman" w:hAnsi="Times New Roman" w:eastAsia="宋体" w:cs="Times New Roman"/>
                <w:color w:val="auto"/>
                <w:sz w:val="24"/>
                <w:highlight w:val="yellow"/>
                <w:lang w:val="en-US" w:eastAsia="zh-CN"/>
              </w:rPr>
              <w:t>，需2只桶，则所需暂存面积约1.57m</w:t>
            </w:r>
            <w:r>
              <w:rPr>
                <w:rFonts w:hint="eastAsia" w:ascii="Times New Roman" w:hAnsi="Times New Roman" w:eastAsia="宋体" w:cs="Times New Roman"/>
                <w:color w:val="auto"/>
                <w:sz w:val="24"/>
                <w:highlight w:val="yellow"/>
                <w:vertAlign w:val="superscript"/>
                <w:lang w:val="en-US" w:eastAsia="zh-CN"/>
              </w:rPr>
              <w:t>2</w:t>
            </w:r>
            <w:r>
              <w:rPr>
                <w:rFonts w:hint="eastAsia" w:ascii="Times New Roman" w:hAnsi="Times New Roman" w:eastAsia="宋体" w:cs="Times New Roman"/>
                <w:color w:val="auto"/>
                <w:sz w:val="24"/>
                <w:highlight w:val="yellow"/>
                <w:lang w:val="en-US" w:eastAsia="zh-CN"/>
              </w:rPr>
              <w:t>；④项目产生润滑油废包装桶125只/年，每年转运</w:t>
            </w:r>
            <w:r>
              <w:rPr>
                <w:rFonts w:hint="default" w:ascii="Times New Roman" w:hAnsi="Times New Roman" w:eastAsia="宋体" w:cs="Times New Roman"/>
                <w:color w:val="auto"/>
                <w:sz w:val="24"/>
                <w:highlight w:val="yellow"/>
                <w:lang w:val="en-US" w:eastAsia="zh-CN"/>
              </w:rPr>
              <w:t>一次</w:t>
            </w:r>
            <w:r>
              <w:rPr>
                <w:rFonts w:hint="eastAsia" w:ascii="Times New Roman" w:hAnsi="Times New Roman" w:eastAsia="宋体" w:cs="Times New Roman"/>
                <w:color w:val="auto"/>
                <w:sz w:val="24"/>
                <w:highlight w:val="yellow"/>
                <w:lang w:val="en-US" w:eastAsia="zh-CN"/>
              </w:rPr>
              <w:t>，废包装桶码齐后用保鲜膜缠绕暂存于为危废车间，单只包装桶的占地面积约为0.3m</w:t>
            </w:r>
            <w:r>
              <w:rPr>
                <w:rFonts w:hint="eastAsia" w:ascii="Times New Roman" w:hAnsi="Times New Roman" w:eastAsia="宋体" w:cs="Times New Roman"/>
                <w:color w:val="auto"/>
                <w:sz w:val="24"/>
                <w:highlight w:val="yellow"/>
                <w:vertAlign w:val="superscript"/>
                <w:lang w:val="en-US" w:eastAsia="zh-CN"/>
              </w:rPr>
              <w:t>2</w:t>
            </w:r>
            <w:r>
              <w:rPr>
                <w:rFonts w:hint="eastAsia" w:ascii="Times New Roman" w:hAnsi="Times New Roman" w:eastAsia="宋体" w:cs="Times New Roman"/>
                <w:color w:val="auto"/>
                <w:sz w:val="24"/>
                <w:highlight w:val="yellow"/>
                <w:lang w:val="en-US" w:eastAsia="zh-CN"/>
              </w:rPr>
              <w:t>，按2层，则所需暂存面积约18.9m</w:t>
            </w:r>
            <w:r>
              <w:rPr>
                <w:rFonts w:hint="eastAsia" w:ascii="Times New Roman" w:hAnsi="Times New Roman" w:eastAsia="宋体" w:cs="Times New Roman"/>
                <w:color w:val="auto"/>
                <w:sz w:val="24"/>
                <w:highlight w:val="yellow"/>
                <w:vertAlign w:val="superscript"/>
                <w:lang w:val="en-US" w:eastAsia="zh-CN"/>
              </w:rPr>
              <w:t>2</w:t>
            </w:r>
            <w:r>
              <w:rPr>
                <w:rFonts w:hint="eastAsia" w:ascii="Times New Roman" w:hAnsi="Times New Roman" w:eastAsia="宋体" w:cs="Times New Roman"/>
                <w:color w:val="auto"/>
                <w:sz w:val="24"/>
                <w:highlight w:val="yellow"/>
                <w:lang w:val="en-US" w:eastAsia="zh-CN"/>
              </w:rPr>
              <w:t>；</w:t>
            </w:r>
            <w:r>
              <w:rPr>
                <w:rFonts w:hint="eastAsia" w:ascii="Times New Roman" w:hAnsi="Times New Roman" w:eastAsia="宋体" w:cs="微软雅黑"/>
                <w:color w:val="auto"/>
                <w:sz w:val="24"/>
                <w:highlight w:val="yellow"/>
                <w:lang w:val="en-US" w:eastAsia="zh-CN"/>
              </w:rPr>
              <w:t>⑤</w:t>
            </w:r>
            <w:r>
              <w:rPr>
                <w:rFonts w:hint="eastAsia" w:ascii="Times New Roman" w:hAnsi="Times New Roman" w:eastAsia="宋体" w:cs="Times New Roman"/>
                <w:color w:val="auto"/>
                <w:sz w:val="24"/>
                <w:highlight w:val="yellow"/>
                <w:lang w:val="en-US" w:eastAsia="zh-CN"/>
              </w:rPr>
              <w:t>项目产生设备清洗废液20t/a，贮存周期为每月，装入容重为1t的塑料桶中暂存，单只塑料桶的占地面积约为0.785m</w:t>
            </w:r>
            <w:r>
              <w:rPr>
                <w:rFonts w:hint="eastAsia" w:ascii="Times New Roman" w:hAnsi="Times New Roman" w:eastAsia="宋体" w:cs="Times New Roman"/>
                <w:color w:val="auto"/>
                <w:sz w:val="24"/>
                <w:highlight w:val="yellow"/>
                <w:vertAlign w:val="superscript"/>
                <w:lang w:val="en-US" w:eastAsia="zh-CN"/>
              </w:rPr>
              <w:t>2</w:t>
            </w:r>
            <w:r>
              <w:rPr>
                <w:rFonts w:hint="eastAsia" w:ascii="Times New Roman" w:hAnsi="Times New Roman" w:eastAsia="宋体" w:cs="Times New Roman"/>
                <w:color w:val="auto"/>
                <w:sz w:val="24"/>
                <w:highlight w:val="yellow"/>
                <w:lang w:val="en-US" w:eastAsia="zh-CN"/>
              </w:rPr>
              <w:t>，需2只桶，则所需暂存面积约1.57m</w:t>
            </w:r>
            <w:r>
              <w:rPr>
                <w:rFonts w:hint="eastAsia" w:ascii="Times New Roman" w:hAnsi="Times New Roman" w:eastAsia="宋体" w:cs="Times New Roman"/>
                <w:color w:val="auto"/>
                <w:sz w:val="24"/>
                <w:highlight w:val="yellow"/>
                <w:vertAlign w:val="superscript"/>
                <w:lang w:val="en-US" w:eastAsia="zh-CN"/>
              </w:rPr>
              <w:t>2</w:t>
            </w:r>
            <w:r>
              <w:rPr>
                <w:rFonts w:hint="eastAsia" w:ascii="Times New Roman" w:hAnsi="Times New Roman" w:eastAsia="宋体" w:cs="Times New Roman"/>
                <w:color w:val="auto"/>
                <w:sz w:val="24"/>
                <w:highlight w:val="yellow"/>
                <w:lang w:val="en-US" w:eastAsia="zh-CN"/>
              </w:rPr>
              <w:t>。</w:t>
            </w:r>
          </w:p>
          <w:p w14:paraId="76236B2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bCs/>
                <w:color w:val="auto"/>
                <w:sz w:val="32"/>
                <w:szCs w:val="32"/>
                <w:highlight w:val="none"/>
                <w:lang w:eastAsia="zh-CN"/>
              </w:rPr>
            </w:pPr>
            <w:r>
              <w:rPr>
                <w:rFonts w:hint="eastAsia" w:ascii="Times New Roman" w:hAnsi="Times New Roman" w:eastAsia="宋体" w:cs="Times New Roman"/>
                <w:color w:val="auto"/>
                <w:sz w:val="24"/>
                <w:highlight w:val="yellow"/>
                <w:lang w:val="en-US" w:eastAsia="zh-CN"/>
              </w:rPr>
              <w:t>综上所述，本项目新增危废共需约39.215m</w:t>
            </w:r>
            <w:r>
              <w:rPr>
                <w:rFonts w:hint="eastAsia" w:ascii="Times New Roman" w:hAnsi="Times New Roman" w:eastAsia="宋体" w:cs="Times New Roman"/>
                <w:color w:val="auto"/>
                <w:sz w:val="24"/>
                <w:highlight w:val="yellow"/>
                <w:vertAlign w:val="superscript"/>
                <w:lang w:val="en-US" w:eastAsia="zh-CN"/>
              </w:rPr>
              <w:t>2</w:t>
            </w:r>
            <w:r>
              <w:rPr>
                <w:rFonts w:hint="eastAsia" w:ascii="Times New Roman" w:hAnsi="Times New Roman" w:eastAsia="宋体" w:cs="Times New Roman"/>
                <w:color w:val="auto"/>
                <w:sz w:val="24"/>
                <w:highlight w:val="yellow"/>
                <w:lang w:val="en-US" w:eastAsia="zh-CN"/>
              </w:rPr>
              <w:t>区域暂存</w:t>
            </w:r>
            <w:r>
              <w:rPr>
                <w:rFonts w:hint="default" w:ascii="Times New Roman" w:hAnsi="Times New Roman" w:eastAsia="宋体" w:cs="Times New Roman"/>
                <w:color w:val="auto"/>
                <w:sz w:val="24"/>
                <w:highlight w:val="yellow"/>
              </w:rPr>
              <w:t>，</w:t>
            </w:r>
            <w:r>
              <w:rPr>
                <w:rFonts w:hint="eastAsia" w:ascii="Times New Roman" w:hAnsi="Times New Roman" w:eastAsia="宋体" w:cs="Times New Roman"/>
                <w:color w:val="auto"/>
                <w:sz w:val="24"/>
                <w:highlight w:val="yellow"/>
                <w:lang w:val="en-US" w:eastAsia="zh-CN"/>
              </w:rPr>
              <w:t>现有</w:t>
            </w:r>
            <w:r>
              <w:rPr>
                <w:rFonts w:hint="eastAsia" w:cs="Times New Roman"/>
                <w:color w:val="auto"/>
                <w:sz w:val="24"/>
                <w:highlight w:val="yellow"/>
                <w:lang w:eastAsia="zh-CN"/>
              </w:rPr>
              <w:t>危废间</w:t>
            </w:r>
            <w:r>
              <w:rPr>
                <w:rFonts w:hint="default" w:ascii="Times New Roman" w:hAnsi="Times New Roman" w:eastAsia="宋体" w:cs="Times New Roman"/>
                <w:color w:val="auto"/>
                <w:sz w:val="24"/>
                <w:highlight w:val="yellow"/>
              </w:rPr>
              <w:t>建设面积为</w:t>
            </w:r>
            <w:r>
              <w:rPr>
                <w:rFonts w:hint="default" w:ascii="Times New Roman" w:hAnsi="Times New Roman" w:eastAsia="宋体" w:cs="Times New Roman"/>
                <w:color w:val="auto"/>
                <w:sz w:val="24"/>
                <w:highlight w:val="yellow"/>
                <w:lang w:val="en-US" w:eastAsia="zh-CN"/>
              </w:rPr>
              <w:t>100</w:t>
            </w:r>
            <w:r>
              <w:rPr>
                <w:rFonts w:hint="default" w:ascii="Times New Roman" w:hAnsi="Times New Roman" w:eastAsia="宋体" w:cs="Times New Roman"/>
                <w:color w:val="auto"/>
                <w:sz w:val="24"/>
                <w:highlight w:val="yellow"/>
              </w:rPr>
              <w:t>m</w:t>
            </w:r>
            <w:r>
              <w:rPr>
                <w:rFonts w:hint="default" w:ascii="Times New Roman" w:hAnsi="Times New Roman" w:eastAsia="宋体" w:cs="Times New Roman"/>
                <w:color w:val="auto"/>
                <w:sz w:val="24"/>
                <w:highlight w:val="yellow"/>
                <w:vertAlign w:val="superscript"/>
              </w:rPr>
              <w:t>2</w:t>
            </w:r>
            <w:r>
              <w:rPr>
                <w:rFonts w:hint="default" w:ascii="Times New Roman" w:hAnsi="Times New Roman" w:eastAsia="宋体" w:cs="Times New Roman"/>
                <w:color w:val="auto"/>
                <w:sz w:val="24"/>
                <w:highlight w:val="yellow"/>
              </w:rPr>
              <w:t>，</w:t>
            </w:r>
            <w:r>
              <w:rPr>
                <w:rFonts w:hint="eastAsia" w:ascii="Times New Roman" w:hAnsi="Times New Roman" w:eastAsia="宋体" w:cs="Times New Roman"/>
                <w:color w:val="auto"/>
                <w:sz w:val="24"/>
                <w:highlight w:val="yellow"/>
                <w:lang w:val="en-US" w:eastAsia="zh-CN"/>
              </w:rPr>
              <w:t>现有项目危险废物已使用约40</w:t>
            </w:r>
            <w:r>
              <w:rPr>
                <w:rFonts w:hint="default" w:ascii="Times New Roman" w:hAnsi="Times New Roman" w:eastAsia="宋体" w:cs="Times New Roman"/>
                <w:color w:val="auto"/>
                <w:sz w:val="24"/>
                <w:highlight w:val="yellow"/>
              </w:rPr>
              <w:t>m</w:t>
            </w:r>
            <w:r>
              <w:rPr>
                <w:rFonts w:hint="default" w:ascii="Times New Roman" w:hAnsi="Times New Roman" w:eastAsia="宋体" w:cs="Times New Roman"/>
                <w:color w:val="auto"/>
                <w:sz w:val="24"/>
                <w:highlight w:val="yellow"/>
                <w:vertAlign w:val="superscript"/>
              </w:rPr>
              <w:t>2</w:t>
            </w:r>
            <w:r>
              <w:rPr>
                <w:rFonts w:hint="default" w:ascii="Times New Roman" w:hAnsi="Times New Roman" w:eastAsia="宋体" w:cs="Times New Roman"/>
                <w:color w:val="auto"/>
                <w:sz w:val="24"/>
                <w:highlight w:val="yellow"/>
              </w:rPr>
              <w:t>，</w:t>
            </w:r>
            <w:r>
              <w:rPr>
                <w:rFonts w:hint="eastAsia" w:ascii="Times New Roman" w:hAnsi="Times New Roman" w:eastAsia="宋体" w:cs="Times New Roman"/>
                <w:color w:val="auto"/>
                <w:sz w:val="24"/>
                <w:highlight w:val="yellow"/>
                <w:lang w:val="en-US" w:eastAsia="zh-CN"/>
              </w:rPr>
              <w:t>剩余储存能力60m</w:t>
            </w:r>
            <w:r>
              <w:rPr>
                <w:rFonts w:hint="eastAsia" w:ascii="Times New Roman" w:hAnsi="Times New Roman" w:eastAsia="宋体" w:cs="Times New Roman"/>
                <w:color w:val="auto"/>
                <w:sz w:val="24"/>
                <w:highlight w:val="yellow"/>
                <w:vertAlign w:val="superscript"/>
                <w:lang w:val="en-US" w:eastAsia="zh-CN"/>
              </w:rPr>
              <w:t>3</w:t>
            </w:r>
            <w:r>
              <w:rPr>
                <w:rFonts w:hint="default" w:ascii="Times New Roman" w:hAnsi="Times New Roman" w:eastAsia="宋体" w:cs="Times New Roman"/>
                <w:color w:val="auto"/>
                <w:sz w:val="24"/>
                <w:highlight w:val="yellow"/>
              </w:rPr>
              <w:t>能够满足</w:t>
            </w:r>
            <w:r>
              <w:rPr>
                <w:rFonts w:hint="eastAsia" w:ascii="Times New Roman" w:hAnsi="Times New Roman" w:eastAsia="宋体" w:cs="Times New Roman"/>
                <w:color w:val="auto"/>
                <w:sz w:val="24"/>
                <w:highlight w:val="yellow"/>
                <w:lang w:val="en-US" w:eastAsia="zh-CN"/>
              </w:rPr>
              <w:t>本项目</w:t>
            </w:r>
            <w:r>
              <w:rPr>
                <w:rFonts w:hint="default" w:ascii="Times New Roman" w:hAnsi="Times New Roman" w:eastAsia="宋体" w:cs="Times New Roman"/>
                <w:color w:val="auto"/>
                <w:sz w:val="24"/>
                <w:highlight w:val="yellow"/>
              </w:rPr>
              <w:t>存储要求。</w:t>
            </w:r>
          </w:p>
          <w:p w14:paraId="58C1AC81">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③</w:t>
            </w:r>
            <w:r>
              <w:rPr>
                <w:rFonts w:hint="default" w:ascii="Times New Roman" w:hAnsi="Times New Roman" w:eastAsia="宋体" w:cs="Times New Roman"/>
                <w:b/>
                <w:bCs/>
                <w:color w:val="auto"/>
                <w:sz w:val="24"/>
                <w:highlight w:val="none"/>
              </w:rPr>
              <w:t>固废贮存</w:t>
            </w:r>
            <w:r>
              <w:rPr>
                <w:rFonts w:hint="eastAsia" w:ascii="Times New Roman" w:hAnsi="Times New Roman" w:eastAsia="宋体" w:cs="Times New Roman"/>
                <w:b/>
                <w:bCs/>
                <w:color w:val="auto"/>
                <w:sz w:val="24"/>
                <w:highlight w:val="none"/>
                <w:lang w:val="en-US" w:eastAsia="zh-CN"/>
              </w:rPr>
              <w:t>设施环境管理要求</w:t>
            </w:r>
          </w:p>
          <w:p w14:paraId="340AE8ED">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A.危险废物存入贮存设施前应对危险废物类别和特性与危险废物标签等危险废物识别标志的一致性进行核验，不一致的或类别、特性不明的不应存入。</w:t>
            </w:r>
          </w:p>
          <w:p w14:paraId="1A6AFC85">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B.应定期检查危险废物的贮存状况，及时清理贮存设施地面，更换破损泄漏的危险废物贮存容器和包装物，保证堆存危险废物的防雨、防风、防扬尘等设施功能完好。</w:t>
            </w:r>
          </w:p>
          <w:p w14:paraId="06B54392">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C.作业设备及车辆等结束作业离开贮存设施时，应对其残留的危险废物进行清理，清理的废物或清洗废水应收集处理。</w:t>
            </w:r>
          </w:p>
          <w:p w14:paraId="6B5ACEA6">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D.贮存设施运行期间，应按国家有关标准和规定建立危险废物管理台账并保存。</w:t>
            </w:r>
          </w:p>
          <w:p w14:paraId="1004E24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E.贮存设施所有者或运营者应建立贮存设施环境管理制度、管理人员岗位职责制度、设施运行操作制度、人员岗位培训制度等。</w:t>
            </w:r>
          </w:p>
          <w:p w14:paraId="1881C128">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F.贮存设施所有者或运营者应依据国家土壤和地下水污染防治的有关规定，结合贮存设施特点建立土壤和地下水污染隐患排查制度，并定期开展隐患排查；发现隐患应及时采取措施消除隐患，并建立档案。</w:t>
            </w:r>
          </w:p>
          <w:p w14:paraId="3043CA1C">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G.贮存设施所有者或运营者应建立贮存设施全部档案，包括设计、施工、验收、运行、监测和环境应急灯，应按国家有关档案管理的法律法规进行整理和归档。</w:t>
            </w:r>
          </w:p>
          <w:p w14:paraId="4D7A46C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H.应按照要求制定意外事故的方法措施和应急预案。</w:t>
            </w:r>
          </w:p>
          <w:p w14:paraId="5769D58B">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w:t>
            </w:r>
            <w:r>
              <w:rPr>
                <w:rFonts w:hint="eastAsia" w:ascii="Times New Roman" w:hAnsi="Times New Roman" w:eastAsia="宋体" w:cs="Times New Roman"/>
                <w:b/>
                <w:bCs/>
                <w:color w:val="auto"/>
                <w:sz w:val="24"/>
                <w:highlight w:val="none"/>
                <w:lang w:val="en-US" w:eastAsia="zh-CN"/>
              </w:rPr>
              <w:t>6</w:t>
            </w:r>
            <w:r>
              <w:rPr>
                <w:rFonts w:hint="default" w:ascii="Times New Roman" w:hAnsi="Times New Roman" w:eastAsia="宋体" w:cs="Times New Roman"/>
                <w:b/>
                <w:bCs/>
                <w:color w:val="auto"/>
                <w:sz w:val="24"/>
                <w:highlight w:val="none"/>
                <w:lang w:val="en-US" w:eastAsia="zh-CN"/>
              </w:rPr>
              <w:t>）固体废物转移合规性分析</w:t>
            </w:r>
          </w:p>
          <w:p w14:paraId="532A25F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①</w:t>
            </w:r>
            <w:r>
              <w:rPr>
                <w:rFonts w:hint="default" w:ascii="Times New Roman" w:hAnsi="Times New Roman" w:eastAsia="宋体" w:cs="Times New Roman"/>
                <w:b w:val="0"/>
                <w:bCs w:val="0"/>
                <w:color w:val="auto"/>
                <w:sz w:val="24"/>
                <w:highlight w:val="none"/>
                <w:lang w:val="en-US" w:eastAsia="zh-CN"/>
              </w:rPr>
              <w:t>危险</w:t>
            </w:r>
            <w:r>
              <w:rPr>
                <w:rFonts w:hint="eastAsia" w:ascii="Times New Roman" w:hAnsi="Times New Roman" w:eastAsia="宋体" w:cs="Times New Roman"/>
                <w:b w:val="0"/>
                <w:bCs w:val="0"/>
                <w:color w:val="auto"/>
                <w:sz w:val="24"/>
                <w:highlight w:val="none"/>
                <w:lang w:val="en-US" w:eastAsia="zh-CN"/>
              </w:rPr>
              <w:t>废物</w:t>
            </w:r>
            <w:r>
              <w:rPr>
                <w:rFonts w:hint="default" w:ascii="Times New Roman" w:hAnsi="Times New Roman" w:eastAsia="宋体" w:cs="Times New Roman"/>
                <w:b w:val="0"/>
                <w:bCs w:val="0"/>
                <w:color w:val="auto"/>
                <w:sz w:val="24"/>
                <w:highlight w:val="none"/>
                <w:lang w:val="en-US" w:eastAsia="zh-CN"/>
              </w:rPr>
              <w:t>按照《危险废物管理计划和管理台账制定技术导则》（HJ1259-2022）要求制定危险废物管理计划和管理台账，及危险废物申报相关资料。</w:t>
            </w:r>
          </w:p>
          <w:p w14:paraId="7B983E3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②</w:t>
            </w:r>
            <w:r>
              <w:rPr>
                <w:rFonts w:hint="default" w:ascii="Times New Roman" w:hAnsi="Times New Roman" w:eastAsia="宋体" w:cs="Times New Roman"/>
                <w:b w:val="0"/>
                <w:bCs w:val="0"/>
                <w:color w:val="auto"/>
                <w:sz w:val="24"/>
                <w:highlight w:val="none"/>
                <w:lang w:val="en-US" w:eastAsia="zh-CN"/>
              </w:rPr>
              <w:t>全面落实危险废物转移电子联单制度，实行省内全域扫描“二维码”转移。加强与危险货物道路运输电子运单数据共享，实现运输轨迹可溯可查。</w:t>
            </w:r>
          </w:p>
          <w:p w14:paraId="75EBE1A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③</w:t>
            </w:r>
            <w:r>
              <w:rPr>
                <w:rFonts w:hint="default" w:ascii="Times New Roman" w:hAnsi="Times New Roman" w:eastAsia="宋体" w:cs="Times New Roman"/>
                <w:b w:val="0"/>
                <w:bCs w:val="0"/>
                <w:color w:val="auto"/>
                <w:sz w:val="24"/>
                <w:highlight w:val="none"/>
                <w:lang w:val="en-US" w:eastAsia="zh-CN"/>
              </w:rPr>
              <w:t>危险废物的收集、运输按照《危险废物收集 贮存 运输技术规范》（HJ2025-2012）的要求进行。在运输过程中，按照《江苏省固体废物污染环境防治条例》中对危险废物的包装、运输的有关标准、技术规范和要求进行，有效防止危险废物转移过程中污染环境的措施和事故应急救援方案。</w:t>
            </w:r>
          </w:p>
          <w:p w14:paraId="7700662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④</w:t>
            </w:r>
            <w:r>
              <w:rPr>
                <w:rFonts w:hint="default" w:ascii="Times New Roman" w:hAnsi="Times New Roman" w:eastAsia="宋体" w:cs="Times New Roman"/>
                <w:b w:val="0"/>
                <w:bCs w:val="0"/>
                <w:color w:val="auto"/>
                <w:sz w:val="24"/>
                <w:highlight w:val="none"/>
                <w:lang w:val="en-US" w:eastAsia="zh-CN"/>
              </w:rPr>
              <w:t>项目需处理的危险废物采用专门的车辆，密闭运输，严格禁止抛洒滴漏，杜绝在运输过程中造成环境的二次污染。在危险废物的运输中执行《危险废物转移联单管理办法》中有关的规定和要求。建设单位须针对此对员工进行培训，加强安全生产及防止污染的意识，培训通过后方可上岗。</w:t>
            </w:r>
          </w:p>
          <w:p w14:paraId="4DDE42C9">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w:t>
            </w:r>
            <w:r>
              <w:rPr>
                <w:rFonts w:hint="eastAsia" w:ascii="Times New Roman" w:hAnsi="Times New Roman" w:eastAsia="宋体" w:cs="Times New Roman"/>
                <w:b/>
                <w:bCs/>
                <w:color w:val="auto"/>
                <w:sz w:val="24"/>
                <w:highlight w:val="none"/>
                <w:lang w:val="en-US" w:eastAsia="zh-CN"/>
              </w:rPr>
              <w:t>7</w:t>
            </w:r>
            <w:r>
              <w:rPr>
                <w:rFonts w:hint="eastAsia" w:ascii="Times New Roman" w:hAnsi="Times New Roman" w:eastAsia="宋体" w:cs="Times New Roman"/>
                <w:b/>
                <w:bCs/>
                <w:color w:val="auto"/>
                <w:sz w:val="24"/>
                <w:highlight w:val="none"/>
                <w:lang w:eastAsia="zh-CN"/>
              </w:rPr>
              <w:t>）</w:t>
            </w:r>
            <w:r>
              <w:rPr>
                <w:rFonts w:hint="eastAsia" w:ascii="Times New Roman" w:hAnsi="Times New Roman" w:eastAsia="宋体" w:cs="Times New Roman"/>
                <w:b/>
                <w:bCs/>
                <w:color w:val="auto"/>
                <w:sz w:val="24"/>
                <w:highlight w:val="none"/>
                <w:lang w:val="en-US" w:eastAsia="zh-CN"/>
              </w:rPr>
              <w:t>固体废物利用处置方式合规性分析</w:t>
            </w:r>
          </w:p>
          <w:p w14:paraId="3DD55C1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①</w:t>
            </w:r>
            <w:r>
              <w:rPr>
                <w:rFonts w:hint="default" w:ascii="Times New Roman" w:hAnsi="Times New Roman" w:eastAsia="宋体" w:cs="Times New Roman"/>
                <w:b w:val="0"/>
                <w:bCs w:val="0"/>
                <w:color w:val="auto"/>
                <w:sz w:val="24"/>
                <w:highlight w:val="none"/>
                <w:lang w:val="en-US" w:eastAsia="zh-CN"/>
              </w:rPr>
              <w:t>危险废物产生单位须依法核实经营单位主体资格和技术能力，直接签订委托合同，并向经营单位提供相关危险废物产生工艺、具体成分，以及是否易燃易爆等信息，违法委托的，应当与造成环境污染和生态破坏的委托方承担连带责任。</w:t>
            </w:r>
          </w:p>
          <w:p w14:paraId="60E73456">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②危险废物委托处置的环境影响分析</w:t>
            </w:r>
          </w:p>
          <w:p w14:paraId="2C89FD5A">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val="0"/>
                <w:color w:val="auto"/>
                <w:sz w:val="24"/>
                <w:highlight w:val="yellow"/>
                <w:lang w:val="en-US" w:eastAsia="zh-CN"/>
              </w:rPr>
            </w:pPr>
            <w:r>
              <w:rPr>
                <w:rFonts w:hint="eastAsia" w:ascii="Times New Roman" w:hAnsi="Times New Roman" w:eastAsia="宋体" w:cs="Times New Roman"/>
                <w:b w:val="0"/>
                <w:bCs w:val="0"/>
                <w:color w:val="auto"/>
                <w:sz w:val="24"/>
                <w:highlight w:val="yellow"/>
                <w:lang w:val="en-US" w:eastAsia="zh-CN"/>
              </w:rPr>
              <w:t>本项目产生的的危险废物主要为硅油-脱模剂废包装桶（HW49，900-041-49）、废活性炭（HW49，900-039-49）。以上危险废物定期交由江苏永吉环保科技有限公司和江阴市锦绣江南环境发展有限公司处置。危险废物委托处置合同见附件6。</w:t>
            </w:r>
          </w:p>
          <w:p w14:paraId="00F18AB2">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val="0"/>
                <w:color w:val="auto"/>
                <w:sz w:val="24"/>
                <w:highlight w:val="yellow"/>
                <w:lang w:val="en-US" w:eastAsia="zh-CN"/>
              </w:rPr>
            </w:pPr>
            <w:r>
              <w:rPr>
                <w:rFonts w:hint="eastAsia" w:ascii="Times New Roman" w:hAnsi="Times New Roman" w:eastAsia="宋体" w:cs="Times New Roman"/>
                <w:b w:val="0"/>
                <w:bCs w:val="0"/>
                <w:color w:val="auto"/>
                <w:sz w:val="24"/>
                <w:highlight w:val="yellow"/>
                <w:lang w:val="en-US" w:eastAsia="zh-CN"/>
              </w:rPr>
              <w:t>江苏永吉环保科技有限公司于2021年4月12日取得扬州市生态环境局颁发的“危险废物经营许可证”（危险废物经营许可证编号为JSYZ108400D026-4），其核准经营范围包括：处置、利用废包装容器20万只/年(IBC吨桶、200L废桶)（900-003-04、900-249-08、900-041-49、900-047-49）、200L以下小金属桶1万吨/年（900-003-04、900-249-08、900-041-49、900-047-49）；无害化处置各类废液8.5万吨/年（HW06废有机溶剂、HW09废乳化液、HW12染料涂料废液、HW13有机树脂废液、HW17表面处理废液、HW22含铜废液、HW32含氟废液、HW34废酸、HW35废碱）；综合利用废树脂2万吨/年（265-101-13，900-014-13，900-451-13）；再生废活性炭9800吨/年（271-003-02、271-004-02、272-003-02、276-003-02、276-004-02、900-405-06、264-011-12、261-071-39、261-084-45、900-039-49、900-041-49）；污泥资源化利用6万吨/年（HW17、HW22、HW46、HW48）。</w:t>
            </w:r>
          </w:p>
          <w:p w14:paraId="7F2C060D">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val="0"/>
                <w:color w:val="auto"/>
                <w:sz w:val="24"/>
                <w:highlight w:val="yellow"/>
                <w:lang w:val="en-US" w:eastAsia="zh-CN"/>
              </w:rPr>
            </w:pPr>
            <w:r>
              <w:rPr>
                <w:rFonts w:hint="eastAsia" w:ascii="Times New Roman" w:hAnsi="Times New Roman" w:eastAsia="宋体" w:cs="Times New Roman"/>
                <w:b w:val="0"/>
                <w:bCs w:val="0"/>
                <w:color w:val="auto"/>
                <w:sz w:val="24"/>
                <w:highlight w:val="yellow"/>
                <w:lang w:val="en-US" w:eastAsia="zh-CN"/>
              </w:rPr>
              <w:t>江阴市锦绣江南环境发展有限公司于2022年11月9日取得江苏省生态环境厅颁发的“危险废物经营许可证”（危险废物经营许可证编号为JS0281OOI572-4），其核准经营范围包括：焚烧处置医药废物(HW02)，废药物、药品(HW03)，农药废物(HW04)，废有机溶剂与剂废物(HW06)，废矿物油与含矿物油废物(HW08)，油/水、烃/水混合物或乳化液(HW09)，精(蒸)馏残渣(HWI1)，染料、涂料废物(HW12)，有机树脂类废物(HW13)，感光材料废物(HW16，仅限266-009-16、231-001-16、231-002-16、398-001-16、873-001-16、806-001-16、900-019-16)，有机磷化合物废物(HW37)，含酚废物(HW39)，含醚废物(HW40)，含有机卤化物废物(HW45)，其他废物(HW49，仅限772-006-49、900-039-49、900-041-49、900-042-49、900-047-49、900-999-49)，废催化剂(HW50)，合计20000吨/年。</w:t>
            </w:r>
          </w:p>
          <w:p w14:paraId="583BE87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yellow"/>
                <w:lang w:val="en-US" w:eastAsia="zh-CN"/>
              </w:rPr>
              <w:t>本项目产生的硅油-脱模剂废包装桶（HW49，900-041-49）属于江苏永吉环保科技有限公司处理处置的范畴，废活性炭（HW49，900-039-49）属于江阴市锦绣江南环境发展有限公司处理处置的范畴，江苏永吉环保科技有限公司与江阴市锦绣江南环境发展有限公司均尚有余量。因此本项目产生的危险废物委托江苏永吉环保科技有限公司与江阴市锦绣江南环境发展有限公司处置是可行的。</w:t>
            </w:r>
          </w:p>
          <w:p w14:paraId="0C6734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bCs/>
                <w:color w:val="auto"/>
                <w:sz w:val="24"/>
                <w:szCs w:val="24"/>
                <w:highlight w:val="none"/>
                <w:lang w:val="en-US" w:eastAsia="zh-CN"/>
              </w:rPr>
              <w:t>（</w:t>
            </w:r>
            <w:r>
              <w:rPr>
                <w:rFonts w:hint="eastAsia" w:ascii="Times New Roman" w:hAnsi="Times New Roman" w:eastAsia="宋体"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lang w:val="en-US" w:eastAsia="zh-CN"/>
              </w:rPr>
              <w:t>）</w:t>
            </w:r>
            <w:r>
              <w:rPr>
                <w:rFonts w:hint="eastAsia" w:ascii="Times New Roman" w:hAnsi="Times New Roman" w:eastAsia="宋体" w:cs="Times New Roman"/>
                <w:b/>
                <w:bCs/>
                <w:color w:val="auto"/>
                <w:sz w:val="24"/>
                <w:highlight w:val="none"/>
                <w:lang w:val="en-US" w:eastAsia="zh-CN"/>
              </w:rPr>
              <w:t>危险废物贮存过程污染控制要求</w:t>
            </w:r>
          </w:p>
          <w:p w14:paraId="112C61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w:t>
            </w:r>
            <w:r>
              <w:rPr>
                <w:rFonts w:hint="eastAsia"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危险废物贮存污染控制标准</w:t>
            </w:r>
            <w:r>
              <w:rPr>
                <w:rFonts w:hint="eastAsia" w:ascii="Times New Roman" w:hAnsi="Times New Roman" w:eastAsia="宋体" w:cs="Times New Roman"/>
                <w:color w:val="auto"/>
                <w:sz w:val="24"/>
                <w:highlight w:val="none"/>
              </w:rPr>
              <w:t>》（GB</w:t>
            </w:r>
            <w:r>
              <w:rPr>
                <w:rFonts w:hint="eastAsia" w:ascii="Times New Roman" w:hAnsi="Times New Roman" w:eastAsia="宋体" w:cs="Times New Roman"/>
                <w:color w:val="auto"/>
                <w:sz w:val="24"/>
                <w:highlight w:val="none"/>
                <w:lang w:val="en-US" w:eastAsia="zh-CN"/>
              </w:rPr>
              <w:t>18597-2023</w:t>
            </w:r>
            <w:r>
              <w:rPr>
                <w:rFonts w:hint="eastAsia"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等文件要求，危险废物贮存过程应采取主要污染控制措施如下：</w:t>
            </w:r>
          </w:p>
          <w:p w14:paraId="1F2E75AB">
            <w:pPr>
              <w:keepNext w:val="0"/>
              <w:keepLines w:val="0"/>
              <w:widowControl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bCs/>
                <w:color w:val="auto"/>
                <w:kern w:val="2"/>
                <w:sz w:val="24"/>
                <w:szCs w:val="20"/>
                <w:highlight w:val="none"/>
                <w:lang w:val="en-US" w:eastAsia="zh-CN" w:bidi="ar-SA"/>
              </w:rPr>
            </w:pPr>
            <w:r>
              <w:rPr>
                <w:rFonts w:hint="default" w:ascii="Times New Roman" w:hAnsi="Times New Roman" w:eastAsia="宋体" w:cs="Times New Roman"/>
                <w:b/>
                <w:bCs/>
                <w:color w:val="auto"/>
                <w:kern w:val="2"/>
                <w:sz w:val="24"/>
                <w:szCs w:val="24"/>
                <w:lang w:val="en-US" w:eastAsia="zh-CN" w:bidi="ar-SA"/>
              </w:rPr>
              <w:t>表4-</w:t>
            </w:r>
            <w:r>
              <w:rPr>
                <w:rFonts w:hint="eastAsia" w:ascii="Times New Roman" w:hAnsi="Times New Roman" w:eastAsia="宋体" w:cs="Times New Roman"/>
                <w:b/>
                <w:bCs/>
                <w:color w:val="auto"/>
                <w:kern w:val="2"/>
                <w:sz w:val="24"/>
                <w:szCs w:val="24"/>
                <w:lang w:val="en-US" w:eastAsia="zh-CN" w:bidi="ar-SA"/>
              </w:rPr>
              <w:t xml:space="preserve">26 </w:t>
            </w:r>
            <w:r>
              <w:rPr>
                <w:rFonts w:hint="eastAsia" w:ascii="Times New Roman" w:hAnsi="Times New Roman" w:eastAsia="宋体" w:cs="Times New Roman"/>
                <w:b/>
                <w:bCs/>
                <w:color w:val="auto"/>
                <w:kern w:val="2"/>
                <w:sz w:val="24"/>
                <w:szCs w:val="20"/>
                <w:highlight w:val="none"/>
                <w:lang w:val="en-US" w:eastAsia="zh-CN" w:bidi="ar-SA"/>
              </w:rPr>
              <w:t>危险废物贮存过程污染控制要求</w:t>
            </w:r>
          </w:p>
          <w:tbl>
            <w:tblPr>
              <w:tblStyle w:val="26"/>
              <w:tblW w:w="4995"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17"/>
              <w:gridCol w:w="4297"/>
              <w:gridCol w:w="2951"/>
              <w:gridCol w:w="764"/>
            </w:tblGrid>
            <w:tr w14:paraId="3AC01B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7" w:type="pct"/>
                  <w:tcBorders>
                    <w:tl2br w:val="nil"/>
                    <w:tr2bl w:val="nil"/>
                  </w:tcBorders>
                  <w:noWrap w:val="0"/>
                  <w:tcMar>
                    <w:top w:w="0" w:type="dxa"/>
                    <w:left w:w="0" w:type="dxa"/>
                    <w:bottom w:w="0" w:type="dxa"/>
                    <w:right w:w="0" w:type="dxa"/>
                  </w:tcMar>
                  <w:vAlign w:val="center"/>
                </w:tcPr>
                <w:p w14:paraId="6581D2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b/>
                      <w:bCs/>
                      <w:color w:val="auto"/>
                      <w:kern w:val="2"/>
                      <w:sz w:val="21"/>
                      <w:szCs w:val="21"/>
                      <w:highlight w:val="none"/>
                      <w:shd w:val="clear" w:color="auto" w:fill="auto"/>
                      <w:lang w:val="en-US" w:eastAsia="zh-CN"/>
                    </w:rPr>
                  </w:pPr>
                  <w:r>
                    <w:rPr>
                      <w:rFonts w:hint="eastAsia" w:ascii="Times New Roman" w:hAnsi="Times New Roman" w:eastAsia="宋体" w:cs="Times New Roman"/>
                      <w:b/>
                      <w:bCs/>
                      <w:color w:val="auto"/>
                      <w:kern w:val="2"/>
                      <w:sz w:val="21"/>
                      <w:szCs w:val="21"/>
                      <w:highlight w:val="none"/>
                      <w:shd w:val="clear" w:color="auto" w:fill="auto"/>
                      <w:lang w:val="en-US" w:eastAsia="zh-CN"/>
                    </w:rPr>
                    <w:t>序号</w:t>
                  </w:r>
                </w:p>
              </w:tc>
              <w:tc>
                <w:tcPr>
                  <w:tcW w:w="2548" w:type="pct"/>
                  <w:tcBorders>
                    <w:tl2br w:val="nil"/>
                    <w:tr2bl w:val="nil"/>
                  </w:tcBorders>
                  <w:noWrap w:val="0"/>
                  <w:tcMar>
                    <w:top w:w="0" w:type="dxa"/>
                    <w:left w:w="0" w:type="dxa"/>
                    <w:bottom w:w="0" w:type="dxa"/>
                    <w:right w:w="0" w:type="dxa"/>
                  </w:tcMar>
                  <w:vAlign w:val="center"/>
                </w:tcPr>
                <w:p w14:paraId="3154E1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kern w:val="2"/>
                      <w:sz w:val="21"/>
                      <w:szCs w:val="21"/>
                      <w:highlight w:val="none"/>
                      <w:shd w:val="clear" w:color="auto" w:fill="auto"/>
                      <w:lang w:val="en-US" w:eastAsia="zh-CN"/>
                    </w:rPr>
                  </w:pPr>
                  <w:r>
                    <w:rPr>
                      <w:rFonts w:hint="eastAsia" w:ascii="Times New Roman" w:hAnsi="Times New Roman" w:eastAsia="宋体" w:cs="Times New Roman"/>
                      <w:b/>
                      <w:bCs/>
                      <w:color w:val="auto"/>
                      <w:kern w:val="2"/>
                      <w:sz w:val="21"/>
                      <w:szCs w:val="21"/>
                      <w:highlight w:val="none"/>
                      <w:shd w:val="clear" w:color="auto" w:fill="auto"/>
                      <w:lang w:val="en-US" w:eastAsia="zh-CN"/>
                    </w:rPr>
                    <w:t>污染控制要求</w:t>
                  </w:r>
                </w:p>
              </w:tc>
              <w:tc>
                <w:tcPr>
                  <w:tcW w:w="1750" w:type="pct"/>
                  <w:tcBorders>
                    <w:tl2br w:val="nil"/>
                    <w:tr2bl w:val="nil"/>
                  </w:tcBorders>
                  <w:noWrap w:val="0"/>
                  <w:tcMar>
                    <w:top w:w="0" w:type="dxa"/>
                    <w:left w:w="0" w:type="dxa"/>
                    <w:bottom w:w="0" w:type="dxa"/>
                    <w:right w:w="0" w:type="dxa"/>
                  </w:tcMar>
                  <w:vAlign w:val="center"/>
                </w:tcPr>
                <w:p w14:paraId="1A1B18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kern w:val="2"/>
                      <w:sz w:val="21"/>
                      <w:szCs w:val="21"/>
                      <w:highlight w:val="none"/>
                      <w:shd w:val="clear" w:color="auto" w:fill="auto"/>
                      <w:lang w:val="en-US" w:eastAsia="zh-CN"/>
                    </w:rPr>
                  </w:pPr>
                  <w:r>
                    <w:rPr>
                      <w:rFonts w:hint="eastAsia" w:ascii="Times New Roman" w:hAnsi="Times New Roman" w:eastAsia="宋体" w:cs="Times New Roman"/>
                      <w:b/>
                      <w:bCs/>
                      <w:color w:val="auto"/>
                      <w:kern w:val="2"/>
                      <w:sz w:val="21"/>
                      <w:szCs w:val="21"/>
                      <w:highlight w:val="none"/>
                      <w:shd w:val="clear" w:color="auto" w:fill="auto"/>
                      <w:lang w:val="en-US" w:eastAsia="zh-CN"/>
                    </w:rPr>
                    <w:t>本项目拟采取的措施</w:t>
                  </w:r>
                </w:p>
              </w:tc>
              <w:tc>
                <w:tcPr>
                  <w:tcW w:w="453" w:type="pct"/>
                  <w:tcBorders>
                    <w:tl2br w:val="nil"/>
                    <w:tr2bl w:val="nil"/>
                  </w:tcBorders>
                  <w:noWrap w:val="0"/>
                  <w:tcMar>
                    <w:top w:w="0" w:type="dxa"/>
                    <w:left w:w="0" w:type="dxa"/>
                    <w:bottom w:w="0" w:type="dxa"/>
                    <w:right w:w="0" w:type="dxa"/>
                  </w:tcMar>
                  <w:vAlign w:val="center"/>
                </w:tcPr>
                <w:p w14:paraId="11A47E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kern w:val="2"/>
                      <w:sz w:val="21"/>
                      <w:szCs w:val="21"/>
                      <w:highlight w:val="none"/>
                      <w:shd w:val="clear" w:color="auto" w:fill="auto"/>
                      <w:lang w:val="en-US" w:eastAsia="zh-CN"/>
                    </w:rPr>
                  </w:pPr>
                  <w:r>
                    <w:rPr>
                      <w:rFonts w:hint="eastAsia" w:ascii="Times New Roman" w:hAnsi="Times New Roman" w:eastAsia="宋体" w:cs="Times New Roman"/>
                      <w:b/>
                      <w:bCs/>
                      <w:color w:val="auto"/>
                      <w:kern w:val="2"/>
                      <w:sz w:val="21"/>
                      <w:szCs w:val="21"/>
                      <w:highlight w:val="none"/>
                      <w:shd w:val="clear" w:color="auto" w:fill="auto"/>
                      <w:lang w:val="en-US" w:eastAsia="zh-CN"/>
                    </w:rPr>
                    <w:t>是否符合要求</w:t>
                  </w:r>
                </w:p>
              </w:tc>
            </w:tr>
            <w:tr w14:paraId="723533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7" w:type="pct"/>
                  <w:tcBorders>
                    <w:tl2br w:val="nil"/>
                    <w:tr2bl w:val="nil"/>
                  </w:tcBorders>
                  <w:noWrap w:val="0"/>
                  <w:tcMar>
                    <w:top w:w="0" w:type="dxa"/>
                    <w:left w:w="0" w:type="dxa"/>
                    <w:bottom w:w="0" w:type="dxa"/>
                    <w:right w:w="0" w:type="dxa"/>
                  </w:tcMar>
                  <w:vAlign w:val="center"/>
                </w:tcPr>
                <w:p w14:paraId="14D3D0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kern w:val="0"/>
                      <w:sz w:val="21"/>
                      <w:szCs w:val="21"/>
                      <w:highlight w:val="none"/>
                      <w:shd w:val="clear" w:color="auto" w:fill="auto"/>
                      <w:lang w:val="en-US" w:eastAsia="zh-CN"/>
                    </w:rPr>
                  </w:pPr>
                  <w:r>
                    <w:rPr>
                      <w:rFonts w:hint="eastAsia" w:ascii="Times New Roman" w:hAnsi="Times New Roman" w:eastAsia="宋体" w:cs="Times New Roman"/>
                      <w:b w:val="0"/>
                      <w:bCs w:val="0"/>
                      <w:color w:val="auto"/>
                      <w:kern w:val="0"/>
                      <w:sz w:val="21"/>
                      <w:szCs w:val="21"/>
                      <w:highlight w:val="none"/>
                      <w:shd w:val="clear" w:color="auto" w:fill="auto"/>
                      <w:lang w:val="en-US" w:eastAsia="zh-CN"/>
                    </w:rPr>
                    <w:t>1</w:t>
                  </w:r>
                </w:p>
              </w:tc>
              <w:tc>
                <w:tcPr>
                  <w:tcW w:w="2548" w:type="pct"/>
                  <w:tcBorders>
                    <w:tl2br w:val="nil"/>
                    <w:tr2bl w:val="nil"/>
                  </w:tcBorders>
                  <w:noWrap w:val="0"/>
                  <w:tcMar>
                    <w:top w:w="0" w:type="dxa"/>
                    <w:left w:w="0" w:type="dxa"/>
                    <w:bottom w:w="0" w:type="dxa"/>
                    <w:right w:w="0" w:type="dxa"/>
                  </w:tcMar>
                  <w:vAlign w:val="center"/>
                </w:tcPr>
                <w:p w14:paraId="5DB7B0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center"/>
                    <w:rPr>
                      <w:rFonts w:hint="default" w:ascii="Times New Roman" w:hAnsi="Times New Roman" w:eastAsia="宋体" w:cs="Times New Roman"/>
                      <w:b w:val="0"/>
                      <w:bCs w:val="0"/>
                      <w:color w:val="auto"/>
                      <w:kern w:val="0"/>
                      <w:sz w:val="21"/>
                      <w:szCs w:val="21"/>
                      <w:highlight w:val="none"/>
                      <w:shd w:val="clear" w:color="auto" w:fill="auto"/>
                      <w:lang w:val="en-US" w:eastAsia="zh-CN"/>
                    </w:rPr>
                  </w:pPr>
                  <w:r>
                    <w:rPr>
                      <w:rFonts w:hint="default" w:ascii="Times New Roman" w:hAnsi="Times New Roman" w:eastAsia="宋体" w:cs="Times New Roman"/>
                      <w:b w:val="0"/>
                      <w:bCs w:val="0"/>
                      <w:color w:val="auto"/>
                      <w:kern w:val="0"/>
                      <w:sz w:val="21"/>
                      <w:szCs w:val="21"/>
                      <w:highlight w:val="none"/>
                      <w:shd w:val="clear" w:color="auto" w:fill="auto"/>
                      <w:lang w:val="en-US" w:eastAsia="zh-CN"/>
                    </w:rPr>
                    <w:t>在贮存库内或通过贮存分区方式贮存液态危险废物的，应具有液体泄漏堵截设施，堵截设施最小容积不应低于对应贮存区域最大液态废物容器容积或液态废物总储量1/10（二者取较大值）。</w:t>
                  </w:r>
                  <w:r>
                    <w:rPr>
                      <w:rFonts w:hint="eastAsia" w:ascii="Times New Roman" w:hAnsi="Times New Roman" w:eastAsia="宋体" w:cs="Times New Roman"/>
                      <w:b w:val="0"/>
                      <w:bCs w:val="0"/>
                      <w:color w:val="auto"/>
                      <w:kern w:val="0"/>
                      <w:sz w:val="21"/>
                      <w:szCs w:val="21"/>
                      <w:highlight w:val="none"/>
                      <w:shd w:val="clear" w:color="auto" w:fill="auto"/>
                      <w:lang w:val="en-US" w:eastAsia="zh-CN"/>
                    </w:rPr>
                    <w:t>用于贮存可能产生渗滤液的危险废物的贮存库或贮存分区应设计渗滤液收集设施，收集设施容积应满足渗滤液的收集要求。</w:t>
                  </w:r>
                </w:p>
              </w:tc>
              <w:tc>
                <w:tcPr>
                  <w:tcW w:w="1750" w:type="pct"/>
                  <w:tcBorders>
                    <w:tl2br w:val="nil"/>
                    <w:tr2bl w:val="nil"/>
                  </w:tcBorders>
                  <w:noWrap w:val="0"/>
                  <w:tcMar>
                    <w:top w:w="0" w:type="dxa"/>
                    <w:left w:w="0" w:type="dxa"/>
                    <w:bottom w:w="0" w:type="dxa"/>
                    <w:right w:w="0" w:type="dxa"/>
                  </w:tcMar>
                  <w:vAlign w:val="center"/>
                </w:tcPr>
                <w:p w14:paraId="1FD733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kern w:val="0"/>
                      <w:sz w:val="21"/>
                      <w:szCs w:val="21"/>
                      <w:highlight w:val="none"/>
                      <w:shd w:val="clear" w:color="auto" w:fill="auto"/>
                      <w:lang w:val="en-US" w:eastAsia="zh-CN"/>
                    </w:rPr>
                  </w:pPr>
                  <w:r>
                    <w:rPr>
                      <w:rFonts w:hint="eastAsia" w:cs="Times New Roman"/>
                      <w:b w:val="0"/>
                      <w:bCs w:val="0"/>
                      <w:color w:val="auto"/>
                      <w:kern w:val="0"/>
                      <w:sz w:val="21"/>
                      <w:szCs w:val="21"/>
                      <w:highlight w:val="none"/>
                      <w:shd w:val="clear" w:color="auto" w:fill="auto"/>
                      <w:lang w:val="en-US" w:eastAsia="zh-CN"/>
                    </w:rPr>
                    <w:t>本项目产生的危险废物主要有实验废液、废生物材料、废实验耗材、废化学品包装袋、废活性炭等</w:t>
                  </w:r>
                  <w:r>
                    <w:rPr>
                      <w:rFonts w:hint="eastAsia" w:ascii="Times New Roman" w:hAnsi="Times New Roman" w:eastAsia="宋体" w:cs="Times New Roman"/>
                      <w:b w:val="0"/>
                      <w:bCs w:val="0"/>
                      <w:color w:val="auto"/>
                      <w:kern w:val="0"/>
                      <w:sz w:val="21"/>
                      <w:szCs w:val="21"/>
                      <w:highlight w:val="none"/>
                      <w:shd w:val="clear" w:color="auto" w:fill="auto"/>
                      <w:lang w:eastAsia="zh-CN"/>
                    </w:rPr>
                    <w:t>。液体危废均为密闭桶装，且下方设有防渗漏托盘</w:t>
                  </w:r>
                  <w:r>
                    <w:rPr>
                      <w:rFonts w:hint="eastAsia" w:ascii="Times New Roman" w:hAnsi="Times New Roman" w:eastAsia="宋体" w:cs="Times New Roman"/>
                      <w:b w:val="0"/>
                      <w:bCs w:val="0"/>
                      <w:color w:val="auto"/>
                      <w:kern w:val="0"/>
                      <w:sz w:val="21"/>
                      <w:szCs w:val="21"/>
                      <w:highlight w:val="none"/>
                      <w:shd w:val="clear" w:color="auto" w:fill="auto"/>
                      <w:lang w:val="en-US" w:eastAsia="zh-CN"/>
                    </w:rPr>
                    <w:t>并设置截流沟</w:t>
                  </w:r>
                  <w:r>
                    <w:rPr>
                      <w:rFonts w:hint="eastAsia" w:ascii="Times New Roman" w:hAnsi="Times New Roman" w:eastAsia="宋体" w:cs="Times New Roman"/>
                      <w:b w:val="0"/>
                      <w:bCs w:val="0"/>
                      <w:color w:val="auto"/>
                      <w:kern w:val="0"/>
                      <w:sz w:val="21"/>
                      <w:szCs w:val="21"/>
                      <w:highlight w:val="none"/>
                      <w:shd w:val="clear" w:color="auto" w:fill="auto"/>
                      <w:lang w:eastAsia="zh-CN"/>
                    </w:rPr>
                    <w:t>，</w:t>
                  </w:r>
                  <w:r>
                    <w:rPr>
                      <w:rFonts w:hint="eastAsia" w:ascii="Times New Roman" w:hAnsi="Times New Roman" w:eastAsia="宋体" w:cs="Times New Roman"/>
                      <w:b w:val="0"/>
                      <w:bCs w:val="0"/>
                      <w:color w:val="auto"/>
                      <w:kern w:val="0"/>
                      <w:sz w:val="21"/>
                      <w:szCs w:val="21"/>
                      <w:highlight w:val="none"/>
                      <w:shd w:val="clear" w:color="auto" w:fill="auto"/>
                      <w:lang w:val="en-US" w:eastAsia="zh-CN"/>
                    </w:rPr>
                    <w:t>可满足截流要求</w:t>
                  </w:r>
                  <w:r>
                    <w:rPr>
                      <w:rFonts w:hint="eastAsia" w:ascii="Times New Roman" w:hAnsi="Times New Roman" w:eastAsia="宋体" w:cs="Times New Roman"/>
                      <w:b w:val="0"/>
                      <w:bCs w:val="0"/>
                      <w:color w:val="auto"/>
                      <w:kern w:val="0"/>
                      <w:sz w:val="21"/>
                      <w:szCs w:val="21"/>
                      <w:highlight w:val="none"/>
                      <w:shd w:val="clear" w:color="auto" w:fill="auto"/>
                      <w:lang w:eastAsia="zh-CN"/>
                    </w:rPr>
                    <w:t>。</w:t>
                  </w:r>
                  <w:r>
                    <w:rPr>
                      <w:rFonts w:hint="eastAsia" w:ascii="Times New Roman" w:hAnsi="Times New Roman" w:eastAsia="宋体" w:cs="Times New Roman"/>
                      <w:b w:val="0"/>
                      <w:bCs w:val="0"/>
                      <w:color w:val="auto"/>
                      <w:kern w:val="0"/>
                      <w:sz w:val="21"/>
                      <w:szCs w:val="21"/>
                      <w:highlight w:val="none"/>
                      <w:shd w:val="clear" w:color="auto" w:fill="auto"/>
                      <w:lang w:val="en-US" w:eastAsia="zh-CN"/>
                    </w:rPr>
                    <w:t>本项目各类危废贮存过程无渗滤液产生。</w:t>
                  </w:r>
                </w:p>
              </w:tc>
              <w:tc>
                <w:tcPr>
                  <w:tcW w:w="453" w:type="pct"/>
                  <w:tcBorders>
                    <w:tl2br w:val="nil"/>
                    <w:tr2bl w:val="nil"/>
                  </w:tcBorders>
                  <w:noWrap w:val="0"/>
                  <w:tcMar>
                    <w:top w:w="0" w:type="dxa"/>
                    <w:left w:w="0" w:type="dxa"/>
                    <w:bottom w:w="0" w:type="dxa"/>
                    <w:right w:w="0" w:type="dxa"/>
                  </w:tcMar>
                  <w:vAlign w:val="center"/>
                </w:tcPr>
                <w:p w14:paraId="11A803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b w:val="0"/>
                      <w:bCs w:val="0"/>
                      <w:color w:val="auto"/>
                      <w:kern w:val="0"/>
                      <w:sz w:val="21"/>
                      <w:szCs w:val="21"/>
                      <w:highlight w:val="none"/>
                      <w:shd w:val="clear" w:color="auto" w:fill="auto"/>
                      <w:lang w:eastAsia="zh-CN"/>
                    </w:rPr>
                  </w:pPr>
                  <w:r>
                    <w:rPr>
                      <w:rFonts w:hint="eastAsia" w:ascii="Times New Roman" w:hAnsi="Times New Roman" w:eastAsia="宋体" w:cs="Times New Roman"/>
                      <w:b w:val="0"/>
                      <w:bCs w:val="0"/>
                      <w:color w:val="auto"/>
                      <w:kern w:val="0"/>
                      <w:sz w:val="21"/>
                      <w:szCs w:val="21"/>
                      <w:highlight w:val="none"/>
                      <w:shd w:val="clear" w:color="auto" w:fill="auto"/>
                      <w:lang w:eastAsia="zh-CN"/>
                    </w:rPr>
                    <w:t>符合</w:t>
                  </w:r>
                </w:p>
              </w:tc>
            </w:tr>
            <w:tr w14:paraId="7B1601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7" w:type="pct"/>
                  <w:tcBorders>
                    <w:tl2br w:val="nil"/>
                    <w:tr2bl w:val="nil"/>
                  </w:tcBorders>
                  <w:noWrap w:val="0"/>
                  <w:tcMar>
                    <w:top w:w="0" w:type="dxa"/>
                    <w:left w:w="0" w:type="dxa"/>
                    <w:bottom w:w="0" w:type="dxa"/>
                    <w:right w:w="0" w:type="dxa"/>
                  </w:tcMar>
                  <w:vAlign w:val="center"/>
                </w:tcPr>
                <w:p w14:paraId="47063A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kern w:val="0"/>
                      <w:sz w:val="21"/>
                      <w:szCs w:val="21"/>
                      <w:highlight w:val="none"/>
                      <w:shd w:val="clear" w:color="auto" w:fill="auto"/>
                      <w:lang w:val="en-US" w:eastAsia="zh-CN"/>
                    </w:rPr>
                  </w:pPr>
                  <w:r>
                    <w:rPr>
                      <w:rFonts w:hint="eastAsia" w:ascii="Times New Roman" w:hAnsi="Times New Roman" w:eastAsia="宋体" w:cs="Times New Roman"/>
                      <w:b w:val="0"/>
                      <w:bCs w:val="0"/>
                      <w:color w:val="auto"/>
                      <w:kern w:val="0"/>
                      <w:sz w:val="21"/>
                      <w:szCs w:val="21"/>
                      <w:highlight w:val="none"/>
                      <w:shd w:val="clear" w:color="auto" w:fill="auto"/>
                      <w:lang w:val="en-US" w:eastAsia="zh-CN"/>
                    </w:rPr>
                    <w:t>2</w:t>
                  </w:r>
                </w:p>
              </w:tc>
              <w:tc>
                <w:tcPr>
                  <w:tcW w:w="2548" w:type="pct"/>
                  <w:tcBorders>
                    <w:tl2br w:val="nil"/>
                    <w:tr2bl w:val="nil"/>
                  </w:tcBorders>
                  <w:noWrap w:val="0"/>
                  <w:tcMar>
                    <w:top w:w="0" w:type="dxa"/>
                    <w:left w:w="0" w:type="dxa"/>
                    <w:bottom w:w="0" w:type="dxa"/>
                    <w:right w:w="0" w:type="dxa"/>
                  </w:tcMar>
                  <w:vAlign w:val="center"/>
                </w:tcPr>
                <w:p w14:paraId="74157E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center"/>
                    <w:rPr>
                      <w:rFonts w:hint="default" w:ascii="Times New Roman" w:hAnsi="Times New Roman" w:eastAsia="宋体" w:cs="Times New Roman"/>
                      <w:b w:val="0"/>
                      <w:bCs w:val="0"/>
                      <w:color w:val="auto"/>
                      <w:kern w:val="0"/>
                      <w:sz w:val="21"/>
                      <w:szCs w:val="21"/>
                      <w:highlight w:val="none"/>
                      <w:shd w:val="clear" w:color="auto" w:fill="auto"/>
                      <w:lang w:val="en-US" w:eastAsia="zh-CN"/>
                    </w:rPr>
                  </w:pPr>
                  <w:r>
                    <w:rPr>
                      <w:rFonts w:hint="eastAsia" w:ascii="Times New Roman" w:hAnsi="Times New Roman" w:eastAsia="宋体" w:cs="Times New Roman"/>
                      <w:b w:val="0"/>
                      <w:bCs w:val="0"/>
                      <w:color w:val="auto"/>
                      <w:kern w:val="0"/>
                      <w:sz w:val="21"/>
                      <w:szCs w:val="21"/>
                      <w:highlight w:val="none"/>
                      <w:shd w:val="clear" w:color="auto" w:fill="auto"/>
                      <w:lang w:val="en-US" w:eastAsia="zh-CN"/>
                    </w:rPr>
                    <w:t>易产生粉尘、VOCs、酸雾、有毒有害大气污染物和刺激性气味气体的危险废物应装入闭口容器或包装物内贮存。</w:t>
                  </w:r>
                </w:p>
              </w:tc>
              <w:tc>
                <w:tcPr>
                  <w:tcW w:w="1750" w:type="pct"/>
                  <w:tcBorders>
                    <w:tl2br w:val="nil"/>
                    <w:tr2bl w:val="nil"/>
                  </w:tcBorders>
                  <w:noWrap w:val="0"/>
                  <w:tcMar>
                    <w:top w:w="0" w:type="dxa"/>
                    <w:left w:w="0" w:type="dxa"/>
                    <w:bottom w:w="0" w:type="dxa"/>
                    <w:right w:w="0" w:type="dxa"/>
                  </w:tcMar>
                  <w:vAlign w:val="center"/>
                </w:tcPr>
                <w:p w14:paraId="67E398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kern w:val="0"/>
                      <w:sz w:val="21"/>
                      <w:szCs w:val="21"/>
                      <w:highlight w:val="none"/>
                      <w:shd w:val="clear" w:color="auto" w:fill="auto"/>
                      <w:lang w:val="en-US" w:eastAsia="zh-CN"/>
                    </w:rPr>
                  </w:pPr>
                  <w:r>
                    <w:rPr>
                      <w:rFonts w:hint="eastAsia" w:cs="Times New Roman"/>
                      <w:b w:val="0"/>
                      <w:bCs w:val="0"/>
                      <w:color w:val="auto"/>
                      <w:kern w:val="0"/>
                      <w:sz w:val="21"/>
                      <w:szCs w:val="21"/>
                      <w:highlight w:val="none"/>
                      <w:shd w:val="clear" w:color="auto" w:fill="auto"/>
                      <w:lang w:val="en-US" w:eastAsia="zh-CN"/>
                    </w:rPr>
                    <w:t>本项目产生的危险废物主要有实验废液、废生物材料、废实验耗材、废化学品包装袋、废活性炭等</w:t>
                  </w:r>
                  <w:r>
                    <w:rPr>
                      <w:rFonts w:hint="eastAsia" w:ascii="Times New Roman" w:hAnsi="Times New Roman" w:eastAsia="宋体" w:cs="Times New Roman"/>
                      <w:b w:val="0"/>
                      <w:bCs w:val="0"/>
                      <w:color w:val="auto"/>
                      <w:kern w:val="0"/>
                      <w:sz w:val="21"/>
                      <w:szCs w:val="21"/>
                      <w:highlight w:val="none"/>
                      <w:shd w:val="clear" w:color="auto" w:fill="auto"/>
                      <w:lang w:eastAsia="zh-CN"/>
                    </w:rPr>
                    <w:t>。液体危废均为密闭桶装</w:t>
                  </w:r>
                  <w:r>
                    <w:rPr>
                      <w:rFonts w:hint="eastAsia" w:ascii="Times New Roman" w:hAnsi="Times New Roman" w:eastAsia="宋体" w:cs="Times New Roman"/>
                      <w:b w:val="0"/>
                      <w:bCs w:val="0"/>
                      <w:color w:val="auto"/>
                      <w:kern w:val="0"/>
                      <w:sz w:val="21"/>
                      <w:szCs w:val="21"/>
                      <w:highlight w:val="none"/>
                      <w:shd w:val="clear" w:color="auto" w:fill="auto"/>
                      <w:lang w:val="en-US" w:eastAsia="zh-CN"/>
                    </w:rPr>
                    <w:t>贮存</w:t>
                  </w:r>
                  <w:r>
                    <w:rPr>
                      <w:rFonts w:hint="eastAsia" w:ascii="Times New Roman" w:hAnsi="Times New Roman" w:eastAsia="宋体" w:cs="Times New Roman"/>
                      <w:b w:val="0"/>
                      <w:bCs w:val="0"/>
                      <w:color w:val="auto"/>
                      <w:kern w:val="0"/>
                      <w:sz w:val="21"/>
                      <w:szCs w:val="21"/>
                      <w:highlight w:val="none"/>
                      <w:shd w:val="clear" w:color="auto" w:fill="auto"/>
                      <w:lang w:eastAsia="zh-CN"/>
                    </w:rPr>
                    <w:t>。</w:t>
                  </w:r>
                </w:p>
              </w:tc>
              <w:tc>
                <w:tcPr>
                  <w:tcW w:w="453" w:type="pct"/>
                  <w:tcBorders>
                    <w:tl2br w:val="nil"/>
                    <w:tr2bl w:val="nil"/>
                  </w:tcBorders>
                  <w:noWrap w:val="0"/>
                  <w:tcMar>
                    <w:top w:w="0" w:type="dxa"/>
                    <w:left w:w="0" w:type="dxa"/>
                    <w:bottom w:w="0" w:type="dxa"/>
                    <w:right w:w="0" w:type="dxa"/>
                  </w:tcMar>
                  <w:vAlign w:val="center"/>
                </w:tcPr>
                <w:p w14:paraId="2DBB49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b w:val="0"/>
                      <w:bCs w:val="0"/>
                      <w:color w:val="auto"/>
                      <w:kern w:val="0"/>
                      <w:sz w:val="21"/>
                      <w:szCs w:val="21"/>
                      <w:highlight w:val="none"/>
                      <w:shd w:val="clear" w:color="auto" w:fill="auto"/>
                      <w:lang w:eastAsia="zh-CN"/>
                    </w:rPr>
                  </w:pPr>
                  <w:r>
                    <w:rPr>
                      <w:rFonts w:hint="eastAsia" w:ascii="Times New Roman" w:hAnsi="Times New Roman" w:eastAsia="宋体" w:cs="Times New Roman"/>
                      <w:b w:val="0"/>
                      <w:bCs w:val="0"/>
                      <w:color w:val="auto"/>
                      <w:kern w:val="0"/>
                      <w:sz w:val="21"/>
                      <w:szCs w:val="21"/>
                      <w:highlight w:val="none"/>
                      <w:shd w:val="clear" w:color="auto" w:fill="auto"/>
                      <w:lang w:eastAsia="zh-CN"/>
                    </w:rPr>
                    <w:t>符合</w:t>
                  </w:r>
                </w:p>
              </w:tc>
            </w:tr>
            <w:tr w14:paraId="493D57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7" w:type="pct"/>
                  <w:tcBorders>
                    <w:tl2br w:val="nil"/>
                    <w:tr2bl w:val="nil"/>
                  </w:tcBorders>
                  <w:noWrap w:val="0"/>
                  <w:tcMar>
                    <w:top w:w="0" w:type="dxa"/>
                    <w:left w:w="0" w:type="dxa"/>
                    <w:bottom w:w="0" w:type="dxa"/>
                    <w:right w:w="0" w:type="dxa"/>
                  </w:tcMar>
                  <w:vAlign w:val="center"/>
                </w:tcPr>
                <w:p w14:paraId="785A0B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kern w:val="0"/>
                      <w:sz w:val="21"/>
                      <w:szCs w:val="21"/>
                      <w:highlight w:val="none"/>
                      <w:shd w:val="clear" w:color="auto" w:fill="auto"/>
                      <w:lang w:val="en-US" w:eastAsia="zh-CN"/>
                    </w:rPr>
                  </w:pPr>
                  <w:r>
                    <w:rPr>
                      <w:rFonts w:hint="eastAsia" w:ascii="Times New Roman" w:hAnsi="Times New Roman" w:eastAsia="宋体" w:cs="Times New Roman"/>
                      <w:b w:val="0"/>
                      <w:bCs w:val="0"/>
                      <w:color w:val="auto"/>
                      <w:kern w:val="0"/>
                      <w:sz w:val="21"/>
                      <w:szCs w:val="21"/>
                      <w:highlight w:val="none"/>
                      <w:shd w:val="clear" w:color="auto" w:fill="auto"/>
                      <w:lang w:val="en-US" w:eastAsia="zh-CN"/>
                    </w:rPr>
                    <w:t>3</w:t>
                  </w:r>
                </w:p>
              </w:tc>
              <w:tc>
                <w:tcPr>
                  <w:tcW w:w="2548" w:type="pct"/>
                  <w:tcBorders>
                    <w:tl2br w:val="nil"/>
                    <w:tr2bl w:val="nil"/>
                  </w:tcBorders>
                  <w:noWrap w:val="0"/>
                  <w:tcMar>
                    <w:top w:w="0" w:type="dxa"/>
                    <w:left w:w="0" w:type="dxa"/>
                    <w:bottom w:w="0" w:type="dxa"/>
                    <w:right w:w="0" w:type="dxa"/>
                  </w:tcMar>
                  <w:vAlign w:val="center"/>
                </w:tcPr>
                <w:p w14:paraId="543097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center"/>
                    <w:rPr>
                      <w:rFonts w:hint="default" w:ascii="Times New Roman" w:hAnsi="Times New Roman" w:eastAsia="宋体" w:cs="Times New Roman"/>
                      <w:b w:val="0"/>
                      <w:bCs w:val="0"/>
                      <w:color w:val="auto"/>
                      <w:kern w:val="0"/>
                      <w:sz w:val="21"/>
                      <w:szCs w:val="21"/>
                      <w:highlight w:val="none"/>
                      <w:shd w:val="clear" w:color="auto" w:fill="auto"/>
                      <w:lang w:val="en-US" w:eastAsia="zh-CN"/>
                    </w:rPr>
                  </w:pPr>
                  <w:r>
                    <w:rPr>
                      <w:rFonts w:hint="eastAsia" w:ascii="Times New Roman" w:hAnsi="Times New Roman" w:eastAsia="宋体" w:cs="Times New Roman"/>
                      <w:b w:val="0"/>
                      <w:bCs w:val="0"/>
                      <w:color w:val="auto"/>
                      <w:kern w:val="0"/>
                      <w:sz w:val="21"/>
                      <w:szCs w:val="21"/>
                      <w:highlight w:val="none"/>
                      <w:shd w:val="clear" w:color="auto" w:fill="auto"/>
                      <w:lang w:val="en-US" w:eastAsia="zh-CN"/>
                    </w:rPr>
                    <w:t>贮存易产生粉尘、</w:t>
                  </w:r>
                  <w:r>
                    <w:rPr>
                      <w:rFonts w:hint="eastAsia" w:ascii="Times New Roman" w:hAnsi="Times New Roman" w:eastAsia="宋体" w:cs="Times New Roman"/>
                      <w:b w:val="0"/>
                      <w:bCs w:val="0"/>
                      <w:color w:val="auto"/>
                      <w:kern w:val="0"/>
                      <w:sz w:val="21"/>
                      <w:szCs w:val="21"/>
                      <w:highlight w:val="none"/>
                      <w:u w:val="none"/>
                      <w:shd w:val="clear" w:color="auto" w:fill="auto"/>
                      <w:lang w:val="en-US" w:eastAsia="zh-CN"/>
                    </w:rPr>
                    <w:t>VOCs、酸雾、有毒有害大气污染物和刺激性气味气体的危险废物贮存库，应设置气体收集装置和气体净化设施，气体净化设施的排气筒高度应符合GB16297要求。同时，贮存设施产生的废气（无组织废气）的排放应符合GB37822的要求。</w:t>
                  </w:r>
                </w:p>
              </w:tc>
              <w:tc>
                <w:tcPr>
                  <w:tcW w:w="1750" w:type="pct"/>
                  <w:tcBorders>
                    <w:tl2br w:val="nil"/>
                    <w:tr2bl w:val="nil"/>
                  </w:tcBorders>
                  <w:noWrap w:val="0"/>
                  <w:tcMar>
                    <w:top w:w="0" w:type="dxa"/>
                    <w:left w:w="0" w:type="dxa"/>
                    <w:bottom w:w="0" w:type="dxa"/>
                    <w:right w:w="0" w:type="dxa"/>
                  </w:tcMar>
                  <w:vAlign w:val="center"/>
                </w:tcPr>
                <w:p w14:paraId="1815D9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b w:val="0"/>
                      <w:bCs w:val="0"/>
                      <w:color w:val="auto"/>
                      <w:kern w:val="0"/>
                      <w:sz w:val="21"/>
                      <w:szCs w:val="21"/>
                      <w:highlight w:val="none"/>
                      <w:shd w:val="clear" w:color="auto" w:fill="auto"/>
                      <w:lang w:eastAsia="zh-CN"/>
                    </w:rPr>
                  </w:pPr>
                  <w:r>
                    <w:rPr>
                      <w:rFonts w:hint="eastAsia" w:ascii="Times New Roman" w:hAnsi="Times New Roman" w:eastAsia="宋体" w:cs="Times New Roman"/>
                      <w:b w:val="0"/>
                      <w:bCs w:val="0"/>
                      <w:color w:val="auto"/>
                      <w:kern w:val="0"/>
                      <w:sz w:val="21"/>
                      <w:szCs w:val="21"/>
                      <w:highlight w:val="none"/>
                      <w:shd w:val="clear" w:color="auto" w:fill="auto"/>
                      <w:lang w:eastAsia="zh-CN"/>
                    </w:rPr>
                    <w:t>本项目产生的危险废物密闭储存，</w:t>
                  </w:r>
                  <w:r>
                    <w:rPr>
                      <w:rFonts w:hint="eastAsia" w:cs="Times New Roman"/>
                      <w:b w:val="0"/>
                      <w:bCs w:val="0"/>
                      <w:color w:val="auto"/>
                      <w:kern w:val="0"/>
                      <w:sz w:val="21"/>
                      <w:szCs w:val="21"/>
                      <w:highlight w:val="none"/>
                      <w:shd w:val="clear" w:color="auto" w:fill="auto"/>
                      <w:lang w:val="en-US" w:eastAsia="zh-CN"/>
                    </w:rPr>
                    <w:t>危废间</w:t>
                  </w:r>
                  <w:r>
                    <w:rPr>
                      <w:rFonts w:hint="eastAsia" w:ascii="Times New Roman" w:hAnsi="Times New Roman" w:eastAsia="宋体" w:cs="Times New Roman"/>
                      <w:b w:val="0"/>
                      <w:bCs w:val="0"/>
                      <w:color w:val="auto"/>
                      <w:kern w:val="0"/>
                      <w:sz w:val="21"/>
                      <w:szCs w:val="21"/>
                      <w:highlight w:val="none"/>
                      <w:shd w:val="clear" w:color="auto" w:fill="auto"/>
                      <w:lang w:val="en-US" w:eastAsia="zh-CN"/>
                    </w:rPr>
                    <w:t>已设置气体收集装置和气体净化装置，无组织废气排放满足《挥发性有机物无组织排放控制标准》（GB37822-2019）中特别排放限值</w:t>
                  </w:r>
                  <w:r>
                    <w:rPr>
                      <w:rFonts w:hint="eastAsia" w:ascii="Times New Roman" w:hAnsi="Times New Roman" w:eastAsia="宋体" w:cs="Times New Roman"/>
                      <w:b w:val="0"/>
                      <w:bCs w:val="0"/>
                      <w:color w:val="auto"/>
                      <w:kern w:val="0"/>
                      <w:sz w:val="21"/>
                      <w:szCs w:val="21"/>
                      <w:highlight w:val="none"/>
                      <w:shd w:val="clear" w:color="auto" w:fill="auto"/>
                      <w:lang w:eastAsia="zh-CN"/>
                    </w:rPr>
                    <w:t>。</w:t>
                  </w:r>
                </w:p>
              </w:tc>
              <w:tc>
                <w:tcPr>
                  <w:tcW w:w="453" w:type="pct"/>
                  <w:tcBorders>
                    <w:tl2br w:val="nil"/>
                    <w:tr2bl w:val="nil"/>
                  </w:tcBorders>
                  <w:noWrap w:val="0"/>
                  <w:tcMar>
                    <w:top w:w="0" w:type="dxa"/>
                    <w:left w:w="0" w:type="dxa"/>
                    <w:bottom w:w="0" w:type="dxa"/>
                    <w:right w:w="0" w:type="dxa"/>
                  </w:tcMar>
                  <w:vAlign w:val="center"/>
                </w:tcPr>
                <w:p w14:paraId="49C9F9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b w:val="0"/>
                      <w:bCs w:val="0"/>
                      <w:color w:val="auto"/>
                      <w:kern w:val="0"/>
                      <w:sz w:val="21"/>
                      <w:szCs w:val="21"/>
                      <w:highlight w:val="none"/>
                      <w:shd w:val="clear" w:color="auto" w:fill="auto"/>
                      <w:lang w:eastAsia="zh-CN"/>
                    </w:rPr>
                  </w:pPr>
                  <w:r>
                    <w:rPr>
                      <w:rFonts w:hint="eastAsia" w:ascii="Times New Roman" w:hAnsi="Times New Roman" w:eastAsia="宋体" w:cs="Times New Roman"/>
                      <w:b w:val="0"/>
                      <w:bCs w:val="0"/>
                      <w:color w:val="auto"/>
                      <w:kern w:val="0"/>
                      <w:sz w:val="21"/>
                      <w:szCs w:val="21"/>
                      <w:highlight w:val="none"/>
                      <w:shd w:val="clear" w:color="auto" w:fill="auto"/>
                      <w:lang w:eastAsia="zh-CN"/>
                    </w:rPr>
                    <w:t>符合</w:t>
                  </w:r>
                </w:p>
              </w:tc>
            </w:tr>
          </w:tbl>
          <w:p w14:paraId="73B65D8B">
            <w:pPr>
              <w:keepNext w:val="0"/>
              <w:keepLines w:val="0"/>
              <w:suppressLineNumbers w:val="0"/>
              <w:autoSpaceDE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w:t>
            </w:r>
            <w:r>
              <w:rPr>
                <w:rFonts w:hint="eastAsia" w:ascii="Times New Roman" w:hAnsi="Times New Roman" w:eastAsia="宋体" w:cs="Times New Roman"/>
                <w:b/>
                <w:bCs/>
                <w:color w:val="auto"/>
                <w:sz w:val="24"/>
                <w:highlight w:val="none"/>
                <w:lang w:val="en-US" w:eastAsia="zh-CN"/>
              </w:rPr>
              <w:t>9</w:t>
            </w:r>
            <w:r>
              <w:rPr>
                <w:rFonts w:hint="default" w:ascii="Times New Roman" w:hAnsi="Times New Roman" w:eastAsia="宋体" w:cs="Times New Roman"/>
                <w:b/>
                <w:bCs/>
                <w:color w:val="auto"/>
                <w:sz w:val="24"/>
                <w:highlight w:val="none"/>
                <w:lang w:val="en-US" w:eastAsia="zh-CN"/>
              </w:rPr>
              <w:t>）</w:t>
            </w:r>
            <w:r>
              <w:rPr>
                <w:rFonts w:hint="default" w:ascii="Times New Roman" w:hAnsi="Times New Roman" w:eastAsia="宋体" w:cs="Times New Roman"/>
                <w:b/>
                <w:bCs/>
                <w:color w:val="auto"/>
                <w:sz w:val="24"/>
                <w:highlight w:val="none"/>
              </w:rPr>
              <w:t>环境保护图形标志牌</w:t>
            </w:r>
          </w:p>
          <w:p w14:paraId="751866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color w:val="auto"/>
                <w:kern w:val="0"/>
                <w:sz w:val="24"/>
                <w:szCs w:val="24"/>
                <w:highlight w:val="none"/>
                <w:shd w:val="clear" w:color="auto" w:fill="auto"/>
                <w:lang w:val="en-US" w:eastAsia="zh-CN" w:bidi="ar-SA"/>
              </w:rPr>
            </w:pPr>
            <w:r>
              <w:rPr>
                <w:rFonts w:hint="default" w:ascii="Times New Roman" w:hAnsi="Times New Roman" w:eastAsia="宋体"/>
                <w:color w:val="auto"/>
                <w:sz w:val="24"/>
                <w:szCs w:val="24"/>
                <w:highlight w:val="none"/>
              </w:rPr>
              <w:t>建设单位按照《</w:t>
            </w:r>
            <w:r>
              <w:rPr>
                <w:rFonts w:hint="eastAsia" w:ascii="Times New Roman" w:hAnsi="Times New Roman" w:eastAsia="宋体"/>
                <w:color w:val="auto"/>
                <w:sz w:val="24"/>
                <w:szCs w:val="24"/>
                <w:highlight w:val="none"/>
                <w:lang w:eastAsia="zh-CN"/>
              </w:rPr>
              <w:t>环境保护图形标志 固体废物贮存（处置）场</w:t>
            </w:r>
            <w:r>
              <w:rPr>
                <w:rFonts w:hint="default" w:ascii="Times New Roman" w:hAnsi="Times New Roman" w:eastAsia="宋体"/>
                <w:color w:val="auto"/>
                <w:sz w:val="24"/>
                <w:szCs w:val="24"/>
                <w:highlight w:val="none"/>
              </w:rPr>
              <w:t>》（GB15562.2-1995）</w:t>
            </w:r>
            <w:r>
              <w:rPr>
                <w:rFonts w:hint="eastAsia" w:ascii="Times New Roman" w:hAnsi="Times New Roman" w:eastAsia="宋体"/>
                <w:color w:val="auto"/>
                <w:sz w:val="24"/>
                <w:szCs w:val="24"/>
                <w:highlight w:val="none"/>
                <w:lang w:val="en-US" w:eastAsia="zh-CN"/>
              </w:rPr>
              <w:t>及</w:t>
            </w:r>
            <w:r>
              <w:rPr>
                <w:rFonts w:hint="eastAsia" w:ascii="Times New Roman" w:hAnsi="Times New Roman" w:eastAsia="宋体"/>
                <w:color w:val="auto"/>
                <w:sz w:val="24"/>
                <w:szCs w:val="24"/>
                <w:highlight w:val="none"/>
                <w:lang w:eastAsia="zh-CN"/>
              </w:rPr>
              <w:t>《环境保护图形标志 固体废物贮存（处置）场</w:t>
            </w:r>
            <w:r>
              <w:rPr>
                <w:rFonts w:hint="eastAsia" w:ascii="Times New Roman" w:hAnsi="Times New Roman" w:eastAsia="宋体"/>
                <w:color w:val="auto"/>
                <w:sz w:val="24"/>
                <w:szCs w:val="24"/>
                <w:highlight w:val="none"/>
                <w:lang w:val="en-US" w:eastAsia="zh-CN"/>
              </w:rPr>
              <w:t>》（GB15562.2-1995）修改单的公告 公告2023年第5号</w:t>
            </w:r>
            <w:r>
              <w:rPr>
                <w:rFonts w:hint="eastAsia" w:ascii="Times New Roman" w:hAnsi="Times New Roman" w:eastAsia="宋体"/>
                <w:color w:val="auto"/>
                <w:sz w:val="24"/>
                <w:szCs w:val="24"/>
                <w:highlight w:val="none"/>
                <w:lang w:eastAsia="zh-CN"/>
              </w:rPr>
              <w:t>》、</w:t>
            </w:r>
            <w:r>
              <w:rPr>
                <w:rFonts w:hint="eastAsia" w:ascii="Times New Roman" w:hAnsi="Times New Roman" w:eastAsia="宋体"/>
                <w:b w:val="0"/>
                <w:bCs w:val="0"/>
                <w:color w:val="auto"/>
                <w:sz w:val="24"/>
                <w:szCs w:val="24"/>
                <w:highlight w:val="none"/>
                <w:lang w:val="en-US" w:eastAsia="zh-CN"/>
              </w:rPr>
              <w:t>《危险废物识别标志设置技术规范》（HJ1276-2022）、</w:t>
            </w:r>
            <w:r>
              <w:rPr>
                <w:rFonts w:hint="default"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lang w:eastAsia="zh-CN"/>
              </w:rPr>
              <w:t>江苏省固体废物全过程环境监管工作意见</w:t>
            </w:r>
            <w:r>
              <w:rPr>
                <w:rFonts w:hint="default" w:ascii="Times New Roman" w:hAnsi="Times New Roman" w:eastAsia="宋体"/>
                <w:color w:val="auto"/>
                <w:sz w:val="24"/>
                <w:szCs w:val="24"/>
                <w:highlight w:val="none"/>
              </w:rPr>
              <w:t>》（苏环办[</w:t>
            </w:r>
            <w:r>
              <w:rPr>
                <w:rFonts w:hint="eastAsia" w:ascii="Times New Roman" w:hAnsi="Times New Roman" w:eastAsia="宋体"/>
                <w:color w:val="auto"/>
                <w:sz w:val="24"/>
                <w:szCs w:val="24"/>
                <w:highlight w:val="none"/>
                <w:lang w:val="en-US" w:eastAsia="zh-CN"/>
              </w:rPr>
              <w:t>2024</w:t>
            </w:r>
            <w:r>
              <w:rPr>
                <w:rFonts w:hint="default"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lang w:val="en-US" w:eastAsia="zh-CN"/>
              </w:rPr>
              <w:t>16</w:t>
            </w:r>
            <w:r>
              <w:rPr>
                <w:rFonts w:hint="default" w:ascii="Times New Roman" w:hAnsi="Times New Roman" w:eastAsia="宋体"/>
                <w:color w:val="auto"/>
                <w:sz w:val="24"/>
                <w:szCs w:val="24"/>
                <w:highlight w:val="none"/>
              </w:rPr>
              <w:t>号）</w:t>
            </w:r>
            <w:r>
              <w:rPr>
                <w:rFonts w:hint="eastAsia" w:ascii="Times New Roman" w:hAnsi="Times New Roman" w:eastAsia="宋体"/>
                <w:color w:val="auto"/>
                <w:sz w:val="24"/>
                <w:szCs w:val="24"/>
                <w:highlight w:val="none"/>
              </w:rPr>
              <w:t>、</w:t>
            </w:r>
            <w:r>
              <w:rPr>
                <w:rFonts w:hint="default" w:ascii="Times New Roman" w:hAnsi="Times New Roman" w:eastAsia="宋体"/>
                <w:color w:val="auto"/>
                <w:sz w:val="24"/>
                <w:szCs w:val="24"/>
                <w:highlight w:val="none"/>
              </w:rPr>
              <w:t>《省生态环境厅关于做好江苏省危险废物全生命周期监控系统上线运行工作的通知》（苏环办[2020]401号）的要求设置固体废物堆放场的环境保护图形标志</w:t>
            </w:r>
            <w:r>
              <w:rPr>
                <w:rFonts w:hint="eastAsia" w:ascii="Times New Roman" w:hAnsi="Times New Roman" w:eastAsia="宋体"/>
                <w:color w:val="auto"/>
                <w:sz w:val="24"/>
                <w:szCs w:val="24"/>
                <w:highlight w:val="none"/>
              </w:rPr>
              <w:t>，具体见下表</w:t>
            </w:r>
            <w:r>
              <w:rPr>
                <w:rFonts w:hint="eastAsia" w:ascii="Times New Roman" w:hAnsi="Times New Roman" w:eastAsia="宋体"/>
                <w:color w:val="auto"/>
                <w:sz w:val="24"/>
                <w:szCs w:val="24"/>
                <w:highlight w:val="none"/>
                <w:lang w:eastAsia="zh-CN"/>
              </w:rPr>
              <w:t>：</w:t>
            </w:r>
          </w:p>
          <w:p w14:paraId="7F212895">
            <w:pPr>
              <w:pStyle w:val="24"/>
              <w:keepNext w:val="0"/>
              <w:keepLines w:val="0"/>
              <w:numPr>
                <w:ilvl w:val="0"/>
                <w:numId w:val="0"/>
              </w:numPr>
              <w:suppressLineNumbers w:val="0"/>
              <w:snapToGrid w:val="0"/>
              <w:spacing w:before="0" w:beforeAutospacing="0" w:after="0" w:afterAutospacing="0"/>
              <w:ind w:left="425" w:leftChars="0" w:right="0" w:hanging="425" w:firstLineChars="0"/>
              <w:jc w:val="center"/>
              <w:rPr>
                <w:rFonts w:hint="default" w:ascii="Times New Roman" w:hAnsi="Times New Roman" w:eastAsia="宋体" w:cs="Times New Roman"/>
                <w:b/>
                <w:bCs/>
                <w:color w:val="auto"/>
                <w:sz w:val="24"/>
                <w:highlight w:val="none"/>
                <w:shd w:val="clear" w:color="auto" w:fill="auto"/>
              </w:rPr>
            </w:pPr>
            <w:r>
              <w:rPr>
                <w:rFonts w:hint="default" w:ascii="Times New Roman" w:hAnsi="Times New Roman" w:eastAsia="宋体" w:cs="Times New Roman"/>
                <w:b/>
                <w:bCs/>
                <w:color w:val="auto"/>
                <w:kern w:val="0"/>
                <w:sz w:val="24"/>
                <w:szCs w:val="24"/>
                <w:highlight w:val="none"/>
                <w:shd w:val="clear" w:color="auto" w:fill="auto"/>
                <w:lang w:val="en-US" w:eastAsia="zh-CN" w:bidi="ar-SA"/>
              </w:rPr>
              <w:t>表4-</w:t>
            </w:r>
            <w:r>
              <w:rPr>
                <w:rFonts w:hint="eastAsia" w:ascii="Times New Roman" w:hAnsi="Times New Roman" w:eastAsia="宋体" w:cs="Times New Roman"/>
                <w:b/>
                <w:bCs/>
                <w:color w:val="auto"/>
                <w:kern w:val="0"/>
                <w:sz w:val="24"/>
                <w:szCs w:val="24"/>
                <w:highlight w:val="none"/>
                <w:shd w:val="clear" w:color="auto" w:fill="auto"/>
                <w:lang w:val="en-US" w:eastAsia="zh-CN" w:bidi="ar-SA"/>
              </w:rPr>
              <w:t>27</w:t>
            </w:r>
            <w:r>
              <w:rPr>
                <w:rFonts w:hint="default" w:ascii="Times New Roman" w:hAnsi="Times New Roman" w:eastAsia="宋体" w:cs="Times New Roman"/>
                <w:b/>
                <w:bCs/>
                <w:color w:val="auto"/>
                <w:kern w:val="0"/>
                <w:sz w:val="24"/>
                <w:szCs w:val="24"/>
                <w:highlight w:val="none"/>
                <w:shd w:val="clear" w:color="auto" w:fill="auto"/>
                <w:lang w:val="en-US" w:eastAsia="zh-CN" w:bidi="ar-SA"/>
              </w:rPr>
              <w:t xml:space="preserve">  </w:t>
            </w:r>
            <w:r>
              <w:rPr>
                <w:rFonts w:hint="default" w:ascii="Times New Roman" w:hAnsi="Times New Roman" w:eastAsia="宋体" w:cs="Times New Roman"/>
                <w:b/>
                <w:bCs/>
                <w:color w:val="auto"/>
                <w:sz w:val="24"/>
                <w:highlight w:val="none"/>
                <w:lang w:val="en-US" w:eastAsia="zh-CN"/>
              </w:rPr>
              <w:t>固体废物贮存场所</w:t>
            </w:r>
            <w:r>
              <w:rPr>
                <w:rFonts w:hint="default" w:ascii="Times New Roman" w:hAnsi="Times New Roman" w:eastAsia="宋体" w:cs="Times New Roman"/>
                <w:b/>
                <w:bCs/>
                <w:color w:val="auto"/>
                <w:sz w:val="24"/>
                <w:highlight w:val="none"/>
              </w:rPr>
              <w:t>的环境保护图形标志</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77"/>
              <w:gridCol w:w="1124"/>
              <w:gridCol w:w="1194"/>
              <w:gridCol w:w="1001"/>
              <w:gridCol w:w="1232"/>
              <w:gridCol w:w="2306"/>
            </w:tblGrid>
            <w:tr w14:paraId="34B639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34" w:type="pct"/>
                  <w:noWrap w:val="0"/>
                  <w:vAlign w:val="center"/>
                </w:tcPr>
                <w:p w14:paraId="6EEBD55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排放口名称</w:t>
                  </w:r>
                </w:p>
              </w:tc>
              <w:tc>
                <w:tcPr>
                  <w:tcW w:w="666" w:type="pct"/>
                  <w:noWrap w:val="0"/>
                  <w:vAlign w:val="center"/>
                </w:tcPr>
                <w:p w14:paraId="6FBA9C8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图形标志</w:t>
                  </w:r>
                </w:p>
              </w:tc>
              <w:tc>
                <w:tcPr>
                  <w:tcW w:w="707" w:type="pct"/>
                  <w:noWrap w:val="0"/>
                  <w:vAlign w:val="center"/>
                </w:tcPr>
                <w:p w14:paraId="5A61D30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形状</w:t>
                  </w:r>
                </w:p>
              </w:tc>
              <w:tc>
                <w:tcPr>
                  <w:tcW w:w="593" w:type="pct"/>
                  <w:noWrap w:val="0"/>
                  <w:vAlign w:val="center"/>
                </w:tcPr>
                <w:p w14:paraId="6C7E416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背景颜色</w:t>
                  </w:r>
                </w:p>
              </w:tc>
              <w:tc>
                <w:tcPr>
                  <w:tcW w:w="730" w:type="pct"/>
                  <w:noWrap w:val="0"/>
                  <w:vAlign w:val="center"/>
                </w:tcPr>
                <w:p w14:paraId="65F900A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图形颜色</w:t>
                  </w:r>
                </w:p>
              </w:tc>
              <w:tc>
                <w:tcPr>
                  <w:tcW w:w="1366" w:type="pct"/>
                  <w:noWrap w:val="0"/>
                  <w:vAlign w:val="center"/>
                </w:tcPr>
                <w:p w14:paraId="15476C8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提示图形符号</w:t>
                  </w:r>
                </w:p>
              </w:tc>
            </w:tr>
            <w:tr w14:paraId="0D7BEB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34" w:type="pct"/>
                  <w:noWrap w:val="0"/>
                  <w:vAlign w:val="center"/>
                </w:tcPr>
                <w:p w14:paraId="3FC0133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一般固废</w:t>
                  </w:r>
                </w:p>
                <w:p w14:paraId="0E17D7D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暂堆场所</w:t>
                  </w:r>
                </w:p>
              </w:tc>
              <w:tc>
                <w:tcPr>
                  <w:tcW w:w="666" w:type="pct"/>
                  <w:noWrap w:val="0"/>
                  <w:vAlign w:val="center"/>
                </w:tcPr>
                <w:p w14:paraId="78D05E0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提示标志</w:t>
                  </w:r>
                </w:p>
              </w:tc>
              <w:tc>
                <w:tcPr>
                  <w:tcW w:w="707" w:type="pct"/>
                  <w:noWrap w:val="0"/>
                  <w:vAlign w:val="center"/>
                </w:tcPr>
                <w:p w14:paraId="28B1473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正方形边框</w:t>
                  </w:r>
                </w:p>
              </w:tc>
              <w:tc>
                <w:tcPr>
                  <w:tcW w:w="593" w:type="pct"/>
                  <w:noWrap w:val="0"/>
                  <w:vAlign w:val="center"/>
                </w:tcPr>
                <w:p w14:paraId="5888AB1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绿色</w:t>
                  </w:r>
                </w:p>
              </w:tc>
              <w:tc>
                <w:tcPr>
                  <w:tcW w:w="730" w:type="pct"/>
                  <w:noWrap w:val="0"/>
                  <w:vAlign w:val="center"/>
                </w:tcPr>
                <w:p w14:paraId="763692F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白色</w:t>
                  </w:r>
                </w:p>
              </w:tc>
              <w:tc>
                <w:tcPr>
                  <w:tcW w:w="1366" w:type="pct"/>
                  <w:noWrap w:val="0"/>
                  <w:vAlign w:val="top"/>
                </w:tcPr>
                <w:p w14:paraId="5C72941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819785" cy="798830"/>
                        <wp:effectExtent l="0" t="0" r="18415" b="1270"/>
                        <wp:docPr id="13" name="图片 13" descr="一般固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一般固废"/>
                                <pic:cNvPicPr>
                                  <a:picLocks noChangeAspect="1"/>
                                </pic:cNvPicPr>
                              </pic:nvPicPr>
                              <pic:blipFill>
                                <a:blip r:embed="rId32"/>
                                <a:stretch>
                                  <a:fillRect/>
                                </a:stretch>
                              </pic:blipFill>
                              <pic:spPr>
                                <a:xfrm>
                                  <a:off x="0" y="0"/>
                                  <a:ext cx="819785" cy="798830"/>
                                </a:xfrm>
                                <a:prstGeom prst="rect">
                                  <a:avLst/>
                                </a:prstGeom>
                                <a:noFill/>
                                <a:ln>
                                  <a:noFill/>
                                </a:ln>
                              </pic:spPr>
                            </pic:pic>
                          </a:graphicData>
                        </a:graphic>
                      </wp:inline>
                    </w:drawing>
                  </w:r>
                </w:p>
              </w:tc>
            </w:tr>
            <w:tr w14:paraId="3940C4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34" w:type="pct"/>
                  <w:noWrap w:val="0"/>
                  <w:vAlign w:val="center"/>
                </w:tcPr>
                <w:p w14:paraId="736F02B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危险废物贮存、处置场</w:t>
                  </w:r>
                </w:p>
              </w:tc>
              <w:tc>
                <w:tcPr>
                  <w:tcW w:w="666" w:type="pct"/>
                  <w:noWrap w:val="0"/>
                  <w:vAlign w:val="center"/>
                </w:tcPr>
                <w:p w14:paraId="6898F68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警告标志</w:t>
                  </w:r>
                </w:p>
              </w:tc>
              <w:tc>
                <w:tcPr>
                  <w:tcW w:w="707" w:type="pct"/>
                  <w:noWrap w:val="0"/>
                  <w:vAlign w:val="center"/>
                </w:tcPr>
                <w:p w14:paraId="6061928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三角形</w:t>
                  </w:r>
                  <w:r>
                    <w:rPr>
                      <w:rFonts w:hint="default" w:ascii="Times New Roman" w:hAnsi="Times New Roman" w:eastAsia="宋体" w:cs="Times New Roman"/>
                      <w:color w:val="auto"/>
                      <w:sz w:val="21"/>
                      <w:szCs w:val="21"/>
                      <w:highlight w:val="none"/>
                      <w:lang w:val="en-US" w:eastAsia="zh-CN"/>
                    </w:rPr>
                    <w:t>边框</w:t>
                  </w:r>
                </w:p>
              </w:tc>
              <w:tc>
                <w:tcPr>
                  <w:tcW w:w="593" w:type="pct"/>
                  <w:noWrap w:val="0"/>
                  <w:vAlign w:val="center"/>
                </w:tcPr>
                <w:p w14:paraId="6150C5A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黄色</w:t>
                  </w:r>
                </w:p>
              </w:tc>
              <w:tc>
                <w:tcPr>
                  <w:tcW w:w="730" w:type="pct"/>
                  <w:noWrap w:val="0"/>
                  <w:vAlign w:val="center"/>
                </w:tcPr>
                <w:p w14:paraId="2473FC5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黑色</w:t>
                  </w:r>
                </w:p>
              </w:tc>
              <w:tc>
                <w:tcPr>
                  <w:tcW w:w="1366" w:type="pct"/>
                  <w:noWrap w:val="0"/>
                  <w:vAlign w:val="top"/>
                </w:tcPr>
                <w:p w14:paraId="6700B60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drawing>
                      <wp:inline distT="0" distB="0" distL="114300" distR="114300">
                        <wp:extent cx="836295" cy="688340"/>
                        <wp:effectExtent l="0" t="0" r="1905" b="16510"/>
                        <wp:docPr id="6" name="图片 14" descr="168058969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descr="1680589696279"/>
                                <pic:cNvPicPr>
                                  <a:picLocks noChangeAspect="1"/>
                                </pic:cNvPicPr>
                              </pic:nvPicPr>
                              <pic:blipFill>
                                <a:blip r:embed="rId33"/>
                                <a:stretch>
                                  <a:fillRect/>
                                </a:stretch>
                              </pic:blipFill>
                              <pic:spPr>
                                <a:xfrm>
                                  <a:off x="0" y="0"/>
                                  <a:ext cx="836295" cy="688340"/>
                                </a:xfrm>
                                <a:prstGeom prst="rect">
                                  <a:avLst/>
                                </a:prstGeom>
                                <a:noFill/>
                                <a:ln>
                                  <a:noFill/>
                                </a:ln>
                              </pic:spPr>
                            </pic:pic>
                          </a:graphicData>
                        </a:graphic>
                      </wp:inline>
                    </w:drawing>
                  </w:r>
                </w:p>
              </w:tc>
            </w:tr>
          </w:tbl>
          <w:p w14:paraId="0177A167">
            <w:pPr>
              <w:keepNext w:val="0"/>
              <w:keepLines w:val="0"/>
              <w:pageBreakBefore w:val="0"/>
              <w:widowControl w:val="0"/>
              <w:suppressLineNumbers w:val="0"/>
              <w:kinsoku/>
              <w:wordWrap/>
              <w:overflowPunct/>
              <w:topLinePunct/>
              <w:autoSpaceDE/>
              <w:autoSpaceDN/>
              <w:bidi w:val="0"/>
              <w:adjustRightInd w:val="0"/>
              <w:snapToGrid w:val="0"/>
              <w:spacing w:before="161" w:beforeLines="50" w:beforeAutospacing="0" w:after="0" w:afterAutospacing="0" w:line="240" w:lineRule="auto"/>
              <w:ind w:left="0" w:right="0"/>
              <w:jc w:val="center"/>
              <w:textAlignment w:val="auto"/>
              <w:rPr>
                <w:rFonts w:hint="default" w:ascii="Times New Roman" w:hAnsi="Times New Roman" w:eastAsia="宋体" w:cs="Times New Roman"/>
                <w:b/>
                <w:bCs/>
                <w:color w:val="auto"/>
                <w:kern w:val="0"/>
                <w:sz w:val="24"/>
                <w:szCs w:val="24"/>
                <w:highlight w:val="none"/>
                <w:shd w:val="clear" w:color="auto" w:fill="auto"/>
                <w:lang w:val="en-US" w:eastAsia="zh-CN" w:bidi="ar-SA"/>
              </w:rPr>
            </w:pPr>
          </w:p>
          <w:p w14:paraId="28595ECD">
            <w:pPr>
              <w:keepNext w:val="0"/>
              <w:keepLines w:val="0"/>
              <w:pageBreakBefore w:val="0"/>
              <w:widowControl w:val="0"/>
              <w:suppressLineNumbers w:val="0"/>
              <w:kinsoku/>
              <w:wordWrap/>
              <w:overflowPunct/>
              <w:topLinePunct/>
              <w:autoSpaceDE/>
              <w:autoSpaceDN/>
              <w:bidi w:val="0"/>
              <w:adjustRightInd w:val="0"/>
              <w:snapToGrid w:val="0"/>
              <w:spacing w:before="161" w:beforeLines="50" w:beforeAutospacing="0" w:after="0" w:afterAutospacing="0" w:line="240" w:lineRule="auto"/>
              <w:ind w:left="0" w:right="0"/>
              <w:jc w:val="center"/>
              <w:textAlignment w:val="auto"/>
              <w:rPr>
                <w:rFonts w:hint="default" w:ascii="Times New Roman" w:hAnsi="Times New Roman" w:eastAsia="宋体" w:cs="Times New Roman"/>
                <w:b/>
                <w:bCs/>
                <w:color w:val="auto"/>
                <w:kern w:val="0"/>
                <w:sz w:val="24"/>
                <w:szCs w:val="24"/>
                <w:highlight w:val="none"/>
                <w:shd w:val="clear" w:color="auto" w:fill="auto"/>
                <w:lang w:val="en-US" w:eastAsia="zh-CN" w:bidi="ar-SA"/>
              </w:rPr>
            </w:pPr>
          </w:p>
          <w:p w14:paraId="69A35900">
            <w:pPr>
              <w:keepNext w:val="0"/>
              <w:keepLines w:val="0"/>
              <w:pageBreakBefore w:val="0"/>
              <w:widowControl w:val="0"/>
              <w:suppressLineNumbers w:val="0"/>
              <w:kinsoku/>
              <w:wordWrap/>
              <w:overflowPunct/>
              <w:topLinePunct/>
              <w:autoSpaceDE/>
              <w:autoSpaceDN/>
              <w:bidi w:val="0"/>
              <w:adjustRightInd w:val="0"/>
              <w:snapToGrid w:val="0"/>
              <w:spacing w:before="161" w:beforeLines="50" w:beforeAutospacing="0" w:after="0" w:afterAutospacing="0" w:line="240" w:lineRule="auto"/>
              <w:ind w:left="0" w:right="0"/>
              <w:jc w:val="center"/>
              <w:textAlignment w:val="auto"/>
              <w:rPr>
                <w:rFonts w:hint="default" w:ascii="Times New Roman" w:hAnsi="Times New Roman" w:eastAsia="宋体" w:cs="Times New Roman"/>
                <w:b/>
                <w:bCs/>
                <w:color w:val="auto"/>
                <w:kern w:val="0"/>
                <w:sz w:val="24"/>
                <w:szCs w:val="24"/>
                <w:highlight w:val="none"/>
                <w:shd w:val="clear" w:color="auto" w:fill="auto"/>
                <w:lang w:val="en-US" w:eastAsia="zh-CN" w:bidi="ar-SA"/>
              </w:rPr>
            </w:pPr>
          </w:p>
          <w:p w14:paraId="07823D82">
            <w:pPr>
              <w:keepNext w:val="0"/>
              <w:keepLines w:val="0"/>
              <w:pageBreakBefore w:val="0"/>
              <w:widowControl w:val="0"/>
              <w:suppressLineNumbers w:val="0"/>
              <w:kinsoku/>
              <w:wordWrap/>
              <w:overflowPunct/>
              <w:topLinePunct/>
              <w:autoSpaceDE/>
              <w:autoSpaceDN/>
              <w:bidi w:val="0"/>
              <w:adjustRightInd w:val="0"/>
              <w:snapToGrid w:val="0"/>
              <w:spacing w:before="161" w:beforeLines="50" w:beforeAutospacing="0" w:after="0" w:afterAutospacing="0" w:line="240" w:lineRule="auto"/>
              <w:ind w:left="0" w:right="0"/>
              <w:jc w:val="center"/>
              <w:textAlignment w:val="auto"/>
              <w:rPr>
                <w:rFonts w:hint="default" w:ascii="Times New Roman" w:hAnsi="Times New Roman" w:eastAsia="宋体" w:cs="Times New Roman"/>
                <w:b/>
                <w:bCs/>
                <w:color w:val="auto"/>
                <w:kern w:val="0"/>
                <w:sz w:val="24"/>
                <w:szCs w:val="24"/>
                <w:highlight w:val="none"/>
                <w:shd w:val="clear" w:color="auto" w:fill="auto"/>
                <w:lang w:val="en-US" w:eastAsia="zh-CN" w:bidi="ar-SA"/>
              </w:rPr>
            </w:pPr>
          </w:p>
          <w:p w14:paraId="48DFBD1C">
            <w:pPr>
              <w:keepNext w:val="0"/>
              <w:keepLines w:val="0"/>
              <w:pageBreakBefore w:val="0"/>
              <w:widowControl w:val="0"/>
              <w:suppressLineNumbers w:val="0"/>
              <w:kinsoku/>
              <w:wordWrap/>
              <w:overflowPunct/>
              <w:topLinePunct/>
              <w:autoSpaceDE/>
              <w:autoSpaceDN/>
              <w:bidi w:val="0"/>
              <w:adjustRightInd w:val="0"/>
              <w:snapToGrid w:val="0"/>
              <w:spacing w:before="161" w:beforeLines="50" w:beforeAutospacing="0" w:after="0" w:afterAutospacing="0" w:line="240" w:lineRule="auto"/>
              <w:ind w:left="0" w:right="0"/>
              <w:jc w:val="center"/>
              <w:textAlignment w:val="auto"/>
              <w:rPr>
                <w:rFonts w:hint="default" w:ascii="Times New Roman" w:hAnsi="Times New Roman" w:eastAsia="宋体" w:cs="Times New Roman"/>
                <w:b/>
                <w:bCs/>
                <w:color w:val="auto"/>
                <w:kern w:val="0"/>
                <w:sz w:val="24"/>
                <w:szCs w:val="24"/>
                <w:highlight w:val="none"/>
                <w:shd w:val="clear" w:color="auto" w:fill="auto"/>
                <w:lang w:val="en-US" w:eastAsia="zh-CN" w:bidi="ar-SA"/>
              </w:rPr>
            </w:pPr>
          </w:p>
          <w:p w14:paraId="144F5BA8">
            <w:pPr>
              <w:keepNext w:val="0"/>
              <w:keepLines w:val="0"/>
              <w:pageBreakBefore w:val="0"/>
              <w:widowControl w:val="0"/>
              <w:suppressLineNumbers w:val="0"/>
              <w:kinsoku/>
              <w:wordWrap/>
              <w:overflowPunct/>
              <w:topLinePunct/>
              <w:autoSpaceDE/>
              <w:autoSpaceDN/>
              <w:bidi w:val="0"/>
              <w:adjustRightInd w:val="0"/>
              <w:snapToGrid w:val="0"/>
              <w:spacing w:before="161" w:beforeLines="5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kern w:val="0"/>
                <w:sz w:val="24"/>
                <w:szCs w:val="24"/>
                <w:highlight w:val="none"/>
                <w:shd w:val="clear" w:color="auto" w:fill="auto"/>
                <w:lang w:val="en-US" w:eastAsia="zh-CN" w:bidi="ar-SA"/>
              </w:rPr>
              <w:t>表4-</w:t>
            </w:r>
            <w:r>
              <w:rPr>
                <w:rFonts w:hint="eastAsia" w:ascii="Times New Roman" w:hAnsi="Times New Roman" w:eastAsia="宋体" w:cs="Times New Roman"/>
                <w:b/>
                <w:bCs/>
                <w:color w:val="auto"/>
                <w:kern w:val="0"/>
                <w:sz w:val="24"/>
                <w:szCs w:val="24"/>
                <w:highlight w:val="none"/>
                <w:shd w:val="clear" w:color="auto" w:fill="auto"/>
                <w:lang w:val="en-US" w:eastAsia="zh-CN" w:bidi="ar-SA"/>
              </w:rPr>
              <w:t>28</w:t>
            </w:r>
            <w:r>
              <w:rPr>
                <w:rFonts w:hint="default" w:ascii="Times New Roman" w:hAnsi="Times New Roman" w:eastAsia="宋体" w:cs="Times New Roman"/>
                <w:b/>
                <w:bCs/>
                <w:color w:val="auto"/>
                <w:kern w:val="0"/>
                <w:sz w:val="24"/>
                <w:szCs w:val="24"/>
                <w:highlight w:val="none"/>
                <w:shd w:val="clear" w:color="auto" w:fill="auto"/>
                <w:lang w:val="en-US" w:eastAsia="zh-CN" w:bidi="ar-SA"/>
              </w:rPr>
              <w:t xml:space="preserve">  </w:t>
            </w:r>
            <w:r>
              <w:rPr>
                <w:rFonts w:hint="default" w:ascii="Times New Roman" w:hAnsi="Times New Roman" w:eastAsia="宋体" w:cs="Times New Roman"/>
                <w:b/>
                <w:bCs/>
                <w:color w:val="auto"/>
                <w:sz w:val="24"/>
                <w:szCs w:val="24"/>
                <w:highlight w:val="none"/>
              </w:rPr>
              <w:t>危险固废暂存间的环境保护图形标志</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61"/>
              <w:gridCol w:w="2839"/>
              <w:gridCol w:w="4337"/>
            </w:tblGrid>
            <w:tr w14:paraId="4FC5A5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47" w:type="pct"/>
                  <w:noWrap w:val="0"/>
                  <w:vAlign w:val="center"/>
                </w:tcPr>
                <w:p w14:paraId="258845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危险废物标识</w:t>
                  </w:r>
                </w:p>
              </w:tc>
              <w:tc>
                <w:tcPr>
                  <w:tcW w:w="1682" w:type="pct"/>
                  <w:noWrap w:val="0"/>
                  <w:vAlign w:val="center"/>
                </w:tcPr>
                <w:p w14:paraId="3F17BC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图案样式</w:t>
                  </w:r>
                </w:p>
              </w:tc>
              <w:tc>
                <w:tcPr>
                  <w:tcW w:w="2569" w:type="pct"/>
                  <w:noWrap w:val="0"/>
                  <w:vAlign w:val="center"/>
                </w:tcPr>
                <w:p w14:paraId="21AA5A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设置规范</w:t>
                  </w:r>
                </w:p>
              </w:tc>
            </w:tr>
            <w:tr w14:paraId="6CF45E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47" w:type="pct"/>
                  <w:noWrap w:val="0"/>
                  <w:vAlign w:val="center"/>
                </w:tcPr>
                <w:p w14:paraId="69905D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贮存</w:t>
                  </w:r>
                </w:p>
                <w:p w14:paraId="35244D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设施</w:t>
                  </w:r>
                </w:p>
                <w:p w14:paraId="52B0F0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警示</w:t>
                  </w:r>
                </w:p>
                <w:p w14:paraId="4B6A18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标志</w:t>
                  </w:r>
                </w:p>
                <w:p w14:paraId="3B99C2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牌</w:t>
                  </w:r>
                </w:p>
              </w:tc>
              <w:tc>
                <w:tcPr>
                  <w:tcW w:w="1682" w:type="pct"/>
                  <w:noWrap w:val="0"/>
                  <w:vAlign w:val="center"/>
                </w:tcPr>
                <w:p w14:paraId="4C1768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1625600" cy="1021715"/>
                        <wp:effectExtent l="0" t="0" r="12700" b="6985"/>
                        <wp:docPr id="1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pic:cNvPicPr>
                                  <a:picLocks noChangeAspect="1"/>
                                </pic:cNvPicPr>
                              </pic:nvPicPr>
                              <pic:blipFill>
                                <a:blip r:embed="rId34"/>
                                <a:stretch>
                                  <a:fillRect/>
                                </a:stretch>
                              </pic:blipFill>
                              <pic:spPr>
                                <a:xfrm>
                                  <a:off x="0" y="0"/>
                                  <a:ext cx="1625600" cy="1021715"/>
                                </a:xfrm>
                                <a:prstGeom prst="rect">
                                  <a:avLst/>
                                </a:prstGeom>
                                <a:noFill/>
                                <a:ln>
                                  <a:noFill/>
                                </a:ln>
                              </pic:spPr>
                            </pic:pic>
                          </a:graphicData>
                        </a:graphic>
                      </wp:inline>
                    </w:drawing>
                  </w:r>
                  <w:r>
                    <w:rPr>
                      <w:rFonts w:hint="default" w:ascii="Times New Roman" w:hAnsi="Times New Roman" w:eastAsia="宋体" w:cs="Times New Roman"/>
                      <w:color w:val="auto"/>
                      <w:sz w:val="21"/>
                      <w:szCs w:val="21"/>
                      <w:highlight w:val="none"/>
                    </w:rPr>
                    <w:drawing>
                      <wp:inline distT="0" distB="0" distL="114300" distR="114300">
                        <wp:extent cx="1443355" cy="2282825"/>
                        <wp:effectExtent l="0" t="0" r="4445" b="3175"/>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pic:cNvPicPr>
                                  <a:picLocks noChangeAspect="1"/>
                                </pic:cNvPicPr>
                              </pic:nvPicPr>
                              <pic:blipFill>
                                <a:blip r:embed="rId35"/>
                                <a:stretch>
                                  <a:fillRect/>
                                </a:stretch>
                              </pic:blipFill>
                              <pic:spPr>
                                <a:xfrm>
                                  <a:off x="0" y="0"/>
                                  <a:ext cx="1443355" cy="2282825"/>
                                </a:xfrm>
                                <a:prstGeom prst="rect">
                                  <a:avLst/>
                                </a:prstGeom>
                                <a:noFill/>
                                <a:ln>
                                  <a:noFill/>
                                </a:ln>
                              </pic:spPr>
                            </pic:pic>
                          </a:graphicData>
                        </a:graphic>
                      </wp:inline>
                    </w:drawing>
                  </w:r>
                </w:p>
              </w:tc>
              <w:tc>
                <w:tcPr>
                  <w:tcW w:w="2569" w:type="pct"/>
                  <w:noWrap w:val="0"/>
                  <w:vAlign w:val="center"/>
                </w:tcPr>
                <w:p w14:paraId="100C8E97">
                  <w:pPr>
                    <w:keepNext w:val="0"/>
                    <w:keepLines w:val="0"/>
                    <w:pageBreakBefore w:val="0"/>
                    <w:widowControl w:val="0"/>
                    <w:numPr>
                      <w:ilvl w:val="0"/>
                      <w:numId w:val="9"/>
                    </w:numPr>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危险废物设施标志可采用附着式和柱式两种固定方式，应优先选择附着式，当无法选择附着式时，可选择柱式</w:t>
                  </w:r>
                  <w:r>
                    <w:rPr>
                      <w:rFonts w:hint="default" w:ascii="Times New Roman" w:hAnsi="Times New Roman" w:eastAsia="宋体" w:cs="Times New Roman"/>
                      <w:b w:val="0"/>
                      <w:bCs w:val="0"/>
                      <w:color w:val="auto"/>
                      <w:sz w:val="21"/>
                      <w:szCs w:val="21"/>
                      <w:highlight w:val="none"/>
                      <w:lang w:eastAsia="zh-CN"/>
                    </w:rPr>
                    <w:t>；</w:t>
                  </w:r>
                </w:p>
                <w:p w14:paraId="66F1E82F">
                  <w:pPr>
                    <w:keepNext w:val="0"/>
                    <w:keepLines w:val="0"/>
                    <w:pageBreakBefore w:val="0"/>
                    <w:widowControl w:val="0"/>
                    <w:numPr>
                      <w:ilvl w:val="0"/>
                      <w:numId w:val="9"/>
                    </w:numPr>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附着式标志的设置高度，应尽量与视线高度一致；柱式的标志和支架应牢固地</w:t>
                  </w:r>
                  <w:r>
                    <w:rPr>
                      <w:rFonts w:hint="eastAsia" w:ascii="Times New Roman" w:hAnsi="Times New Roman" w:eastAsia="宋体" w:cs="Times New Roman"/>
                      <w:b w:val="0"/>
                      <w:bCs w:val="0"/>
                      <w:color w:val="auto"/>
                      <w:sz w:val="21"/>
                      <w:szCs w:val="21"/>
                      <w:highlight w:val="none"/>
                      <w:lang w:eastAsia="zh-CN"/>
                    </w:rPr>
                    <w:t>连接</w:t>
                  </w:r>
                  <w:r>
                    <w:rPr>
                      <w:rFonts w:hint="default" w:ascii="Times New Roman" w:hAnsi="Times New Roman" w:eastAsia="宋体" w:cs="Times New Roman"/>
                      <w:b w:val="0"/>
                      <w:bCs w:val="0"/>
                      <w:color w:val="auto"/>
                      <w:sz w:val="21"/>
                      <w:szCs w:val="21"/>
                      <w:highlight w:val="none"/>
                    </w:rPr>
                    <w:t>在一起，标志牌最上端距地面约2 m；位于室外的标志牌中，支架固定在地下的，其支架埋深约0.3m</w:t>
                  </w:r>
                  <w:r>
                    <w:rPr>
                      <w:rFonts w:hint="default" w:ascii="Times New Roman" w:hAnsi="Times New Roman" w:eastAsia="宋体" w:cs="Times New Roman"/>
                      <w:b w:val="0"/>
                      <w:bCs w:val="0"/>
                      <w:color w:val="auto"/>
                      <w:sz w:val="21"/>
                      <w:szCs w:val="21"/>
                      <w:highlight w:val="none"/>
                      <w:lang w:eastAsia="zh-CN"/>
                    </w:rPr>
                    <w:t>；</w:t>
                  </w:r>
                </w:p>
                <w:p w14:paraId="0C659A34">
                  <w:pPr>
                    <w:keepNext w:val="0"/>
                    <w:keepLines w:val="0"/>
                    <w:pageBreakBefore w:val="0"/>
                    <w:widowControl w:val="0"/>
                    <w:numPr>
                      <w:ilvl w:val="0"/>
                      <w:numId w:val="9"/>
                    </w:numPr>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val="0"/>
                      <w:bCs w:val="0"/>
                      <w:color w:val="auto"/>
                      <w:sz w:val="21"/>
                      <w:szCs w:val="21"/>
                      <w:highlight w:val="none"/>
                    </w:rPr>
                    <w:t>危险废物设施标志应稳固固定，不能产生倾斜、卷翘、摆动等现象。在室外露天设置时，应充分考虑风力的影响。</w:t>
                  </w:r>
                </w:p>
              </w:tc>
            </w:tr>
            <w:tr w14:paraId="4E3349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47" w:type="pct"/>
                  <w:noWrap w:val="0"/>
                  <w:vAlign w:val="center"/>
                </w:tcPr>
                <w:p w14:paraId="3704E8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包装</w:t>
                  </w:r>
                </w:p>
                <w:p w14:paraId="390020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识别</w:t>
                  </w:r>
                </w:p>
                <w:p w14:paraId="6DE25F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标签</w:t>
                  </w:r>
                </w:p>
              </w:tc>
              <w:tc>
                <w:tcPr>
                  <w:tcW w:w="1682" w:type="pct"/>
                  <w:noWrap w:val="0"/>
                  <w:vAlign w:val="center"/>
                </w:tcPr>
                <w:p w14:paraId="0EA5C8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1630680" cy="1632585"/>
                        <wp:effectExtent l="0" t="0" r="7620" b="5715"/>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pic:cNvPicPr>
                              </pic:nvPicPr>
                              <pic:blipFill>
                                <a:blip r:embed="rId36"/>
                                <a:stretch>
                                  <a:fillRect/>
                                </a:stretch>
                              </pic:blipFill>
                              <pic:spPr>
                                <a:xfrm>
                                  <a:off x="0" y="0"/>
                                  <a:ext cx="1630680" cy="1632585"/>
                                </a:xfrm>
                                <a:prstGeom prst="rect">
                                  <a:avLst/>
                                </a:prstGeom>
                                <a:noFill/>
                                <a:ln>
                                  <a:noFill/>
                                </a:ln>
                              </pic:spPr>
                            </pic:pic>
                          </a:graphicData>
                        </a:graphic>
                      </wp:inline>
                    </w:drawing>
                  </w:r>
                </w:p>
              </w:tc>
              <w:tc>
                <w:tcPr>
                  <w:tcW w:w="2569" w:type="pct"/>
                  <w:noWrap w:val="0"/>
                  <w:vAlign w:val="center"/>
                </w:tcPr>
                <w:p w14:paraId="5A8E9E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1.危险废物标签背景色应采用醒目的橘黄色，RGB 颜色值为（255, 150, 0）。标签边框和字体颜色为黑色，RGB 颜色值为（0, 0, 0）。</w:t>
                  </w:r>
                </w:p>
                <w:p w14:paraId="13F844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 危险废物标签字体宜采用黑体字，其中“危险废物”字样应加粗放大。</w:t>
                  </w:r>
                </w:p>
                <w:p w14:paraId="4D7E6B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 危险废物标签的尺寸宜根据容器或包装物要求设置，容器或包装容积≤50L，标签最小尺寸100×100mm，最低文字高度3mm；容器或包装容积50</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450L，标签最小尺寸150×150mm，最低文字高度5mm；容器或包装容积＞450L，标签最小尺寸200×200mm，最低文字高度6mm。</w:t>
                  </w:r>
                </w:p>
                <w:p w14:paraId="012899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 危险废物标签所选用的材质宜具有一定的耐用性和防水性。标签可采用不干胶印刷品，或印刷品外加防水塑料袋或塑封等。</w:t>
                  </w:r>
                </w:p>
                <w:p w14:paraId="014583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5. 危险废物标签印刷的油墨应均匀，图案和文字应清晰、完整。危险废物标签的文字边缘宜加黑色边框，边框宽度不小于1 mm，</w:t>
                  </w:r>
                </w:p>
              </w:tc>
            </w:tr>
            <w:tr w14:paraId="00E251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47" w:type="pct"/>
                  <w:noWrap w:val="0"/>
                  <w:vAlign w:val="center"/>
                </w:tcPr>
                <w:p w14:paraId="61C74E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w:t>
                  </w:r>
                </w:p>
                <w:p w14:paraId="49EFAD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废物</w:t>
                  </w:r>
                </w:p>
                <w:p w14:paraId="4CB4D5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贮存</w:t>
                  </w:r>
                </w:p>
                <w:p w14:paraId="5383EB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分区</w:t>
                  </w:r>
                </w:p>
                <w:p w14:paraId="1625B9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标志</w:t>
                  </w:r>
                </w:p>
              </w:tc>
              <w:tc>
                <w:tcPr>
                  <w:tcW w:w="1682" w:type="pct"/>
                  <w:noWrap w:val="0"/>
                  <w:vAlign w:val="center"/>
                </w:tcPr>
                <w:p w14:paraId="21D7F9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1630680" cy="1636395"/>
                        <wp:effectExtent l="0" t="0" r="7620" b="1905"/>
                        <wp:docPr id="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pic:cNvPicPr>
                                  <a:picLocks noChangeAspect="1"/>
                                </pic:cNvPicPr>
                              </pic:nvPicPr>
                              <pic:blipFill>
                                <a:blip r:embed="rId37"/>
                                <a:stretch>
                                  <a:fillRect/>
                                </a:stretch>
                              </pic:blipFill>
                              <pic:spPr>
                                <a:xfrm>
                                  <a:off x="0" y="0"/>
                                  <a:ext cx="1630680" cy="1636395"/>
                                </a:xfrm>
                                <a:prstGeom prst="rect">
                                  <a:avLst/>
                                </a:prstGeom>
                                <a:noFill/>
                                <a:ln>
                                  <a:noFill/>
                                </a:ln>
                              </pic:spPr>
                            </pic:pic>
                          </a:graphicData>
                        </a:graphic>
                      </wp:inline>
                    </w:drawing>
                  </w:r>
                </w:p>
              </w:tc>
              <w:tc>
                <w:tcPr>
                  <w:tcW w:w="2569" w:type="pct"/>
                  <w:noWrap w:val="0"/>
                  <w:vAlign w:val="center"/>
                </w:tcPr>
                <w:p w14:paraId="544453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1.颜色：危险废物分区标志背景色应采用黄色，RGB 颜色值为（255, 255, 0）。废物种类信息应采用醒目的橘黄色，RGB 颜色值为（255, 150, 0）。字体颜色为黑色，RGB 颜色值为（0, 0, 0）。</w:t>
                  </w:r>
                </w:p>
                <w:p w14:paraId="2A85BA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2.字体：危险废物分区标志的字体宜采用黑体字，其中“危险废物贮存分区标志”字样应加粗放大并居中显示。</w:t>
                  </w:r>
                </w:p>
                <w:p w14:paraId="522804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尺寸：观察距离0＜L≤2.5m，标志整体外形尺寸300*300mm，贮存分区标志最低文字高度20mm；观察距离2.5＜L≤4m，标志整体外形尺寸450*450mm，贮存分区标志最低文字高度30mm；观察距离L＞4m，标志整体外形尺寸600*600mm，贮存分区标志最低文字高度40mm；</w:t>
                  </w:r>
                </w:p>
                <w:p w14:paraId="649E32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4.材质：危险废物贮存分区标志的衬底宜采用坚固耐用的材料，并具有耐用性和防水性。废物贮存种类信息等可采用印刷纸张、不粘胶材质或塑料卡片等，以便固定在衬底上。</w:t>
                  </w:r>
                </w:p>
                <w:p w14:paraId="68AB62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5.印刷：危险废物贮存分区标志的图形和文字应清晰、完整，保证在足够的观察距离条件下不影响阅读。“危险废物贮存分区标志”字样与其他信息宜加黑色分界线区分，分界线的宽度不小于2mm。</w:t>
                  </w:r>
                </w:p>
              </w:tc>
            </w:tr>
          </w:tbl>
          <w:p w14:paraId="2B8BD067">
            <w:pPr>
              <w:keepNext w:val="0"/>
              <w:keepLines w:val="0"/>
              <w:widowControl/>
              <w:suppressLineNumbers w:val="0"/>
              <w:spacing w:before="0" w:beforeAutospacing="0" w:after="0" w:afterAutospacing="0" w:line="360" w:lineRule="auto"/>
              <w:ind w:left="0" w:right="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kern w:val="2"/>
                <w:sz w:val="24"/>
                <w:szCs w:val="24"/>
                <w:highlight w:val="none"/>
                <w:lang w:val="en-US" w:eastAsia="zh-CN" w:bidi="ar-SA"/>
              </w:rPr>
              <w:t>综上所述，本项目固废采取上述治理措施后，各类固废均能得到合理处置，不产生二次污染，不会对周围环境产生影响。</w:t>
            </w:r>
          </w:p>
          <w:p w14:paraId="07783D36">
            <w:pPr>
              <w:keepNext w:val="0"/>
              <w:keepLines w:val="0"/>
              <w:numPr>
                <w:ilvl w:val="0"/>
                <w:numId w:val="0"/>
              </w:numPr>
              <w:suppressLineNumbers w:val="0"/>
              <w:autoSpaceDE w:val="0"/>
              <w:spacing w:before="0" w:beforeAutospacing="0" w:after="0" w:afterAutospacing="0" w:line="360" w:lineRule="auto"/>
              <w:ind w:left="0" w:right="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kern w:val="2"/>
                <w:sz w:val="24"/>
                <w:szCs w:val="24"/>
                <w:lang w:val="en-US" w:eastAsia="zh-CN" w:bidi="ar-SA"/>
              </w:rPr>
              <w:t>5、</w:t>
            </w:r>
            <w:r>
              <w:rPr>
                <w:rFonts w:hint="default" w:ascii="Times New Roman" w:hAnsi="Times New Roman" w:eastAsia="宋体" w:cs="Times New Roman"/>
                <w:b/>
                <w:bCs/>
                <w:color w:val="auto"/>
                <w:sz w:val="24"/>
                <w:highlight w:val="none"/>
              </w:rPr>
              <w:t>地下水、土壤</w:t>
            </w:r>
          </w:p>
          <w:p w14:paraId="76FACF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rPr>
                <w:rFonts w:hint="default"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b/>
                <w:bCs/>
                <w:color w:val="auto"/>
                <w:kern w:val="0"/>
                <w:sz w:val="24"/>
                <w:szCs w:val="24"/>
                <w:highlight w:val="none"/>
                <w:lang w:val="en-US" w:eastAsia="zh-CN" w:bidi="ar-SA"/>
              </w:rPr>
              <w:t>（1）污染源分析</w:t>
            </w:r>
          </w:p>
          <w:p w14:paraId="318CF5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土壤是复杂的三相共存体系，其污染物质主要通过被污染大气的沉降、工业废水的漫流和入渗、以及固体废物通过大气迁移、扩散、沉降或降水淋溶、地表径流等而进入土壤环境。本项目运营期主要污染物来源于废气和固体废物等污染物，可能会对土壤环境产生影响。</w:t>
            </w:r>
          </w:p>
          <w:p w14:paraId="0662FE2A">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本项目产生的废气均可能通过大气沉降的方式污染土壤</w:t>
            </w:r>
            <w:r>
              <w:rPr>
                <w:rFonts w:hint="eastAsia" w:ascii="Times New Roman" w:hAnsi="Times New Roman" w:eastAsia="宋体"/>
                <w:color w:val="auto"/>
                <w:sz w:val="24"/>
                <w:highlight w:val="none"/>
              </w:rPr>
              <w:t>和地下水</w:t>
            </w:r>
            <w:r>
              <w:rPr>
                <w:rFonts w:hint="default" w:ascii="Times New Roman" w:hAnsi="Times New Roman" w:eastAsia="宋体"/>
                <w:color w:val="auto"/>
                <w:sz w:val="24"/>
                <w:highlight w:val="none"/>
              </w:rPr>
              <w:t>环境；同时，本项目产生的</w:t>
            </w:r>
            <w:r>
              <w:rPr>
                <w:rFonts w:hint="eastAsia"/>
                <w:color w:val="auto"/>
                <w:sz w:val="24"/>
                <w:highlight w:val="none"/>
                <w:lang w:val="en-US" w:eastAsia="zh-CN"/>
              </w:rPr>
              <w:t>实验废液、废活性炭</w:t>
            </w:r>
            <w:r>
              <w:rPr>
                <w:rFonts w:hint="default" w:ascii="Times New Roman" w:hAnsi="Times New Roman" w:eastAsia="宋体"/>
                <w:color w:val="auto"/>
                <w:sz w:val="24"/>
                <w:highlight w:val="none"/>
              </w:rPr>
              <w:t>等固废若未合理分类贮存会通过挥发进入大气环境后扩散沉降、泄露入渗等方式污染</w:t>
            </w:r>
            <w:r>
              <w:rPr>
                <w:rFonts w:hint="eastAsia" w:ascii="Times New Roman" w:hAnsi="Times New Roman" w:eastAsia="宋体"/>
                <w:color w:val="auto"/>
                <w:sz w:val="24"/>
                <w:highlight w:val="none"/>
              </w:rPr>
              <w:t>土壤和地下水</w:t>
            </w:r>
            <w:r>
              <w:rPr>
                <w:rFonts w:hint="default" w:ascii="Times New Roman" w:hAnsi="Times New Roman" w:eastAsia="宋体"/>
                <w:color w:val="auto"/>
                <w:sz w:val="24"/>
                <w:highlight w:val="none"/>
              </w:rPr>
              <w:t>环境；此外，</w:t>
            </w:r>
            <w:r>
              <w:rPr>
                <w:rFonts w:hint="eastAsia"/>
                <w:color w:val="auto"/>
                <w:sz w:val="24"/>
                <w:highlight w:val="none"/>
                <w:lang w:val="en-US" w:eastAsia="zh-CN"/>
              </w:rPr>
              <w:t>实验废液、废化学品包装袋</w:t>
            </w:r>
            <w:r>
              <w:rPr>
                <w:rFonts w:hint="default" w:ascii="Times New Roman" w:hAnsi="Times New Roman" w:eastAsia="宋体"/>
                <w:color w:val="auto"/>
                <w:sz w:val="24"/>
                <w:highlight w:val="none"/>
              </w:rPr>
              <w:t>发生泄露事故同时地面防渗措施失效的情况下可能会对土壤和地下水造成影响。</w:t>
            </w:r>
          </w:p>
          <w:p w14:paraId="06CECFCE">
            <w:pPr>
              <w:keepNext w:val="0"/>
              <w:keepLines w:val="0"/>
              <w:suppressLineNumbers w:val="0"/>
              <w:snapToGrid w:val="0"/>
              <w:spacing w:before="0" w:beforeAutospacing="0" w:after="0" w:afterAutospacing="0"/>
              <w:ind w:left="0" w:right="0" w:firstLine="482" w:firstLineChars="200"/>
              <w:jc w:val="center"/>
              <w:rPr>
                <w:rFonts w:hint="default" w:ascii="Times New Roman" w:hAnsi="Times New Roman" w:eastAsia="宋体"/>
                <w:b/>
                <w:bCs/>
                <w:color w:val="auto"/>
                <w:sz w:val="24"/>
                <w:highlight w:val="none"/>
              </w:rPr>
            </w:pPr>
            <w:r>
              <w:rPr>
                <w:rFonts w:hint="default" w:ascii="Times New Roman" w:hAnsi="Times New Roman" w:eastAsia="宋体"/>
                <w:b/>
                <w:bCs/>
                <w:color w:val="auto"/>
                <w:sz w:val="24"/>
                <w:highlight w:val="none"/>
              </w:rPr>
              <w:t>表</w:t>
            </w:r>
            <w:r>
              <w:rPr>
                <w:rFonts w:hint="eastAsia" w:ascii="Times New Roman" w:hAnsi="Times New Roman" w:eastAsia="宋体"/>
                <w:b/>
                <w:bCs/>
                <w:color w:val="auto"/>
                <w:sz w:val="24"/>
                <w:highlight w:val="none"/>
              </w:rPr>
              <w:t>4</w:t>
            </w:r>
            <w:r>
              <w:rPr>
                <w:rFonts w:hint="default" w:ascii="Times New Roman" w:hAnsi="Times New Roman" w:eastAsia="宋体"/>
                <w:b/>
                <w:bCs/>
                <w:color w:val="auto"/>
                <w:sz w:val="24"/>
                <w:highlight w:val="none"/>
              </w:rPr>
              <w:t>-</w:t>
            </w:r>
            <w:r>
              <w:rPr>
                <w:rFonts w:hint="eastAsia" w:ascii="Times New Roman" w:hAnsi="Times New Roman" w:eastAsia="宋体"/>
                <w:b/>
                <w:bCs/>
                <w:color w:val="auto"/>
                <w:sz w:val="24"/>
                <w:highlight w:val="none"/>
                <w:lang w:val="en-US" w:eastAsia="zh-CN"/>
              </w:rPr>
              <w:t>29</w:t>
            </w:r>
            <w:r>
              <w:rPr>
                <w:rFonts w:hint="default" w:ascii="Times New Roman" w:hAnsi="Times New Roman" w:eastAsia="宋体"/>
                <w:b/>
                <w:bCs/>
                <w:color w:val="auto"/>
                <w:sz w:val="24"/>
                <w:highlight w:val="none"/>
              </w:rPr>
              <w:t xml:space="preserve"> 本项目土壤和地下水环境影响类型与影响途径表</w:t>
            </w:r>
          </w:p>
          <w:tbl>
            <w:tblPr>
              <w:tblStyle w:val="25"/>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1"/>
              <w:gridCol w:w="1745"/>
              <w:gridCol w:w="1198"/>
              <w:gridCol w:w="1039"/>
              <w:gridCol w:w="1917"/>
              <w:gridCol w:w="1382"/>
            </w:tblGrid>
            <w:tr w14:paraId="2B9CBE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82" w:type="pct"/>
                  <w:noWrap w:val="0"/>
                  <w:vAlign w:val="center"/>
                </w:tcPr>
                <w:p w14:paraId="34158DFA">
                  <w:pPr>
                    <w:keepNext w:val="0"/>
                    <w:keepLines w:val="0"/>
                    <w:suppressLineNumbers w:val="0"/>
                    <w:spacing w:before="0" w:beforeAutospacing="0" w:after="0" w:afterAutospacing="0"/>
                    <w:ind w:left="0" w:right="0"/>
                    <w:jc w:val="center"/>
                    <w:rPr>
                      <w:rFonts w:hint="default" w:ascii="Times New Roman" w:hAnsi="Times New Roman" w:eastAsia="宋体"/>
                      <w:b/>
                      <w:color w:val="auto"/>
                      <w:szCs w:val="21"/>
                      <w:highlight w:val="none"/>
                    </w:rPr>
                  </w:pPr>
                  <w:r>
                    <w:rPr>
                      <w:rFonts w:hint="default" w:ascii="Times New Roman" w:hAnsi="Times New Roman" w:eastAsia="宋体"/>
                      <w:b/>
                      <w:color w:val="auto"/>
                      <w:szCs w:val="21"/>
                      <w:highlight w:val="none"/>
                    </w:rPr>
                    <w:t>污染源</w:t>
                  </w:r>
                </w:p>
              </w:tc>
              <w:tc>
                <w:tcPr>
                  <w:tcW w:w="1034" w:type="pct"/>
                  <w:noWrap w:val="0"/>
                  <w:vAlign w:val="center"/>
                </w:tcPr>
                <w:p w14:paraId="4CE32EB4">
                  <w:pPr>
                    <w:keepNext w:val="0"/>
                    <w:keepLines w:val="0"/>
                    <w:suppressLineNumbers w:val="0"/>
                    <w:spacing w:before="0" w:beforeAutospacing="0" w:after="0" w:afterAutospacing="0"/>
                    <w:ind w:left="0" w:right="0"/>
                    <w:jc w:val="center"/>
                    <w:rPr>
                      <w:rFonts w:hint="default" w:ascii="Times New Roman" w:hAnsi="Times New Roman" w:eastAsia="宋体"/>
                      <w:b/>
                      <w:color w:val="auto"/>
                      <w:szCs w:val="21"/>
                      <w:highlight w:val="none"/>
                    </w:rPr>
                  </w:pPr>
                  <w:r>
                    <w:rPr>
                      <w:rFonts w:hint="default" w:ascii="Times New Roman" w:hAnsi="Times New Roman" w:eastAsia="宋体"/>
                      <w:b/>
                      <w:color w:val="auto"/>
                      <w:szCs w:val="21"/>
                      <w:highlight w:val="none"/>
                    </w:rPr>
                    <w:t>工艺流程/节点</w:t>
                  </w:r>
                </w:p>
              </w:tc>
              <w:tc>
                <w:tcPr>
                  <w:tcW w:w="710" w:type="pct"/>
                  <w:noWrap w:val="0"/>
                  <w:vAlign w:val="center"/>
                </w:tcPr>
                <w:p w14:paraId="11D42A73">
                  <w:pPr>
                    <w:keepNext w:val="0"/>
                    <w:keepLines w:val="0"/>
                    <w:suppressLineNumbers w:val="0"/>
                    <w:spacing w:before="0" w:beforeAutospacing="0" w:after="0" w:afterAutospacing="0"/>
                    <w:ind w:left="0" w:right="0"/>
                    <w:jc w:val="center"/>
                    <w:rPr>
                      <w:rFonts w:hint="eastAsia" w:ascii="Times New Roman" w:hAnsi="Times New Roman" w:eastAsia="宋体"/>
                      <w:b/>
                      <w:color w:val="auto"/>
                      <w:szCs w:val="21"/>
                      <w:highlight w:val="none"/>
                    </w:rPr>
                  </w:pPr>
                  <w:r>
                    <w:rPr>
                      <w:rFonts w:hint="eastAsia" w:ascii="Times New Roman" w:hAnsi="Times New Roman" w:eastAsia="宋体"/>
                      <w:b/>
                      <w:color w:val="auto"/>
                      <w:szCs w:val="21"/>
                      <w:highlight w:val="none"/>
                    </w:rPr>
                    <w:t>污染源特征</w:t>
                  </w:r>
                </w:p>
              </w:tc>
              <w:tc>
                <w:tcPr>
                  <w:tcW w:w="616" w:type="pct"/>
                  <w:noWrap w:val="0"/>
                  <w:vAlign w:val="center"/>
                </w:tcPr>
                <w:p w14:paraId="7956801D">
                  <w:pPr>
                    <w:keepNext w:val="0"/>
                    <w:keepLines w:val="0"/>
                    <w:suppressLineNumbers w:val="0"/>
                    <w:spacing w:before="0" w:beforeAutospacing="0" w:after="0" w:afterAutospacing="0"/>
                    <w:ind w:left="0" w:right="0"/>
                    <w:jc w:val="center"/>
                    <w:rPr>
                      <w:rFonts w:hint="eastAsia" w:ascii="Times New Roman" w:hAnsi="Times New Roman" w:eastAsia="宋体"/>
                      <w:b/>
                      <w:color w:val="auto"/>
                      <w:szCs w:val="21"/>
                      <w:highlight w:val="none"/>
                    </w:rPr>
                  </w:pPr>
                  <w:r>
                    <w:rPr>
                      <w:rFonts w:hint="eastAsia" w:ascii="Times New Roman" w:hAnsi="Times New Roman" w:eastAsia="宋体"/>
                      <w:b/>
                      <w:color w:val="auto"/>
                      <w:szCs w:val="21"/>
                      <w:highlight w:val="none"/>
                    </w:rPr>
                    <w:t>污染物类型</w:t>
                  </w:r>
                </w:p>
              </w:tc>
              <w:tc>
                <w:tcPr>
                  <w:tcW w:w="1136" w:type="pct"/>
                  <w:noWrap w:val="0"/>
                  <w:vAlign w:val="center"/>
                </w:tcPr>
                <w:p w14:paraId="527CADD4">
                  <w:pPr>
                    <w:keepNext w:val="0"/>
                    <w:keepLines w:val="0"/>
                    <w:suppressLineNumbers w:val="0"/>
                    <w:spacing w:before="0" w:beforeAutospacing="0" w:after="0" w:afterAutospacing="0"/>
                    <w:ind w:left="0" w:right="0"/>
                    <w:jc w:val="center"/>
                    <w:rPr>
                      <w:rFonts w:hint="eastAsia" w:ascii="Times New Roman" w:hAnsi="Times New Roman" w:eastAsia="宋体"/>
                      <w:b/>
                      <w:color w:val="auto"/>
                      <w:szCs w:val="21"/>
                      <w:highlight w:val="none"/>
                    </w:rPr>
                  </w:pPr>
                  <w:r>
                    <w:rPr>
                      <w:rFonts w:hint="eastAsia" w:ascii="Times New Roman" w:hAnsi="Times New Roman" w:eastAsia="宋体"/>
                      <w:b/>
                      <w:color w:val="auto"/>
                      <w:szCs w:val="21"/>
                      <w:highlight w:val="none"/>
                    </w:rPr>
                    <w:t>污染因子</w:t>
                  </w:r>
                </w:p>
              </w:tc>
              <w:tc>
                <w:tcPr>
                  <w:tcW w:w="819" w:type="pct"/>
                  <w:noWrap w:val="0"/>
                  <w:vAlign w:val="center"/>
                </w:tcPr>
                <w:p w14:paraId="1F6655A1">
                  <w:pPr>
                    <w:keepNext w:val="0"/>
                    <w:keepLines w:val="0"/>
                    <w:suppressLineNumbers w:val="0"/>
                    <w:spacing w:before="0" w:beforeAutospacing="0" w:after="0" w:afterAutospacing="0"/>
                    <w:ind w:left="0" w:right="0"/>
                    <w:jc w:val="center"/>
                    <w:rPr>
                      <w:rFonts w:hint="default" w:ascii="Times New Roman" w:hAnsi="Times New Roman" w:eastAsia="宋体"/>
                      <w:b/>
                      <w:color w:val="auto"/>
                      <w:szCs w:val="21"/>
                      <w:highlight w:val="none"/>
                    </w:rPr>
                  </w:pPr>
                  <w:r>
                    <w:rPr>
                      <w:rFonts w:hint="default" w:ascii="Times New Roman" w:hAnsi="Times New Roman" w:eastAsia="宋体"/>
                      <w:b/>
                      <w:color w:val="auto"/>
                      <w:szCs w:val="21"/>
                      <w:highlight w:val="none"/>
                    </w:rPr>
                    <w:t>污染途径</w:t>
                  </w:r>
                </w:p>
              </w:tc>
            </w:tr>
            <w:tr w14:paraId="3C0484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82" w:type="pct"/>
                  <w:noWrap w:val="0"/>
                  <w:vAlign w:val="center"/>
                </w:tcPr>
                <w:p w14:paraId="74F539FE">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lang w:val="en-US" w:eastAsia="zh-CN"/>
                    </w:rPr>
                  </w:pPr>
                  <w:r>
                    <w:rPr>
                      <w:rFonts w:hint="eastAsia"/>
                      <w:color w:val="auto"/>
                      <w:szCs w:val="21"/>
                      <w:highlight w:val="none"/>
                      <w:lang w:val="en-US" w:eastAsia="zh-CN"/>
                    </w:rPr>
                    <w:t>实验区</w:t>
                  </w:r>
                </w:p>
              </w:tc>
              <w:tc>
                <w:tcPr>
                  <w:tcW w:w="1034" w:type="pct"/>
                  <w:noWrap w:val="0"/>
                  <w:vAlign w:val="center"/>
                </w:tcPr>
                <w:p w14:paraId="4C9C7AA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olor w:val="auto"/>
                      <w:szCs w:val="21"/>
                      <w:highlight w:val="none"/>
                      <w:lang w:val="en-US" w:eastAsia="zh-CN" w:bidi="ar"/>
                    </w:rPr>
                  </w:pPr>
                  <w:r>
                    <w:rPr>
                      <w:rFonts w:hint="eastAsia"/>
                      <w:color w:val="auto"/>
                      <w:szCs w:val="21"/>
                      <w:highlight w:val="none"/>
                      <w:lang w:val="en-US" w:eastAsia="zh-CN" w:bidi="ar"/>
                    </w:rPr>
                    <w:t>细胞分化（培养）</w:t>
                  </w:r>
                </w:p>
              </w:tc>
              <w:tc>
                <w:tcPr>
                  <w:tcW w:w="710" w:type="pct"/>
                  <w:noWrap w:val="0"/>
                  <w:vAlign w:val="center"/>
                </w:tcPr>
                <w:p w14:paraId="180FA77B">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正常、连续</w:t>
                  </w:r>
                </w:p>
              </w:tc>
              <w:tc>
                <w:tcPr>
                  <w:tcW w:w="616" w:type="pct"/>
                  <w:noWrap w:val="0"/>
                  <w:vAlign w:val="center"/>
                </w:tcPr>
                <w:p w14:paraId="588AB44A">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highlight w:val="none"/>
                    </w:rPr>
                  </w:pPr>
                  <w:r>
                    <w:rPr>
                      <w:rFonts w:hint="eastAsia" w:ascii="Times New Roman" w:hAnsi="Times New Roman" w:eastAsia="宋体"/>
                      <w:color w:val="auto"/>
                      <w:szCs w:val="21"/>
                      <w:highlight w:val="none"/>
                    </w:rPr>
                    <w:t>废气</w:t>
                  </w:r>
                </w:p>
              </w:tc>
              <w:tc>
                <w:tcPr>
                  <w:tcW w:w="1136" w:type="pct"/>
                  <w:noWrap w:val="0"/>
                  <w:vAlign w:val="center"/>
                </w:tcPr>
                <w:p w14:paraId="1E0188D4">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非甲烷总烃</w:t>
                  </w:r>
                  <w:r>
                    <w:rPr>
                      <w:rFonts w:hint="eastAsia"/>
                      <w:color w:val="auto"/>
                      <w:szCs w:val="21"/>
                      <w:highlight w:val="none"/>
                      <w:lang w:val="en-US" w:eastAsia="zh-CN"/>
                    </w:rPr>
                    <w:t>（包含甲醇）</w:t>
                  </w:r>
                </w:p>
              </w:tc>
              <w:tc>
                <w:tcPr>
                  <w:tcW w:w="819" w:type="pct"/>
                  <w:noWrap w:val="0"/>
                  <w:vAlign w:val="center"/>
                </w:tcPr>
                <w:p w14:paraId="5122210C">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大气沉降</w:t>
                  </w:r>
                </w:p>
              </w:tc>
            </w:tr>
            <w:tr w14:paraId="0E1FE8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82" w:type="pct"/>
                  <w:noWrap w:val="0"/>
                  <w:vAlign w:val="center"/>
                </w:tcPr>
                <w:p w14:paraId="1AD5F5B5">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highlight w:val="none"/>
                    </w:rPr>
                  </w:pPr>
                  <w:r>
                    <w:rPr>
                      <w:rFonts w:hint="default" w:ascii="Times New Roman" w:hAnsi="Times New Roman" w:eastAsia="宋体"/>
                      <w:color w:val="auto"/>
                      <w:szCs w:val="21"/>
                      <w:highlight w:val="none"/>
                    </w:rPr>
                    <w:t>原料</w:t>
                  </w:r>
                  <w:r>
                    <w:rPr>
                      <w:rFonts w:hint="eastAsia" w:ascii="Times New Roman" w:hAnsi="Times New Roman" w:eastAsia="宋体"/>
                      <w:color w:val="auto"/>
                      <w:szCs w:val="21"/>
                      <w:highlight w:val="none"/>
                    </w:rPr>
                    <w:t>区</w:t>
                  </w:r>
                </w:p>
              </w:tc>
              <w:tc>
                <w:tcPr>
                  <w:tcW w:w="1034" w:type="pct"/>
                  <w:noWrap w:val="0"/>
                  <w:vAlign w:val="center"/>
                </w:tcPr>
                <w:p w14:paraId="4D1152DC">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lang w:val="en-US" w:eastAsia="zh-CN"/>
                    </w:rPr>
                  </w:pPr>
                  <w:r>
                    <w:rPr>
                      <w:rFonts w:hint="eastAsia"/>
                      <w:color w:val="auto"/>
                      <w:szCs w:val="21"/>
                      <w:highlight w:val="none"/>
                      <w:lang w:val="en-US" w:eastAsia="zh-CN"/>
                    </w:rPr>
                    <w:t>原料储存</w:t>
                  </w:r>
                </w:p>
              </w:tc>
              <w:tc>
                <w:tcPr>
                  <w:tcW w:w="710" w:type="pct"/>
                  <w:noWrap w:val="0"/>
                  <w:vAlign w:val="center"/>
                </w:tcPr>
                <w:p w14:paraId="3BD3CBDF">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事故</w:t>
                  </w:r>
                </w:p>
              </w:tc>
              <w:tc>
                <w:tcPr>
                  <w:tcW w:w="616" w:type="pct"/>
                  <w:noWrap w:val="0"/>
                  <w:vAlign w:val="center"/>
                </w:tcPr>
                <w:p w14:paraId="5A9B8EB2">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highlight w:val="none"/>
                    </w:rPr>
                  </w:pPr>
                  <w:r>
                    <w:rPr>
                      <w:rFonts w:hint="eastAsia" w:ascii="Times New Roman" w:hAnsi="Times New Roman" w:eastAsia="宋体"/>
                      <w:color w:val="auto"/>
                      <w:szCs w:val="21"/>
                      <w:highlight w:val="none"/>
                    </w:rPr>
                    <w:t>液态原料</w:t>
                  </w:r>
                </w:p>
              </w:tc>
              <w:tc>
                <w:tcPr>
                  <w:tcW w:w="1136" w:type="pct"/>
                  <w:noWrap w:val="0"/>
                  <w:vAlign w:val="center"/>
                </w:tcPr>
                <w:p w14:paraId="5F4D43E4">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lang w:val="en-US" w:eastAsia="zh-CN"/>
                    </w:rPr>
                  </w:pPr>
                  <w:r>
                    <w:rPr>
                      <w:rFonts w:hint="eastAsia"/>
                      <w:color w:val="auto"/>
                      <w:szCs w:val="21"/>
                      <w:highlight w:val="none"/>
                      <w:lang w:val="en-US" w:eastAsia="zh-CN"/>
                    </w:rPr>
                    <w:t>甲醇、污水乙醇、75%消毒酒精、异丙醇等</w:t>
                  </w:r>
                </w:p>
              </w:tc>
              <w:tc>
                <w:tcPr>
                  <w:tcW w:w="819" w:type="pct"/>
                  <w:noWrap w:val="0"/>
                  <w:vAlign w:val="center"/>
                </w:tcPr>
                <w:p w14:paraId="36C245FE">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highlight w:val="none"/>
                    </w:rPr>
                  </w:pPr>
                  <w:r>
                    <w:rPr>
                      <w:rFonts w:hint="default" w:ascii="Times New Roman" w:hAnsi="Times New Roman" w:eastAsia="宋体"/>
                      <w:color w:val="auto"/>
                      <w:szCs w:val="21"/>
                      <w:highlight w:val="none"/>
                    </w:rPr>
                    <w:t>垂直入渗</w:t>
                  </w:r>
                  <w:r>
                    <w:rPr>
                      <w:rFonts w:hint="eastAsia" w:ascii="Times New Roman" w:hAnsi="Times New Roman" w:eastAsia="宋体"/>
                      <w:color w:val="auto"/>
                      <w:szCs w:val="21"/>
                      <w:highlight w:val="none"/>
                    </w:rPr>
                    <w:t>、地表漫流</w:t>
                  </w:r>
                </w:p>
              </w:tc>
            </w:tr>
            <w:tr w14:paraId="4D12D4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82" w:type="pct"/>
                  <w:noWrap w:val="0"/>
                  <w:vAlign w:val="center"/>
                </w:tcPr>
                <w:p w14:paraId="676A2420">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lang w:val="en-US" w:eastAsia="zh-CN"/>
                    </w:rPr>
                  </w:pPr>
                  <w:r>
                    <w:rPr>
                      <w:rFonts w:hint="eastAsia"/>
                      <w:color w:val="auto"/>
                      <w:szCs w:val="21"/>
                      <w:highlight w:val="none"/>
                      <w:lang w:val="en-US" w:eastAsia="zh-CN"/>
                    </w:rPr>
                    <w:t>危废间、试剂耗材仓库</w:t>
                  </w:r>
                </w:p>
              </w:tc>
              <w:tc>
                <w:tcPr>
                  <w:tcW w:w="1034" w:type="pct"/>
                  <w:noWrap w:val="0"/>
                  <w:vAlign w:val="center"/>
                </w:tcPr>
                <w:p w14:paraId="0F4B5124">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lang w:val="en-US"/>
                    </w:rPr>
                  </w:pPr>
                  <w:r>
                    <w:rPr>
                      <w:rFonts w:hint="default" w:ascii="Times New Roman" w:hAnsi="Times New Roman" w:eastAsia="宋体"/>
                      <w:color w:val="auto"/>
                      <w:szCs w:val="21"/>
                      <w:highlight w:val="none"/>
                      <w:lang w:val="en-US" w:eastAsia="zh-CN"/>
                    </w:rPr>
                    <w:t>实验废液、废化学品包装袋</w:t>
                  </w:r>
                  <w:r>
                    <w:rPr>
                      <w:rFonts w:hint="default" w:ascii="Times New Roman" w:hAnsi="Times New Roman" w:eastAsia="宋体"/>
                      <w:color w:val="auto"/>
                      <w:szCs w:val="21"/>
                      <w:highlight w:val="none"/>
                      <w:lang w:val="en-US"/>
                    </w:rPr>
                    <w:t>发生泄露事故</w:t>
                  </w:r>
                </w:p>
              </w:tc>
              <w:tc>
                <w:tcPr>
                  <w:tcW w:w="710" w:type="pct"/>
                  <w:noWrap w:val="0"/>
                  <w:vAlign w:val="center"/>
                </w:tcPr>
                <w:p w14:paraId="2B132CDB">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事故</w:t>
                  </w:r>
                </w:p>
              </w:tc>
              <w:tc>
                <w:tcPr>
                  <w:tcW w:w="616" w:type="pct"/>
                  <w:noWrap w:val="0"/>
                  <w:vAlign w:val="center"/>
                </w:tcPr>
                <w:p w14:paraId="27343A68">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highlight w:val="none"/>
                    </w:rPr>
                  </w:pPr>
                  <w:r>
                    <w:rPr>
                      <w:rFonts w:hint="eastAsia" w:ascii="Times New Roman" w:hAnsi="Times New Roman" w:eastAsia="宋体"/>
                      <w:color w:val="auto"/>
                      <w:szCs w:val="21"/>
                      <w:highlight w:val="none"/>
                    </w:rPr>
                    <w:t>液态危废</w:t>
                  </w:r>
                </w:p>
              </w:tc>
              <w:tc>
                <w:tcPr>
                  <w:tcW w:w="1136" w:type="pct"/>
                  <w:noWrap w:val="0"/>
                  <w:vAlign w:val="center"/>
                </w:tcPr>
                <w:p w14:paraId="17B6191B">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lang w:val="en-US" w:eastAsia="zh-CN"/>
                    </w:rPr>
                  </w:pPr>
                  <w:r>
                    <w:rPr>
                      <w:rFonts w:hint="eastAsia"/>
                      <w:color w:val="auto"/>
                      <w:szCs w:val="21"/>
                      <w:highlight w:val="none"/>
                      <w:lang w:val="en-US" w:eastAsia="zh-CN"/>
                    </w:rPr>
                    <w:t>实验废液、废生物材料、废实验耗材、废化学品包装等</w:t>
                  </w:r>
                </w:p>
              </w:tc>
              <w:tc>
                <w:tcPr>
                  <w:tcW w:w="819" w:type="pct"/>
                  <w:noWrap w:val="0"/>
                  <w:vAlign w:val="center"/>
                </w:tcPr>
                <w:p w14:paraId="09CF392F">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垂直入渗</w:t>
                  </w:r>
                  <w:r>
                    <w:rPr>
                      <w:rFonts w:hint="eastAsia" w:ascii="Times New Roman" w:hAnsi="Times New Roman" w:eastAsia="宋体"/>
                      <w:color w:val="auto"/>
                      <w:szCs w:val="21"/>
                      <w:highlight w:val="none"/>
                    </w:rPr>
                    <w:t>、地表漫流</w:t>
                  </w:r>
                </w:p>
              </w:tc>
            </w:tr>
          </w:tbl>
          <w:p w14:paraId="515525D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firstLine="482" w:firstLineChars="200"/>
              <w:textAlignment w:val="auto"/>
              <w:outlineLvl w:val="3"/>
              <w:rPr>
                <w:rFonts w:hint="eastAsia" w:ascii="Times New Roman" w:hAnsi="Times New Roman" w:eastAsia="宋体"/>
                <w:b/>
                <w:bCs/>
                <w:color w:val="auto"/>
                <w:sz w:val="24"/>
                <w:szCs w:val="24"/>
                <w:highlight w:val="none"/>
              </w:rPr>
            </w:pPr>
            <w:r>
              <w:rPr>
                <w:rFonts w:hint="eastAsia" w:ascii="Times New Roman" w:hAnsi="Times New Roman" w:eastAsia="宋体"/>
                <w:b/>
                <w:bCs/>
                <w:color w:val="auto"/>
                <w:sz w:val="24"/>
                <w:szCs w:val="24"/>
                <w:highlight w:val="none"/>
              </w:rPr>
              <w:t>（2）污染防治措施</w:t>
            </w:r>
          </w:p>
          <w:p w14:paraId="3E2A7E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全厂</w:t>
            </w:r>
            <w:r>
              <w:rPr>
                <w:rFonts w:hint="default" w:ascii="Times New Roman" w:hAnsi="Times New Roman" w:eastAsia="宋体"/>
                <w:color w:val="auto"/>
                <w:sz w:val="24"/>
                <w:highlight w:val="none"/>
              </w:rPr>
              <w:t>各功能区均采取“源头控制”、“分区防控”的防渗措施，</w:t>
            </w:r>
            <w:r>
              <w:rPr>
                <w:rFonts w:hint="eastAsia" w:ascii="Times New Roman" w:hAnsi="Times New Roman" w:eastAsia="宋体"/>
                <w:color w:val="auto"/>
                <w:sz w:val="24"/>
                <w:highlight w:val="none"/>
                <w:lang w:eastAsia="zh-CN"/>
              </w:rPr>
              <w:t>设置重点防渗渠和一般防渗区，重点防渗区为</w:t>
            </w:r>
            <w:r>
              <w:rPr>
                <w:rFonts w:hint="eastAsia" w:ascii="Times New Roman" w:hAnsi="Times New Roman" w:eastAsia="宋体"/>
                <w:color w:val="auto"/>
                <w:sz w:val="24"/>
                <w:highlight w:val="none"/>
                <w:lang w:val="en-US" w:eastAsia="zh-CN"/>
              </w:rPr>
              <w:t>细胞间、液氮间、普通生物学实验室、细胞房、AI高通量筛选实验室</w:t>
            </w:r>
            <w:r>
              <w:rPr>
                <w:rFonts w:hint="eastAsia"/>
                <w:color w:val="auto"/>
                <w:sz w:val="24"/>
                <w:highlight w:val="none"/>
                <w:lang w:val="en-US" w:eastAsia="zh-CN"/>
              </w:rPr>
              <w:t>、试剂耗材实验室、危废间等</w:t>
            </w:r>
            <w:r>
              <w:rPr>
                <w:rFonts w:hint="eastAsia" w:ascii="Times New Roman" w:hAnsi="Times New Roman" w:eastAsia="宋体"/>
                <w:color w:val="auto"/>
                <w:sz w:val="24"/>
                <w:highlight w:val="none"/>
                <w:lang w:eastAsia="zh-CN"/>
              </w:rPr>
              <w:t>，一般防渗区为</w:t>
            </w:r>
            <w:r>
              <w:rPr>
                <w:rFonts w:hint="eastAsia" w:ascii="Times New Roman" w:hAnsi="Times New Roman" w:eastAsia="宋体"/>
                <w:color w:val="auto"/>
                <w:sz w:val="24"/>
                <w:highlight w:val="none"/>
                <w:lang w:val="en-US" w:eastAsia="zh-CN"/>
              </w:rPr>
              <w:t>展厅、培训室、档案室等</w:t>
            </w:r>
            <w:r>
              <w:rPr>
                <w:rFonts w:hint="eastAsia" w:ascii="Times New Roman" w:hAnsi="Times New Roman" w:eastAsia="宋体"/>
                <w:color w:val="auto"/>
                <w:sz w:val="24"/>
                <w:highlight w:val="none"/>
                <w:lang w:eastAsia="zh-CN"/>
              </w:rPr>
              <w:t>。重点防渗区：执行等效黏土层Mb≥6.0m，渗透系数≤10</w:t>
            </w:r>
            <w:r>
              <w:rPr>
                <w:rFonts w:hint="eastAsia" w:ascii="Times New Roman" w:hAnsi="Times New Roman" w:eastAsia="宋体"/>
                <w:color w:val="auto"/>
                <w:sz w:val="24"/>
                <w:highlight w:val="none"/>
                <w:vertAlign w:val="superscript"/>
                <w:lang w:eastAsia="zh-CN"/>
              </w:rPr>
              <w:t>-7</w:t>
            </w:r>
            <w:r>
              <w:rPr>
                <w:rFonts w:hint="eastAsia" w:ascii="Times New Roman" w:hAnsi="Times New Roman" w:eastAsia="宋体"/>
                <w:color w:val="auto"/>
                <w:sz w:val="24"/>
                <w:highlight w:val="none"/>
                <w:lang w:eastAsia="zh-CN"/>
              </w:rPr>
              <w:t>cm/s；一般防渗区：执行等效黏土层Mb≥1.5m，渗透系数≤10</w:t>
            </w:r>
            <w:r>
              <w:rPr>
                <w:rFonts w:hint="eastAsia" w:ascii="Times New Roman" w:hAnsi="Times New Roman" w:eastAsia="宋体"/>
                <w:color w:val="auto"/>
                <w:sz w:val="24"/>
                <w:highlight w:val="none"/>
                <w:vertAlign w:val="superscript"/>
                <w:lang w:eastAsia="zh-CN"/>
              </w:rPr>
              <w:t>-7</w:t>
            </w:r>
            <w:r>
              <w:rPr>
                <w:rFonts w:hint="eastAsia" w:ascii="Times New Roman" w:hAnsi="Times New Roman" w:eastAsia="宋体"/>
                <w:color w:val="auto"/>
                <w:sz w:val="24"/>
                <w:highlight w:val="none"/>
                <w:lang w:eastAsia="zh-CN"/>
              </w:rPr>
              <w:t>cm/s的规定。</w:t>
            </w:r>
            <w:r>
              <w:rPr>
                <w:rFonts w:hint="default" w:ascii="Times New Roman" w:hAnsi="Times New Roman" w:eastAsia="宋体"/>
                <w:color w:val="auto"/>
                <w:sz w:val="24"/>
                <w:highlight w:val="none"/>
              </w:rPr>
              <w:t>可以有效保证污染物不会进入土壤环境，防止污染土壤。本项目废气均经合理处置后达标排放，</w:t>
            </w:r>
            <w:r>
              <w:rPr>
                <w:rFonts w:hint="eastAsia" w:ascii="Times New Roman" w:hAnsi="Times New Roman" w:eastAsia="宋体"/>
                <w:color w:val="auto"/>
                <w:sz w:val="24"/>
                <w:highlight w:val="none"/>
              </w:rPr>
              <w:t>项目位于工业园区，周边</w:t>
            </w:r>
            <w:r>
              <w:rPr>
                <w:rFonts w:hint="default" w:ascii="Times New Roman" w:hAnsi="Times New Roman" w:eastAsia="宋体"/>
                <w:color w:val="auto"/>
                <w:sz w:val="24"/>
                <w:highlight w:val="none"/>
              </w:rPr>
              <w:t>无土壤</w:t>
            </w:r>
            <w:r>
              <w:rPr>
                <w:rFonts w:hint="eastAsia" w:ascii="Times New Roman" w:hAnsi="Times New Roman" w:eastAsia="宋体"/>
                <w:color w:val="auto"/>
                <w:sz w:val="24"/>
                <w:highlight w:val="none"/>
              </w:rPr>
              <w:t>、地下水</w:t>
            </w:r>
            <w:r>
              <w:rPr>
                <w:rFonts w:hint="default" w:ascii="Times New Roman" w:hAnsi="Times New Roman" w:eastAsia="宋体"/>
                <w:color w:val="auto"/>
                <w:sz w:val="24"/>
                <w:highlight w:val="none"/>
              </w:rPr>
              <w:t>环境敏感目标，因此本项目废气对土壤</w:t>
            </w:r>
            <w:r>
              <w:rPr>
                <w:rFonts w:hint="eastAsia" w:ascii="Times New Roman" w:hAnsi="Times New Roman" w:eastAsia="宋体"/>
                <w:color w:val="auto"/>
                <w:sz w:val="24"/>
                <w:highlight w:val="none"/>
              </w:rPr>
              <w:t>、地下水</w:t>
            </w:r>
            <w:r>
              <w:rPr>
                <w:rFonts w:hint="default" w:ascii="Times New Roman" w:hAnsi="Times New Roman" w:eastAsia="宋体"/>
                <w:color w:val="auto"/>
                <w:sz w:val="24"/>
                <w:highlight w:val="none"/>
              </w:rPr>
              <w:t>环境影响较小。项目固废均堆放于室内，满足“防风、防雨、防晒”的要求，建立</w:t>
            </w:r>
            <w:r>
              <w:rPr>
                <w:rFonts w:hint="eastAsia"/>
                <w:color w:val="auto"/>
                <w:sz w:val="24"/>
                <w:highlight w:val="none"/>
                <w:lang w:val="en-US" w:eastAsia="zh-CN"/>
              </w:rPr>
              <w:t>试剂耗材仓库</w:t>
            </w:r>
            <w:r>
              <w:rPr>
                <w:rFonts w:hint="default" w:ascii="Times New Roman" w:hAnsi="Times New Roman" w:eastAsia="宋体"/>
                <w:color w:val="auto"/>
                <w:sz w:val="24"/>
                <w:highlight w:val="none"/>
              </w:rPr>
              <w:t>、</w:t>
            </w:r>
            <w:r>
              <w:rPr>
                <w:rFonts w:hint="eastAsia"/>
                <w:color w:val="auto"/>
                <w:sz w:val="24"/>
                <w:highlight w:val="none"/>
                <w:lang w:val="en-US" w:eastAsia="zh-CN"/>
              </w:rPr>
              <w:t>危废间</w:t>
            </w:r>
            <w:r>
              <w:rPr>
                <w:rFonts w:hint="default" w:ascii="Times New Roman" w:hAnsi="Times New Roman" w:eastAsia="宋体"/>
                <w:color w:val="auto"/>
                <w:sz w:val="24"/>
                <w:highlight w:val="none"/>
              </w:rPr>
              <w:t>，合理分类收集堆放</w:t>
            </w:r>
            <w:r>
              <w:rPr>
                <w:rFonts w:hint="eastAsia" w:ascii="Times New Roman" w:hAnsi="Times New Roman" w:eastAsia="宋体"/>
                <w:color w:val="auto"/>
                <w:sz w:val="24"/>
                <w:highlight w:val="none"/>
                <w:lang w:eastAsia="zh-CN"/>
              </w:rPr>
              <w:t>。</w:t>
            </w:r>
            <w:r>
              <w:rPr>
                <w:rFonts w:hint="default" w:ascii="Times New Roman" w:hAnsi="Times New Roman" w:eastAsia="宋体"/>
                <w:color w:val="auto"/>
                <w:sz w:val="24"/>
                <w:highlight w:val="none"/>
              </w:rPr>
              <w:t>一般固废堆放场采取“黏土铺底+水泥硬化”的防渗措施、危废</w:t>
            </w:r>
            <w:r>
              <w:rPr>
                <w:rFonts w:hint="eastAsia"/>
                <w:color w:val="auto"/>
                <w:sz w:val="24"/>
                <w:highlight w:val="none"/>
                <w:lang w:val="en-US" w:eastAsia="zh-CN"/>
              </w:rPr>
              <w:t>间</w:t>
            </w:r>
            <w:r>
              <w:rPr>
                <w:rFonts w:hint="default" w:ascii="Times New Roman" w:hAnsi="Times New Roman" w:eastAsia="宋体"/>
                <w:color w:val="auto"/>
                <w:sz w:val="24"/>
                <w:highlight w:val="none"/>
              </w:rPr>
              <w:t>采取“黏土铺底+水泥硬化+环氧地坪”、“液体废桶配套托盘”的防渗措施，</w:t>
            </w:r>
            <w:r>
              <w:rPr>
                <w:rFonts w:hint="eastAsia" w:ascii="Times New Roman" w:hAnsi="Times New Roman" w:eastAsia="宋体"/>
                <w:color w:val="auto"/>
                <w:sz w:val="24"/>
                <w:szCs w:val="24"/>
                <w:highlight w:val="none"/>
                <w:lang w:val="en-US" w:eastAsia="zh-CN"/>
              </w:rPr>
              <w:t>同时建议设置监控设施</w:t>
            </w:r>
            <w:r>
              <w:rPr>
                <w:rFonts w:hint="eastAsia" w:ascii="Times New Roman" w:hAnsi="Times New Roman" w:eastAsia="宋体"/>
                <w:color w:val="auto"/>
                <w:sz w:val="24"/>
                <w:szCs w:val="24"/>
                <w:highlight w:val="none"/>
              </w:rPr>
              <w:t>，</w:t>
            </w:r>
            <w:r>
              <w:rPr>
                <w:rFonts w:hint="eastAsia"/>
                <w:color w:val="auto"/>
                <w:sz w:val="24"/>
                <w:highlight w:val="none"/>
                <w:lang w:eastAsia="zh-CN"/>
              </w:rPr>
              <w:t>危废间</w:t>
            </w:r>
            <w:r>
              <w:rPr>
                <w:rFonts w:hint="eastAsia" w:ascii="Times New Roman" w:hAnsi="Times New Roman" w:eastAsia="宋体"/>
                <w:color w:val="auto"/>
                <w:sz w:val="24"/>
                <w:highlight w:val="none"/>
              </w:rPr>
              <w:t>按照</w:t>
            </w:r>
            <w:r>
              <w:rPr>
                <w:rFonts w:hint="default" w:ascii="Times New Roman" w:hAnsi="Times New Roman" w:eastAsia="宋体"/>
                <w:color w:val="auto"/>
                <w:sz w:val="24"/>
                <w:highlight w:val="none"/>
              </w:rPr>
              <w:t>《危险废物贮存污染控制标准》（GB18597-20</w:t>
            </w:r>
            <w:r>
              <w:rPr>
                <w:rFonts w:hint="eastAsia" w:ascii="Times New Roman" w:hAnsi="Times New Roman" w:eastAsia="宋体"/>
                <w:color w:val="auto"/>
                <w:sz w:val="24"/>
                <w:highlight w:val="none"/>
                <w:lang w:val="en-US" w:eastAsia="zh-CN"/>
              </w:rPr>
              <w:t>23</w:t>
            </w:r>
            <w:r>
              <w:rPr>
                <w:rFonts w:hint="default" w:ascii="Times New Roman" w:hAnsi="Times New Roman" w:eastAsia="宋体"/>
                <w:color w:val="auto"/>
                <w:sz w:val="24"/>
                <w:highlight w:val="none"/>
              </w:rPr>
              <w:t>）</w:t>
            </w:r>
            <w:r>
              <w:rPr>
                <w:rFonts w:hint="eastAsia" w:ascii="Times New Roman" w:hAnsi="Times New Roman" w:eastAsia="宋体"/>
                <w:color w:val="auto"/>
                <w:sz w:val="24"/>
                <w:highlight w:val="none"/>
                <w:lang w:eastAsia="zh-CN"/>
              </w:rPr>
              <w:t>、《江苏省固体废物全过程环境监管工作意见》（苏环办[</w:t>
            </w:r>
            <w:r>
              <w:rPr>
                <w:rFonts w:hint="eastAsia" w:ascii="Times New Roman" w:hAnsi="Times New Roman" w:eastAsia="宋体"/>
                <w:color w:val="auto"/>
                <w:sz w:val="24"/>
                <w:highlight w:val="none"/>
                <w:lang w:val="en-US" w:eastAsia="zh-CN"/>
              </w:rPr>
              <w:t>2024</w:t>
            </w:r>
            <w:r>
              <w:rPr>
                <w:rFonts w:hint="eastAsia" w:ascii="Times New Roman" w:hAnsi="Times New Roman" w:eastAsia="宋体"/>
                <w:color w:val="auto"/>
                <w:sz w:val="24"/>
                <w:highlight w:val="none"/>
                <w:lang w:eastAsia="zh-CN"/>
              </w:rPr>
              <w:t>]</w:t>
            </w:r>
            <w:r>
              <w:rPr>
                <w:rFonts w:hint="eastAsia" w:ascii="Times New Roman" w:hAnsi="Times New Roman" w:eastAsia="宋体"/>
                <w:color w:val="auto"/>
                <w:sz w:val="24"/>
                <w:highlight w:val="none"/>
                <w:lang w:val="en-US" w:eastAsia="zh-CN"/>
              </w:rPr>
              <w:t>16</w:t>
            </w:r>
            <w:r>
              <w:rPr>
                <w:rFonts w:hint="eastAsia" w:ascii="Times New Roman" w:hAnsi="Times New Roman" w:eastAsia="宋体"/>
                <w:color w:val="auto"/>
                <w:sz w:val="24"/>
                <w:highlight w:val="none"/>
                <w:lang w:eastAsia="zh-CN"/>
              </w:rPr>
              <w:t>号）</w:t>
            </w:r>
            <w:r>
              <w:rPr>
                <w:rFonts w:hint="eastAsia" w:ascii="Times New Roman" w:hAnsi="Times New Roman" w:eastAsia="宋体"/>
                <w:color w:val="auto"/>
                <w:sz w:val="24"/>
                <w:highlight w:val="none"/>
              </w:rPr>
              <w:t>等文件要做到“防风防雨防渗漏”，同时设置了危险废物信息公开栏、贮存设施警示标志牌，布设了危险废物贮存设施视频监控，</w:t>
            </w:r>
            <w:r>
              <w:rPr>
                <w:rFonts w:hint="default" w:ascii="Times New Roman" w:hAnsi="Times New Roman" w:eastAsia="宋体"/>
                <w:color w:val="auto"/>
                <w:sz w:val="24"/>
                <w:highlight w:val="none"/>
              </w:rPr>
              <w:t>杜绝固废接触土壤及室外堆放，防止降水淋溶、地表径流，危废定期委托处置。</w:t>
            </w:r>
          </w:p>
          <w:p w14:paraId="08405B8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4"/>
                <w:szCs w:val="20"/>
                <w:highlight w:val="none"/>
                <w:lang w:val="en-US" w:eastAsia="zh-CN" w:bidi="ar-SA"/>
              </w:rPr>
            </w:pPr>
            <w:r>
              <w:rPr>
                <w:rFonts w:hint="default" w:ascii="Times New Roman" w:hAnsi="Times New Roman" w:eastAsia="宋体" w:cs="Times New Roman"/>
                <w:b/>
                <w:bCs/>
                <w:color w:val="auto"/>
                <w:kern w:val="0"/>
                <w:sz w:val="24"/>
                <w:szCs w:val="24"/>
                <w:lang w:val="en-US" w:eastAsia="zh-CN" w:bidi="ar-SA"/>
              </w:rPr>
              <w:t>表4-</w:t>
            </w:r>
            <w:r>
              <w:rPr>
                <w:rFonts w:hint="eastAsia" w:ascii="Times New Roman" w:hAnsi="Times New Roman" w:eastAsia="宋体" w:cs="Times New Roman"/>
                <w:b/>
                <w:bCs/>
                <w:color w:val="auto"/>
                <w:kern w:val="0"/>
                <w:sz w:val="24"/>
                <w:szCs w:val="24"/>
                <w:lang w:val="en-US" w:eastAsia="zh-CN" w:bidi="ar-SA"/>
              </w:rPr>
              <w:t xml:space="preserve">30  </w:t>
            </w:r>
            <w:r>
              <w:rPr>
                <w:rFonts w:hint="default" w:ascii="Times New Roman" w:hAnsi="Times New Roman" w:eastAsia="宋体" w:cs="Times New Roman"/>
                <w:b/>
                <w:bCs/>
                <w:color w:val="auto"/>
                <w:kern w:val="0"/>
                <w:sz w:val="24"/>
                <w:szCs w:val="20"/>
                <w:highlight w:val="none"/>
                <w:lang w:val="en-US" w:eastAsia="zh-CN" w:bidi="ar-SA"/>
              </w:rPr>
              <w:t>本项目分区防渗要求</w:t>
            </w:r>
          </w:p>
          <w:tbl>
            <w:tblPr>
              <w:tblStyle w:val="26"/>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8"/>
              <w:gridCol w:w="2429"/>
              <w:gridCol w:w="5045"/>
            </w:tblGrid>
            <w:tr w14:paraId="730604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8" w:type="pct"/>
                  <w:tcBorders>
                    <w:tl2br w:val="nil"/>
                    <w:tr2bl w:val="nil"/>
                  </w:tcBorders>
                  <w:vAlign w:val="center"/>
                </w:tcPr>
                <w:p w14:paraId="013F797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序号</w:t>
                  </w:r>
                </w:p>
              </w:tc>
              <w:tc>
                <w:tcPr>
                  <w:tcW w:w="1440" w:type="pct"/>
                  <w:tcBorders>
                    <w:tl2br w:val="nil"/>
                    <w:tr2bl w:val="nil"/>
                  </w:tcBorders>
                  <w:vAlign w:val="center"/>
                </w:tcPr>
                <w:p w14:paraId="11E2FA0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防渗分区</w:t>
                  </w:r>
                </w:p>
              </w:tc>
              <w:tc>
                <w:tcPr>
                  <w:tcW w:w="2990" w:type="pct"/>
                  <w:tcBorders>
                    <w:tl2br w:val="nil"/>
                    <w:tr2bl w:val="nil"/>
                  </w:tcBorders>
                  <w:vAlign w:val="center"/>
                </w:tcPr>
                <w:p w14:paraId="32D6711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防渗要求</w:t>
                  </w:r>
                </w:p>
              </w:tc>
            </w:tr>
            <w:tr w14:paraId="5F779C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8" w:type="pct"/>
                  <w:tcBorders>
                    <w:tl2br w:val="nil"/>
                    <w:tr2bl w:val="nil"/>
                  </w:tcBorders>
                  <w:vAlign w:val="center"/>
                </w:tcPr>
                <w:p w14:paraId="3A4146C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2429" w:type="dxa"/>
                  <w:tcBorders>
                    <w:tl2br w:val="nil"/>
                    <w:tr2bl w:val="nil"/>
                  </w:tcBorders>
                  <w:vAlign w:val="center"/>
                </w:tcPr>
                <w:p w14:paraId="28C5142A">
                  <w:pPr>
                    <w:keepNext w:val="0"/>
                    <w:keepLines w:val="0"/>
                    <w:pageBreakBefore w:val="0"/>
                    <w:widowControl/>
                    <w:suppressLineNumbers w:val="0"/>
                    <w:kinsoku/>
                    <w:wordWrap/>
                    <w:overflowPunct/>
                    <w:topLinePunct w:val="0"/>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细胞间、液氮间、普通生物学实验室、细胞房、AI高通量筛选实验室</w:t>
                  </w:r>
                </w:p>
              </w:tc>
              <w:tc>
                <w:tcPr>
                  <w:tcW w:w="5045" w:type="dxa"/>
                  <w:tcBorders>
                    <w:tl2br w:val="nil"/>
                    <w:tr2bl w:val="nil"/>
                  </w:tcBorders>
                  <w:vAlign w:val="center"/>
                </w:tcPr>
                <w:p w14:paraId="1E3F7938">
                  <w:pPr>
                    <w:keepNext w:val="0"/>
                    <w:keepLines w:val="0"/>
                    <w:pageBreakBefore w:val="0"/>
                    <w:widowControl/>
                    <w:suppressLineNumbers w:val="0"/>
                    <w:kinsoku/>
                    <w:wordWrap/>
                    <w:overflowPunct/>
                    <w:topLinePunct w:val="0"/>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Cs w:val="21"/>
                      <w:highlight w:val="none"/>
                    </w:rPr>
                  </w:pPr>
                  <w:r>
                    <w:rPr>
                      <w:rFonts w:hint="eastAsia" w:ascii="Times New Roman" w:hAnsi="Times New Roman" w:eastAsia="宋体"/>
                      <w:color w:val="auto"/>
                      <w:szCs w:val="21"/>
                      <w:highlight w:val="none"/>
                      <w:lang w:val="en-US" w:eastAsia="zh-CN"/>
                    </w:rPr>
                    <w:t>重要防渗区域；水泥硬化基础（厂房现有结构）+环氧树脂涂层</w:t>
                  </w:r>
                </w:p>
              </w:tc>
            </w:tr>
            <w:tr w14:paraId="37C895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568" w:type="pct"/>
                  <w:tcBorders>
                    <w:tl2br w:val="nil"/>
                    <w:tr2bl w:val="nil"/>
                  </w:tcBorders>
                  <w:vAlign w:val="center"/>
                </w:tcPr>
                <w:p w14:paraId="65EE735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2429" w:type="dxa"/>
                  <w:tcBorders>
                    <w:tl2br w:val="nil"/>
                    <w:tr2bl w:val="nil"/>
                  </w:tcBorders>
                  <w:vAlign w:val="center"/>
                </w:tcPr>
                <w:p w14:paraId="3ED669F2">
                  <w:pPr>
                    <w:keepNext w:val="0"/>
                    <w:keepLines w:val="0"/>
                    <w:pageBreakBefore w:val="0"/>
                    <w:widowControl/>
                    <w:suppressLineNumbers w:val="0"/>
                    <w:kinsoku/>
                    <w:wordWrap/>
                    <w:overflowPunct/>
                    <w:topLinePunct w:val="0"/>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Cs w:val="21"/>
                      <w:highlight w:val="none"/>
                    </w:rPr>
                  </w:pPr>
                  <w:r>
                    <w:rPr>
                      <w:rFonts w:hint="eastAsia"/>
                      <w:color w:val="auto"/>
                      <w:szCs w:val="21"/>
                      <w:highlight w:val="none"/>
                      <w:lang w:val="en-US" w:eastAsia="zh-CN"/>
                    </w:rPr>
                    <w:t>试剂耗材仓库、危废间</w:t>
                  </w:r>
                </w:p>
              </w:tc>
              <w:tc>
                <w:tcPr>
                  <w:tcW w:w="5045" w:type="dxa"/>
                  <w:tcBorders>
                    <w:tl2br w:val="nil"/>
                    <w:tr2bl w:val="nil"/>
                  </w:tcBorders>
                  <w:vAlign w:val="center"/>
                </w:tcPr>
                <w:p w14:paraId="546176D1">
                  <w:pPr>
                    <w:keepNext w:val="0"/>
                    <w:keepLines w:val="0"/>
                    <w:pageBreakBefore w:val="0"/>
                    <w:widowControl/>
                    <w:suppressLineNumbers w:val="0"/>
                    <w:kinsoku/>
                    <w:wordWrap/>
                    <w:overflowPunct/>
                    <w:topLinePunct w:val="0"/>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Cs w:val="21"/>
                      <w:highlight w:val="none"/>
                    </w:rPr>
                  </w:pPr>
                  <w:r>
                    <w:rPr>
                      <w:rFonts w:hint="eastAsia" w:ascii="Times New Roman" w:hAnsi="Times New Roman" w:eastAsia="宋体"/>
                      <w:color w:val="auto"/>
                      <w:szCs w:val="21"/>
                      <w:highlight w:val="none"/>
                      <w:lang w:val="en-US" w:eastAsia="zh-CN"/>
                    </w:rPr>
                    <w:t>重要防渗区域；水泥硬化基础（厂房现有结构）+环氧树脂涂层；</w:t>
                  </w:r>
                  <w:r>
                    <w:rPr>
                      <w:rFonts w:hint="eastAsia"/>
                      <w:color w:val="auto"/>
                      <w:szCs w:val="21"/>
                      <w:highlight w:val="none"/>
                      <w:lang w:val="en-US" w:eastAsia="zh-CN"/>
                    </w:rPr>
                    <w:t>危废间</w:t>
                  </w:r>
                  <w:r>
                    <w:rPr>
                      <w:rFonts w:hint="eastAsia" w:ascii="Times New Roman" w:hAnsi="Times New Roman" w:eastAsia="宋体"/>
                      <w:color w:val="auto"/>
                      <w:szCs w:val="21"/>
                      <w:highlight w:val="none"/>
                      <w:lang w:val="en-US" w:eastAsia="zh-CN"/>
                    </w:rPr>
                    <w:t>设置托盘等防流失措施。</w:t>
                  </w:r>
                </w:p>
              </w:tc>
            </w:tr>
            <w:tr w14:paraId="04EDA3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568" w:type="pct"/>
                  <w:tcBorders>
                    <w:tl2br w:val="nil"/>
                    <w:tr2bl w:val="nil"/>
                  </w:tcBorders>
                  <w:vAlign w:val="center"/>
                </w:tcPr>
                <w:p w14:paraId="06C0B02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w:t>
                  </w:r>
                </w:p>
              </w:tc>
              <w:tc>
                <w:tcPr>
                  <w:tcW w:w="2429" w:type="dxa"/>
                  <w:tcBorders>
                    <w:tl2br w:val="nil"/>
                    <w:tr2bl w:val="nil"/>
                  </w:tcBorders>
                  <w:vAlign w:val="center"/>
                </w:tcPr>
                <w:p w14:paraId="743A7689">
                  <w:pPr>
                    <w:keepNext w:val="0"/>
                    <w:keepLines w:val="0"/>
                    <w:pageBreakBefore w:val="0"/>
                    <w:widowControl/>
                    <w:suppressLineNumbers w:val="0"/>
                    <w:kinsoku/>
                    <w:wordWrap/>
                    <w:overflowPunct/>
                    <w:topLinePunct w:val="0"/>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展厅、培训室、档案室等</w:t>
                  </w:r>
                </w:p>
              </w:tc>
              <w:tc>
                <w:tcPr>
                  <w:tcW w:w="5045" w:type="dxa"/>
                  <w:tcBorders>
                    <w:tl2br w:val="nil"/>
                    <w:tr2bl w:val="nil"/>
                  </w:tcBorders>
                  <w:vAlign w:val="center"/>
                </w:tcPr>
                <w:p w14:paraId="01BE7B56">
                  <w:pPr>
                    <w:keepNext w:val="0"/>
                    <w:keepLines w:val="0"/>
                    <w:pageBreakBefore w:val="0"/>
                    <w:widowControl/>
                    <w:suppressLineNumbers w:val="0"/>
                    <w:kinsoku/>
                    <w:wordWrap/>
                    <w:overflowPunct/>
                    <w:topLinePunct w:val="0"/>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一般防渗：黏土铺底+水泥硬化基础（</w:t>
                  </w:r>
                  <w:r>
                    <w:rPr>
                      <w:rFonts w:hint="eastAsia" w:ascii="Times New Roman" w:hAnsi="Times New Roman" w:eastAsia="宋体"/>
                      <w:color w:val="auto"/>
                      <w:szCs w:val="21"/>
                      <w:highlight w:val="none"/>
                      <w:lang w:val="en-US" w:eastAsia="zh-CN"/>
                    </w:rPr>
                    <w:t>厂房现有结构</w:t>
                  </w:r>
                  <w:r>
                    <w:rPr>
                      <w:rFonts w:hint="eastAsia" w:ascii="Times New Roman" w:hAnsi="Times New Roman" w:eastAsia="宋体" w:cs="Times New Roman"/>
                      <w:i w:val="0"/>
                      <w:iCs w:val="0"/>
                      <w:color w:val="auto"/>
                      <w:kern w:val="0"/>
                      <w:sz w:val="21"/>
                      <w:szCs w:val="21"/>
                      <w:highlight w:val="none"/>
                      <w:u w:val="none"/>
                      <w:lang w:val="en-US" w:eastAsia="zh-CN" w:bidi="ar"/>
                    </w:rPr>
                    <w:t>）</w:t>
                  </w:r>
                </w:p>
              </w:tc>
            </w:tr>
          </w:tbl>
          <w:p w14:paraId="2CE3D1B9">
            <w:pPr>
              <w:keepNext w:val="0"/>
              <w:keepLines w:val="0"/>
              <w:suppressLineNumbers w:val="0"/>
              <w:spacing w:before="0" w:beforeAutospacing="0" w:after="0" w:afterAutospacing="0" w:line="360" w:lineRule="auto"/>
              <w:ind w:left="0" w:right="0" w:firstLine="482" w:firstLineChars="200"/>
              <w:outlineLvl w:val="3"/>
              <w:rPr>
                <w:rFonts w:hint="eastAsia" w:ascii="Times New Roman" w:hAnsi="Times New Roman" w:eastAsia="宋体"/>
                <w:b/>
                <w:bCs/>
                <w:color w:val="auto"/>
                <w:sz w:val="24"/>
                <w:highlight w:val="none"/>
              </w:rPr>
            </w:pPr>
            <w:r>
              <w:rPr>
                <w:rFonts w:hint="eastAsia" w:ascii="Times New Roman" w:hAnsi="Times New Roman" w:eastAsia="宋体"/>
                <w:b/>
                <w:bCs/>
                <w:color w:val="auto"/>
                <w:sz w:val="24"/>
                <w:highlight w:val="none"/>
              </w:rPr>
              <w:t>（3）影响分析结论</w:t>
            </w:r>
          </w:p>
          <w:p w14:paraId="19C9B9EA">
            <w:pPr>
              <w:keepNext w:val="0"/>
              <w:keepLines w:val="0"/>
              <w:widowControl w:val="0"/>
              <w:suppressLineNumbers w:val="0"/>
              <w:spacing w:before="0" w:beforeAutospacing="0" w:after="0" w:afterAutospacing="0" w:line="360" w:lineRule="auto"/>
              <w:ind w:left="0" w:leftChars="0" w:right="0"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olor w:val="auto"/>
                <w:sz w:val="24"/>
                <w:highlight w:val="none"/>
              </w:rPr>
              <w:t>项目采取的防渗漏或者其它防止污染环境的措施可行有效，</w:t>
            </w:r>
            <w:r>
              <w:rPr>
                <w:rFonts w:hint="default" w:ascii="Times New Roman" w:hAnsi="Times New Roman" w:eastAsia="宋体"/>
                <w:color w:val="auto"/>
                <w:sz w:val="24"/>
                <w:highlight w:val="none"/>
              </w:rPr>
              <w:t>项目对可能产生</w:t>
            </w:r>
            <w:r>
              <w:rPr>
                <w:rFonts w:hint="eastAsia" w:ascii="Times New Roman" w:hAnsi="Times New Roman" w:eastAsia="宋体"/>
                <w:color w:val="auto"/>
                <w:sz w:val="24"/>
                <w:highlight w:val="none"/>
              </w:rPr>
              <w:t>土壤、</w:t>
            </w:r>
            <w:r>
              <w:rPr>
                <w:rFonts w:hint="default" w:ascii="Times New Roman" w:hAnsi="Times New Roman" w:eastAsia="宋体"/>
                <w:color w:val="auto"/>
                <w:sz w:val="24"/>
                <w:highlight w:val="none"/>
              </w:rPr>
              <w:t>地下水影响的各项途径均进行有效预防，各项防渗措施</w:t>
            </w:r>
            <w:r>
              <w:rPr>
                <w:rFonts w:hint="eastAsia" w:ascii="Times New Roman" w:hAnsi="Times New Roman" w:eastAsia="宋体"/>
                <w:color w:val="auto"/>
                <w:sz w:val="24"/>
                <w:highlight w:val="none"/>
              </w:rPr>
              <w:t>均已</w:t>
            </w:r>
            <w:r>
              <w:rPr>
                <w:rFonts w:hint="default" w:ascii="Times New Roman" w:hAnsi="Times New Roman" w:eastAsia="宋体"/>
                <w:color w:val="auto"/>
                <w:sz w:val="24"/>
                <w:highlight w:val="none"/>
              </w:rPr>
              <w:t>落实，</w:t>
            </w:r>
            <w:r>
              <w:rPr>
                <w:rFonts w:hint="eastAsia" w:ascii="Times New Roman" w:hAnsi="Times New Roman" w:eastAsia="宋体"/>
                <w:color w:val="auto"/>
                <w:sz w:val="24"/>
                <w:highlight w:val="none"/>
              </w:rPr>
              <w:t>同时</w:t>
            </w:r>
            <w:r>
              <w:rPr>
                <w:rFonts w:hint="default" w:ascii="Times New Roman" w:hAnsi="Times New Roman" w:eastAsia="宋体"/>
                <w:color w:val="auto"/>
                <w:sz w:val="24"/>
                <w:highlight w:val="none"/>
              </w:rPr>
              <w:t>加强维护和厂区环境管理的前提下，可有效控制厂区内</w:t>
            </w:r>
            <w:r>
              <w:rPr>
                <w:rFonts w:hint="eastAsia" w:ascii="Times New Roman" w:hAnsi="Times New Roman" w:eastAsia="宋体"/>
                <w:color w:val="auto"/>
                <w:sz w:val="24"/>
                <w:highlight w:val="none"/>
              </w:rPr>
              <w:t>因泄漏引起的下渗</w:t>
            </w:r>
            <w:r>
              <w:rPr>
                <w:rFonts w:hint="default" w:ascii="Times New Roman" w:hAnsi="Times New Roman" w:eastAsia="宋体"/>
                <w:color w:val="auto"/>
                <w:sz w:val="24"/>
                <w:highlight w:val="none"/>
              </w:rPr>
              <w:t>现象，避免污染地下水</w:t>
            </w:r>
            <w:r>
              <w:rPr>
                <w:rFonts w:hint="eastAsia" w:ascii="Times New Roman" w:hAnsi="Times New Roman" w:eastAsia="宋体"/>
                <w:color w:val="auto"/>
                <w:sz w:val="24"/>
                <w:highlight w:val="none"/>
                <w:lang w:eastAsia="zh-CN"/>
              </w:rPr>
              <w:t>，</w:t>
            </w:r>
            <w:r>
              <w:rPr>
                <w:rFonts w:hint="default" w:ascii="Times New Roman" w:hAnsi="Times New Roman" w:eastAsia="宋体"/>
                <w:color w:val="auto"/>
                <w:sz w:val="24"/>
                <w:highlight w:val="none"/>
              </w:rPr>
              <w:t>因此项目</w:t>
            </w:r>
            <w:r>
              <w:rPr>
                <w:rFonts w:hint="eastAsia" w:ascii="Times New Roman" w:hAnsi="Times New Roman" w:eastAsia="宋体"/>
                <w:color w:val="auto"/>
                <w:sz w:val="24"/>
                <w:highlight w:val="none"/>
              </w:rPr>
              <w:t>已具备完善的</w:t>
            </w:r>
            <w:r>
              <w:rPr>
                <w:rFonts w:hint="default" w:ascii="Times New Roman" w:hAnsi="Times New Roman" w:eastAsia="宋体"/>
                <w:color w:val="auto"/>
                <w:sz w:val="24"/>
                <w:highlight w:val="none"/>
              </w:rPr>
              <w:t>污染防治措施，可有效防止土壤</w:t>
            </w:r>
            <w:r>
              <w:rPr>
                <w:rFonts w:hint="eastAsia" w:ascii="Times New Roman" w:hAnsi="Times New Roman" w:eastAsia="宋体"/>
                <w:color w:val="auto"/>
                <w:sz w:val="24"/>
                <w:highlight w:val="none"/>
              </w:rPr>
              <w:t>、地下水</w:t>
            </w:r>
            <w:r>
              <w:rPr>
                <w:rFonts w:hint="default" w:ascii="Times New Roman" w:hAnsi="Times New Roman" w:eastAsia="宋体"/>
                <w:color w:val="auto"/>
                <w:sz w:val="24"/>
                <w:highlight w:val="none"/>
              </w:rPr>
              <w:t>环境污染，对土壤</w:t>
            </w:r>
            <w:r>
              <w:rPr>
                <w:rFonts w:hint="eastAsia" w:ascii="Times New Roman" w:hAnsi="Times New Roman" w:eastAsia="宋体"/>
                <w:color w:val="auto"/>
                <w:sz w:val="24"/>
                <w:highlight w:val="none"/>
              </w:rPr>
              <w:t>、地下水</w:t>
            </w:r>
            <w:r>
              <w:rPr>
                <w:rFonts w:hint="default" w:ascii="Times New Roman" w:hAnsi="Times New Roman" w:eastAsia="宋体"/>
                <w:color w:val="auto"/>
                <w:sz w:val="24"/>
                <w:highlight w:val="none"/>
              </w:rPr>
              <w:t>环境影响较小。</w:t>
            </w:r>
          </w:p>
          <w:p w14:paraId="42B1661D">
            <w:pPr>
              <w:keepNext w:val="0"/>
              <w:keepLines w:val="0"/>
              <w:suppressLineNumbers w:val="0"/>
              <w:bidi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w:t>
            </w:r>
            <w:r>
              <w:rPr>
                <w:rFonts w:hint="eastAsia"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）跟踪监测计划</w:t>
            </w:r>
          </w:p>
          <w:p w14:paraId="714CACF1">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地下水和土壤污染的可能性和程度均较小，正常情况可不开展地下水和土壤跟踪监测，当发生液态物料及危险废液等物质泄漏可能进入到外环境时，在泄漏物质流经的区域附近开展地下水和土壤的监测，检查泄漏事故污染影响情况。</w:t>
            </w:r>
          </w:p>
          <w:p w14:paraId="41FF6F4A">
            <w:pPr>
              <w:keepNext w:val="0"/>
              <w:keepLines w:val="0"/>
              <w:numPr>
                <w:ilvl w:val="0"/>
                <w:numId w:val="0"/>
              </w:numPr>
              <w:suppressLineNumbers w:val="0"/>
              <w:autoSpaceDE w:val="0"/>
              <w:spacing w:before="0" w:beforeAutospacing="0" w:after="0" w:afterAutospacing="0" w:line="360" w:lineRule="auto"/>
              <w:ind w:left="0" w:right="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kern w:val="2"/>
                <w:sz w:val="24"/>
                <w:szCs w:val="24"/>
                <w:lang w:val="en-US" w:eastAsia="zh-CN" w:bidi="ar-SA"/>
              </w:rPr>
              <w:t>6、</w:t>
            </w:r>
            <w:r>
              <w:rPr>
                <w:rFonts w:hint="default" w:ascii="Times New Roman" w:hAnsi="Times New Roman" w:eastAsia="宋体" w:cs="Times New Roman"/>
                <w:b/>
                <w:bCs/>
                <w:color w:val="auto"/>
                <w:sz w:val="24"/>
                <w:highlight w:val="none"/>
              </w:rPr>
              <w:t>生态</w:t>
            </w:r>
          </w:p>
          <w:p w14:paraId="0E72438D">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本项目位于无锡市新吴区净慧东道196号F楼2楼，</w:t>
            </w:r>
            <w:r>
              <w:rPr>
                <w:rFonts w:hint="default" w:ascii="Times New Roman" w:hAnsi="Times New Roman" w:eastAsia="宋体" w:cs="Times New Roman"/>
                <w:color w:val="auto"/>
                <w:sz w:val="24"/>
                <w:highlight w:val="none"/>
              </w:rPr>
              <w:t>范围内不涉及生态环境保护目标，项目产生的废气、废水、噪声经过合理处置后达标排放，固体废物合理处置零排放，对生态影响较小。</w:t>
            </w:r>
          </w:p>
          <w:p w14:paraId="4938F83B">
            <w:pPr>
              <w:keepNext w:val="0"/>
              <w:keepLines w:val="0"/>
              <w:numPr>
                <w:ilvl w:val="0"/>
                <w:numId w:val="0"/>
              </w:numPr>
              <w:suppressLineNumbers w:val="0"/>
              <w:autoSpaceDE w:val="0"/>
              <w:spacing w:before="0" w:beforeAutospacing="0" w:after="0" w:afterAutospacing="0" w:line="360" w:lineRule="auto"/>
              <w:ind w:left="0" w:right="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kern w:val="2"/>
                <w:sz w:val="24"/>
                <w:szCs w:val="24"/>
                <w:lang w:val="en-US" w:eastAsia="zh-CN" w:bidi="ar-SA"/>
              </w:rPr>
              <w:t>7、</w:t>
            </w:r>
            <w:r>
              <w:rPr>
                <w:rFonts w:hint="default" w:ascii="Times New Roman" w:hAnsi="Times New Roman" w:eastAsia="宋体" w:cs="Times New Roman"/>
                <w:b/>
                <w:bCs/>
                <w:color w:val="auto"/>
                <w:sz w:val="24"/>
                <w:highlight w:val="none"/>
              </w:rPr>
              <w:t>环境风险</w:t>
            </w:r>
          </w:p>
          <w:p w14:paraId="715C4F6F">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（1）风险调查</w:t>
            </w:r>
          </w:p>
          <w:p w14:paraId="43DC349A">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建设项目主要环境风险物质分布存储情况见下表。</w:t>
            </w:r>
          </w:p>
          <w:p w14:paraId="04C13EFE">
            <w:pPr>
              <w:keepNext w:val="0"/>
              <w:keepLines w:val="0"/>
              <w:widowControl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bCs/>
                <w:color w:val="auto"/>
                <w:kern w:val="2"/>
                <w:sz w:val="24"/>
                <w:szCs w:val="20"/>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表4-</w:t>
            </w:r>
            <w:r>
              <w:rPr>
                <w:rFonts w:hint="eastAsia" w:ascii="Times New Roman" w:hAnsi="Times New Roman" w:eastAsia="宋体" w:cs="Times New Roman"/>
                <w:b/>
                <w:bCs/>
                <w:color w:val="auto"/>
                <w:kern w:val="2"/>
                <w:sz w:val="24"/>
                <w:szCs w:val="24"/>
                <w:highlight w:val="none"/>
                <w:lang w:val="en-US" w:eastAsia="zh-CN" w:bidi="ar-SA"/>
              </w:rPr>
              <w:t>31  本项目</w:t>
            </w:r>
            <w:r>
              <w:rPr>
                <w:rFonts w:hint="default" w:ascii="Times New Roman" w:hAnsi="Times New Roman" w:eastAsia="宋体" w:cs="Times New Roman"/>
                <w:b/>
                <w:bCs/>
                <w:color w:val="auto"/>
                <w:kern w:val="2"/>
                <w:sz w:val="24"/>
                <w:szCs w:val="20"/>
                <w:highlight w:val="none"/>
                <w:lang w:val="en-US" w:eastAsia="zh-CN" w:bidi="ar-SA"/>
              </w:rPr>
              <w:t>涉及的主要危险物质及其数量</w:t>
            </w:r>
          </w:p>
          <w:tbl>
            <w:tblPr>
              <w:tblStyle w:val="25"/>
              <w:tblW w:w="48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1990"/>
              <w:gridCol w:w="1189"/>
              <w:gridCol w:w="2117"/>
              <w:gridCol w:w="1082"/>
              <w:gridCol w:w="1214"/>
            </w:tblGrid>
            <w:tr w14:paraId="62428C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2" w:type="pct"/>
                  <w:tcBorders>
                    <w:tl2br w:val="nil"/>
                    <w:tr2bl w:val="nil"/>
                  </w:tcBorders>
                  <w:vAlign w:val="center"/>
                </w:tcPr>
                <w:p w14:paraId="3D3F7FB0">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编号</w:t>
                  </w:r>
                </w:p>
              </w:tc>
              <w:tc>
                <w:tcPr>
                  <w:tcW w:w="1205" w:type="pct"/>
                  <w:tcBorders>
                    <w:tl2br w:val="nil"/>
                    <w:tr2bl w:val="nil"/>
                  </w:tcBorders>
                  <w:vAlign w:val="center"/>
                </w:tcPr>
                <w:p w14:paraId="344CCB2A">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名称</w:t>
                  </w:r>
                </w:p>
              </w:tc>
              <w:tc>
                <w:tcPr>
                  <w:tcW w:w="720" w:type="pct"/>
                  <w:tcBorders>
                    <w:tl2br w:val="nil"/>
                    <w:tr2bl w:val="nil"/>
                  </w:tcBorders>
                  <w:vAlign w:val="center"/>
                </w:tcPr>
                <w:p w14:paraId="3884DBC2">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分布情况</w:t>
                  </w:r>
                </w:p>
              </w:tc>
              <w:tc>
                <w:tcPr>
                  <w:tcW w:w="1282" w:type="pct"/>
                  <w:tcBorders>
                    <w:tl2br w:val="nil"/>
                    <w:tr2bl w:val="nil"/>
                  </w:tcBorders>
                  <w:vAlign w:val="center"/>
                </w:tcPr>
                <w:p w14:paraId="3EEBF72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单元最大储存量+在线量（t）qn</w:t>
                  </w:r>
                </w:p>
              </w:tc>
              <w:tc>
                <w:tcPr>
                  <w:tcW w:w="654" w:type="pct"/>
                  <w:tcBorders>
                    <w:tl2br w:val="nil"/>
                    <w:tr2bl w:val="nil"/>
                  </w:tcBorders>
                  <w:vAlign w:val="center"/>
                </w:tcPr>
                <w:p w14:paraId="3235F40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临界量（t）Qn</w:t>
                  </w:r>
                </w:p>
              </w:tc>
              <w:tc>
                <w:tcPr>
                  <w:tcW w:w="735" w:type="pct"/>
                  <w:tcBorders>
                    <w:tl2br w:val="nil"/>
                    <w:tr2bl w:val="nil"/>
                  </w:tcBorders>
                  <w:vAlign w:val="center"/>
                </w:tcPr>
                <w:p w14:paraId="41CB513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qn/Qn</w:t>
                  </w:r>
                </w:p>
              </w:tc>
            </w:tr>
            <w:tr w14:paraId="3E3AB4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tcBorders>
                    <w:tl2br w:val="nil"/>
                    <w:tr2bl w:val="nil"/>
                  </w:tcBorders>
                  <w:vAlign w:val="bottom"/>
                </w:tcPr>
                <w:p w14:paraId="7A4D74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1205" w:type="pct"/>
                  <w:tcBorders>
                    <w:tl2br w:val="nil"/>
                    <w:tr2bl w:val="nil"/>
                  </w:tcBorders>
                  <w:vAlign w:val="center"/>
                </w:tcPr>
                <w:p w14:paraId="3D30B5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Cs w:val="21"/>
                      <w:highlight w:val="none"/>
                      <w:lang w:val="en-US" w:eastAsia="zh-CN"/>
                    </w:rPr>
                  </w:pPr>
                  <w:r>
                    <w:rPr>
                      <w:rFonts w:hint="default" w:ascii="Times New Roman" w:hAnsi="Times New Roman" w:eastAsia="等线" w:cs="Times New Roman"/>
                      <w:i w:val="0"/>
                      <w:iCs w:val="0"/>
                      <w:color w:val="000000"/>
                      <w:kern w:val="0"/>
                      <w:sz w:val="21"/>
                      <w:szCs w:val="21"/>
                      <w:u w:val="none"/>
                      <w:lang w:val="en-US" w:eastAsia="zh-CN" w:bidi="ar"/>
                    </w:rPr>
                    <w:t>75%</w:t>
                  </w:r>
                  <w:r>
                    <w:rPr>
                      <w:rFonts w:hint="eastAsia" w:ascii="宋体" w:hAnsi="宋体" w:eastAsia="宋体" w:cs="宋体"/>
                      <w:i w:val="0"/>
                      <w:iCs w:val="0"/>
                      <w:color w:val="000000"/>
                      <w:kern w:val="0"/>
                      <w:sz w:val="21"/>
                      <w:szCs w:val="21"/>
                      <w:u w:val="none"/>
                      <w:lang w:val="en-US" w:eastAsia="zh-CN" w:bidi="ar"/>
                    </w:rPr>
                    <w:t>消毒酒精</w:t>
                  </w:r>
                </w:p>
              </w:tc>
              <w:tc>
                <w:tcPr>
                  <w:tcW w:w="720" w:type="pct"/>
                  <w:vMerge w:val="restart"/>
                  <w:tcBorders>
                    <w:tl2br w:val="nil"/>
                    <w:tr2bl w:val="nil"/>
                  </w:tcBorders>
                  <w:vAlign w:val="center"/>
                </w:tcPr>
                <w:p w14:paraId="329903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原料仓库</w:t>
                  </w:r>
                </w:p>
              </w:tc>
              <w:tc>
                <w:tcPr>
                  <w:tcW w:w="1282" w:type="pct"/>
                  <w:tcBorders>
                    <w:tl2br w:val="nil"/>
                    <w:tr2bl w:val="nil"/>
                  </w:tcBorders>
                  <w:vAlign w:val="center"/>
                </w:tcPr>
                <w:p w14:paraId="650841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0.0005</w:t>
                  </w:r>
                </w:p>
              </w:tc>
              <w:tc>
                <w:tcPr>
                  <w:tcW w:w="654" w:type="pct"/>
                  <w:tcBorders>
                    <w:tl2br w:val="nil"/>
                    <w:tr2bl w:val="nil"/>
                  </w:tcBorders>
                  <w:vAlign w:val="center"/>
                </w:tcPr>
                <w:p w14:paraId="7AA9BB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6666.67</w:t>
                  </w:r>
                </w:p>
              </w:tc>
              <w:tc>
                <w:tcPr>
                  <w:tcW w:w="735" w:type="pct"/>
                  <w:tcBorders>
                    <w:tl2br w:val="nil"/>
                    <w:tr2bl w:val="nil"/>
                  </w:tcBorders>
                  <w:vAlign w:val="bottom"/>
                </w:tcPr>
                <w:p w14:paraId="45E952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0.00000007</w:t>
                  </w:r>
                </w:p>
              </w:tc>
            </w:tr>
            <w:tr w14:paraId="488BDD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tcBorders>
                    <w:tl2br w:val="nil"/>
                    <w:tr2bl w:val="nil"/>
                  </w:tcBorders>
                  <w:vAlign w:val="center"/>
                </w:tcPr>
                <w:p w14:paraId="27053A2E">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p>
              </w:tc>
              <w:tc>
                <w:tcPr>
                  <w:tcW w:w="1205" w:type="pct"/>
                  <w:tcBorders>
                    <w:tl2br w:val="nil"/>
                    <w:tr2bl w:val="nil"/>
                  </w:tcBorders>
                  <w:vAlign w:val="center"/>
                </w:tcPr>
                <w:p w14:paraId="676026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二甲基亚砜</w:t>
                  </w:r>
                </w:p>
              </w:tc>
              <w:tc>
                <w:tcPr>
                  <w:tcW w:w="720" w:type="pct"/>
                  <w:vMerge w:val="continue"/>
                  <w:tcBorders>
                    <w:tl2br w:val="nil"/>
                    <w:tr2bl w:val="nil"/>
                  </w:tcBorders>
                  <w:vAlign w:val="center"/>
                </w:tcPr>
                <w:p w14:paraId="6874BBD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highlight w:val="none"/>
                      <w:lang w:val="en-US" w:eastAsia="zh-CN"/>
                    </w:rPr>
                  </w:pPr>
                </w:p>
              </w:tc>
              <w:tc>
                <w:tcPr>
                  <w:tcW w:w="1282" w:type="pct"/>
                  <w:tcBorders>
                    <w:tl2br w:val="nil"/>
                    <w:tr2bl w:val="nil"/>
                  </w:tcBorders>
                  <w:vAlign w:val="center"/>
                </w:tcPr>
                <w:p w14:paraId="062453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0.0001</w:t>
                  </w:r>
                </w:p>
              </w:tc>
              <w:tc>
                <w:tcPr>
                  <w:tcW w:w="654" w:type="pct"/>
                  <w:tcBorders>
                    <w:tl2br w:val="nil"/>
                    <w:tr2bl w:val="nil"/>
                  </w:tcBorders>
                  <w:vAlign w:val="center"/>
                </w:tcPr>
                <w:p w14:paraId="2B7300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5000</w:t>
                  </w:r>
                </w:p>
              </w:tc>
              <w:tc>
                <w:tcPr>
                  <w:tcW w:w="735" w:type="pct"/>
                  <w:tcBorders>
                    <w:tl2br w:val="nil"/>
                    <w:tr2bl w:val="nil"/>
                  </w:tcBorders>
                  <w:vAlign w:val="bottom"/>
                </w:tcPr>
                <w:p w14:paraId="39DA62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0.00000002</w:t>
                  </w:r>
                </w:p>
              </w:tc>
            </w:tr>
            <w:tr w14:paraId="4F5B8E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tcBorders>
                    <w:tl2br w:val="nil"/>
                    <w:tr2bl w:val="nil"/>
                  </w:tcBorders>
                  <w:vAlign w:val="center"/>
                </w:tcPr>
                <w:p w14:paraId="28DE0CBB">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w:t>
                  </w:r>
                </w:p>
              </w:tc>
              <w:tc>
                <w:tcPr>
                  <w:tcW w:w="1205" w:type="pct"/>
                  <w:tcBorders>
                    <w:tl2br w:val="nil"/>
                    <w:tr2bl w:val="nil"/>
                  </w:tcBorders>
                  <w:vAlign w:val="center"/>
                </w:tcPr>
                <w:p w14:paraId="4EB881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甲醇</w:t>
                  </w:r>
                </w:p>
              </w:tc>
              <w:tc>
                <w:tcPr>
                  <w:tcW w:w="720" w:type="pct"/>
                  <w:vMerge w:val="continue"/>
                  <w:tcBorders>
                    <w:tl2br w:val="nil"/>
                    <w:tr2bl w:val="nil"/>
                  </w:tcBorders>
                  <w:vAlign w:val="center"/>
                </w:tcPr>
                <w:p w14:paraId="159243C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highlight w:val="none"/>
                      <w:lang w:val="en-US" w:eastAsia="zh-CN"/>
                    </w:rPr>
                  </w:pPr>
                </w:p>
              </w:tc>
              <w:tc>
                <w:tcPr>
                  <w:tcW w:w="1282" w:type="pct"/>
                  <w:tcBorders>
                    <w:tl2br w:val="nil"/>
                    <w:tr2bl w:val="nil"/>
                  </w:tcBorders>
                  <w:vAlign w:val="center"/>
                </w:tcPr>
                <w:p w14:paraId="3A34E9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0.0004</w:t>
                  </w:r>
                </w:p>
              </w:tc>
              <w:tc>
                <w:tcPr>
                  <w:tcW w:w="654" w:type="pct"/>
                  <w:tcBorders>
                    <w:tl2br w:val="nil"/>
                    <w:tr2bl w:val="nil"/>
                  </w:tcBorders>
                  <w:vAlign w:val="center"/>
                </w:tcPr>
                <w:p w14:paraId="6C5D01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5000</w:t>
                  </w:r>
                </w:p>
              </w:tc>
              <w:tc>
                <w:tcPr>
                  <w:tcW w:w="735" w:type="pct"/>
                  <w:tcBorders>
                    <w:tl2br w:val="nil"/>
                    <w:tr2bl w:val="nil"/>
                  </w:tcBorders>
                  <w:vAlign w:val="bottom"/>
                </w:tcPr>
                <w:p w14:paraId="037BC7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0.00000008</w:t>
                  </w:r>
                </w:p>
              </w:tc>
            </w:tr>
            <w:tr w14:paraId="68176C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tcBorders>
                    <w:tl2br w:val="nil"/>
                    <w:tr2bl w:val="nil"/>
                  </w:tcBorders>
                  <w:vAlign w:val="center"/>
                </w:tcPr>
                <w:p w14:paraId="2E930280">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w:t>
                  </w:r>
                </w:p>
              </w:tc>
              <w:tc>
                <w:tcPr>
                  <w:tcW w:w="1205" w:type="pct"/>
                  <w:tcBorders>
                    <w:tl2br w:val="nil"/>
                    <w:tr2bl w:val="nil"/>
                  </w:tcBorders>
                  <w:vAlign w:val="center"/>
                </w:tcPr>
                <w:p w14:paraId="6B6620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无水乙醇</w:t>
                  </w:r>
                </w:p>
              </w:tc>
              <w:tc>
                <w:tcPr>
                  <w:tcW w:w="720" w:type="pct"/>
                  <w:vMerge w:val="continue"/>
                  <w:tcBorders>
                    <w:tl2br w:val="nil"/>
                    <w:tr2bl w:val="nil"/>
                  </w:tcBorders>
                  <w:vAlign w:val="center"/>
                </w:tcPr>
                <w:p w14:paraId="3DD6A0B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highlight w:val="none"/>
                      <w:lang w:val="en-US" w:eastAsia="zh-CN"/>
                    </w:rPr>
                  </w:pPr>
                </w:p>
              </w:tc>
              <w:tc>
                <w:tcPr>
                  <w:tcW w:w="1282" w:type="pct"/>
                  <w:tcBorders>
                    <w:tl2br w:val="nil"/>
                    <w:tr2bl w:val="nil"/>
                  </w:tcBorders>
                  <w:vAlign w:val="center"/>
                </w:tcPr>
                <w:p w14:paraId="758F38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0.0004</w:t>
                  </w:r>
                </w:p>
              </w:tc>
              <w:tc>
                <w:tcPr>
                  <w:tcW w:w="654" w:type="pct"/>
                  <w:tcBorders>
                    <w:tl2br w:val="nil"/>
                    <w:tr2bl w:val="nil"/>
                  </w:tcBorders>
                  <w:vAlign w:val="center"/>
                </w:tcPr>
                <w:p w14:paraId="3D0A18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5000</w:t>
                  </w:r>
                </w:p>
              </w:tc>
              <w:tc>
                <w:tcPr>
                  <w:tcW w:w="735" w:type="pct"/>
                  <w:tcBorders>
                    <w:tl2br w:val="nil"/>
                    <w:tr2bl w:val="nil"/>
                  </w:tcBorders>
                  <w:vAlign w:val="bottom"/>
                </w:tcPr>
                <w:p w14:paraId="3F3F05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0.00000008</w:t>
                  </w:r>
                </w:p>
              </w:tc>
            </w:tr>
            <w:tr w14:paraId="0CD654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tcBorders>
                    <w:tl2br w:val="nil"/>
                    <w:tr2bl w:val="nil"/>
                  </w:tcBorders>
                  <w:vAlign w:val="center"/>
                </w:tcPr>
                <w:p w14:paraId="652D207F">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w:t>
                  </w:r>
                </w:p>
              </w:tc>
              <w:tc>
                <w:tcPr>
                  <w:tcW w:w="1205" w:type="pct"/>
                  <w:tcBorders>
                    <w:tl2br w:val="nil"/>
                    <w:tr2bl w:val="nil"/>
                  </w:tcBorders>
                  <w:vAlign w:val="center"/>
                </w:tcPr>
                <w:p w14:paraId="3B364F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异丙醇</w:t>
                  </w:r>
                </w:p>
              </w:tc>
              <w:tc>
                <w:tcPr>
                  <w:tcW w:w="720" w:type="pct"/>
                  <w:vMerge w:val="continue"/>
                  <w:tcBorders>
                    <w:tl2br w:val="nil"/>
                    <w:tr2bl w:val="nil"/>
                  </w:tcBorders>
                  <w:vAlign w:val="center"/>
                </w:tcPr>
                <w:p w14:paraId="0F59940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highlight w:val="none"/>
                      <w:lang w:val="en-US" w:eastAsia="zh-CN"/>
                    </w:rPr>
                  </w:pPr>
                </w:p>
              </w:tc>
              <w:tc>
                <w:tcPr>
                  <w:tcW w:w="1282" w:type="pct"/>
                  <w:tcBorders>
                    <w:tl2br w:val="nil"/>
                    <w:tr2bl w:val="nil"/>
                  </w:tcBorders>
                  <w:vAlign w:val="center"/>
                </w:tcPr>
                <w:p w14:paraId="54F3D2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0.0005</w:t>
                  </w:r>
                </w:p>
              </w:tc>
              <w:tc>
                <w:tcPr>
                  <w:tcW w:w="654" w:type="pct"/>
                  <w:tcBorders>
                    <w:tl2br w:val="nil"/>
                    <w:tr2bl w:val="nil"/>
                  </w:tcBorders>
                  <w:vAlign w:val="center"/>
                </w:tcPr>
                <w:p w14:paraId="08E8ED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5000</w:t>
                  </w:r>
                </w:p>
              </w:tc>
              <w:tc>
                <w:tcPr>
                  <w:tcW w:w="735" w:type="pct"/>
                  <w:tcBorders>
                    <w:tl2br w:val="nil"/>
                    <w:tr2bl w:val="nil"/>
                  </w:tcBorders>
                  <w:vAlign w:val="bottom"/>
                </w:tcPr>
                <w:p w14:paraId="3F320D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0.0000001</w:t>
                  </w:r>
                </w:p>
              </w:tc>
            </w:tr>
            <w:tr w14:paraId="3B3EF9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tcBorders>
                    <w:tl2br w:val="nil"/>
                    <w:tr2bl w:val="nil"/>
                  </w:tcBorders>
                  <w:vAlign w:val="center"/>
                </w:tcPr>
                <w:p w14:paraId="2BCFC8F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w:t>
                  </w:r>
                </w:p>
              </w:tc>
              <w:tc>
                <w:tcPr>
                  <w:tcW w:w="1205" w:type="pct"/>
                  <w:tcBorders>
                    <w:tl2br w:val="nil"/>
                    <w:tr2bl w:val="nil"/>
                  </w:tcBorders>
                  <w:vAlign w:val="center"/>
                </w:tcPr>
                <w:p w14:paraId="10BB35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实验废液</w:t>
                  </w:r>
                </w:p>
              </w:tc>
              <w:tc>
                <w:tcPr>
                  <w:tcW w:w="720" w:type="pct"/>
                  <w:vMerge w:val="restart"/>
                  <w:tcBorders>
                    <w:tl2br w:val="nil"/>
                    <w:tr2bl w:val="nil"/>
                  </w:tcBorders>
                  <w:vAlign w:val="center"/>
                </w:tcPr>
                <w:p w14:paraId="20A4928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危废间</w:t>
                  </w:r>
                </w:p>
              </w:tc>
              <w:tc>
                <w:tcPr>
                  <w:tcW w:w="1282" w:type="pct"/>
                  <w:tcBorders>
                    <w:tl2br w:val="nil"/>
                    <w:tr2bl w:val="nil"/>
                  </w:tcBorders>
                  <w:vAlign w:val="center"/>
                </w:tcPr>
                <w:p w14:paraId="7C568A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p>
              </w:tc>
              <w:tc>
                <w:tcPr>
                  <w:tcW w:w="654" w:type="pct"/>
                  <w:tcBorders>
                    <w:tl2br w:val="nil"/>
                    <w:tr2bl w:val="nil"/>
                  </w:tcBorders>
                  <w:vAlign w:val="center"/>
                </w:tcPr>
                <w:p w14:paraId="513002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p>
              </w:tc>
              <w:tc>
                <w:tcPr>
                  <w:tcW w:w="1214" w:type="dxa"/>
                  <w:tcBorders>
                    <w:tl2br w:val="nil"/>
                    <w:tr2bl w:val="nil"/>
                  </w:tcBorders>
                  <w:vAlign w:val="center"/>
                </w:tcPr>
                <w:p w14:paraId="7080673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0062F1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tcBorders>
                    <w:tl2br w:val="nil"/>
                    <w:tr2bl w:val="nil"/>
                  </w:tcBorders>
                  <w:vAlign w:val="center"/>
                </w:tcPr>
                <w:p w14:paraId="2BA3511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7</w:t>
                  </w:r>
                </w:p>
              </w:tc>
              <w:tc>
                <w:tcPr>
                  <w:tcW w:w="1205" w:type="pct"/>
                  <w:tcBorders>
                    <w:tl2br w:val="nil"/>
                    <w:tr2bl w:val="nil"/>
                  </w:tcBorders>
                  <w:vAlign w:val="center"/>
                </w:tcPr>
                <w:p w14:paraId="24BA1F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废化学品包装</w:t>
                  </w:r>
                </w:p>
              </w:tc>
              <w:tc>
                <w:tcPr>
                  <w:tcW w:w="720" w:type="pct"/>
                  <w:vMerge w:val="continue"/>
                  <w:tcBorders>
                    <w:tl2br w:val="nil"/>
                    <w:tr2bl w:val="nil"/>
                  </w:tcBorders>
                  <w:vAlign w:val="center"/>
                </w:tcPr>
                <w:p w14:paraId="0C5D2A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282" w:type="pct"/>
                  <w:tcBorders>
                    <w:tl2br w:val="nil"/>
                    <w:tr2bl w:val="nil"/>
                  </w:tcBorders>
                  <w:vAlign w:val="center"/>
                </w:tcPr>
                <w:p w14:paraId="2E06E5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54" w:type="pct"/>
                  <w:tcBorders>
                    <w:tl2br w:val="nil"/>
                    <w:tr2bl w:val="nil"/>
                  </w:tcBorders>
                  <w:vAlign w:val="center"/>
                </w:tcPr>
                <w:p w14:paraId="2BF897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p>
              </w:tc>
              <w:tc>
                <w:tcPr>
                  <w:tcW w:w="1214" w:type="dxa"/>
                  <w:tcBorders>
                    <w:tl2br w:val="nil"/>
                    <w:tr2bl w:val="nil"/>
                  </w:tcBorders>
                  <w:vAlign w:val="center"/>
                </w:tcPr>
                <w:p w14:paraId="24F468E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085D66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tcBorders>
                    <w:tl2br w:val="nil"/>
                    <w:tr2bl w:val="nil"/>
                  </w:tcBorders>
                  <w:vAlign w:val="center"/>
                </w:tcPr>
                <w:p w14:paraId="7EE5427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w:t>
                  </w:r>
                </w:p>
              </w:tc>
              <w:tc>
                <w:tcPr>
                  <w:tcW w:w="1205" w:type="pct"/>
                  <w:tcBorders>
                    <w:tl2br w:val="nil"/>
                    <w:tr2bl w:val="nil"/>
                  </w:tcBorders>
                  <w:vAlign w:val="center"/>
                </w:tcPr>
                <w:p w14:paraId="701DF9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废实验耗材</w:t>
                  </w:r>
                </w:p>
              </w:tc>
              <w:tc>
                <w:tcPr>
                  <w:tcW w:w="720" w:type="pct"/>
                  <w:vMerge w:val="continue"/>
                  <w:tcBorders>
                    <w:tl2br w:val="nil"/>
                    <w:tr2bl w:val="nil"/>
                  </w:tcBorders>
                  <w:vAlign w:val="center"/>
                </w:tcPr>
                <w:p w14:paraId="3D5953C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282" w:type="pct"/>
                  <w:tcBorders>
                    <w:tl2br w:val="nil"/>
                    <w:tr2bl w:val="nil"/>
                  </w:tcBorders>
                  <w:vAlign w:val="center"/>
                </w:tcPr>
                <w:p w14:paraId="5920F4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54" w:type="pct"/>
                  <w:tcBorders>
                    <w:tl2br w:val="nil"/>
                    <w:tr2bl w:val="nil"/>
                  </w:tcBorders>
                  <w:vAlign w:val="center"/>
                </w:tcPr>
                <w:p w14:paraId="640DD2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p>
              </w:tc>
              <w:tc>
                <w:tcPr>
                  <w:tcW w:w="1214" w:type="dxa"/>
                  <w:tcBorders>
                    <w:tl2br w:val="nil"/>
                    <w:tr2bl w:val="nil"/>
                  </w:tcBorders>
                  <w:vAlign w:val="center"/>
                </w:tcPr>
                <w:p w14:paraId="5B92C8E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051C5A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tcBorders>
                    <w:tl2br w:val="nil"/>
                    <w:tr2bl w:val="nil"/>
                  </w:tcBorders>
                  <w:vAlign w:val="center"/>
                </w:tcPr>
                <w:p w14:paraId="2344170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9</w:t>
                  </w:r>
                </w:p>
              </w:tc>
              <w:tc>
                <w:tcPr>
                  <w:tcW w:w="1205" w:type="pct"/>
                  <w:tcBorders>
                    <w:tl2br w:val="nil"/>
                    <w:tr2bl w:val="nil"/>
                  </w:tcBorders>
                  <w:vAlign w:val="center"/>
                </w:tcPr>
                <w:p w14:paraId="16ECFC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废生物材料</w:t>
                  </w:r>
                </w:p>
              </w:tc>
              <w:tc>
                <w:tcPr>
                  <w:tcW w:w="720" w:type="pct"/>
                  <w:vMerge w:val="continue"/>
                  <w:tcBorders>
                    <w:tl2br w:val="nil"/>
                    <w:tr2bl w:val="nil"/>
                  </w:tcBorders>
                  <w:vAlign w:val="center"/>
                </w:tcPr>
                <w:p w14:paraId="396A867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282" w:type="pct"/>
                  <w:tcBorders>
                    <w:tl2br w:val="nil"/>
                    <w:tr2bl w:val="nil"/>
                  </w:tcBorders>
                  <w:vAlign w:val="center"/>
                </w:tcPr>
                <w:p w14:paraId="2785E8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54" w:type="pct"/>
                  <w:tcBorders>
                    <w:tl2br w:val="nil"/>
                    <w:tr2bl w:val="nil"/>
                  </w:tcBorders>
                  <w:vAlign w:val="center"/>
                </w:tcPr>
                <w:p w14:paraId="272C0E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p>
              </w:tc>
              <w:tc>
                <w:tcPr>
                  <w:tcW w:w="1214" w:type="dxa"/>
                  <w:tcBorders>
                    <w:tl2br w:val="nil"/>
                    <w:tr2bl w:val="nil"/>
                  </w:tcBorders>
                  <w:vAlign w:val="center"/>
                </w:tcPr>
                <w:p w14:paraId="483C270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74A8F2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tcBorders>
                    <w:tl2br w:val="nil"/>
                    <w:tr2bl w:val="nil"/>
                  </w:tcBorders>
                  <w:vAlign w:val="center"/>
                </w:tcPr>
                <w:p w14:paraId="507070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10</w:t>
                  </w:r>
                </w:p>
              </w:tc>
              <w:tc>
                <w:tcPr>
                  <w:tcW w:w="1205" w:type="pct"/>
                  <w:tcBorders>
                    <w:tl2br w:val="nil"/>
                    <w:tr2bl w:val="nil"/>
                  </w:tcBorders>
                  <w:vAlign w:val="center"/>
                </w:tcPr>
                <w:p w14:paraId="5EDF91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纯水制备废滤芯</w:t>
                  </w:r>
                </w:p>
              </w:tc>
              <w:tc>
                <w:tcPr>
                  <w:tcW w:w="720" w:type="pct"/>
                  <w:vMerge w:val="continue"/>
                  <w:tcBorders>
                    <w:tl2br w:val="nil"/>
                    <w:tr2bl w:val="nil"/>
                  </w:tcBorders>
                  <w:vAlign w:val="center"/>
                </w:tcPr>
                <w:p w14:paraId="6DF4F56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282" w:type="pct"/>
                  <w:tcBorders>
                    <w:tl2br w:val="nil"/>
                    <w:tr2bl w:val="nil"/>
                  </w:tcBorders>
                  <w:vAlign w:val="center"/>
                </w:tcPr>
                <w:p w14:paraId="344CA5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54" w:type="pct"/>
                  <w:tcBorders>
                    <w:tl2br w:val="nil"/>
                    <w:tr2bl w:val="nil"/>
                  </w:tcBorders>
                  <w:vAlign w:val="center"/>
                </w:tcPr>
                <w:p w14:paraId="0738F4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p>
              </w:tc>
              <w:tc>
                <w:tcPr>
                  <w:tcW w:w="1214" w:type="dxa"/>
                  <w:tcBorders>
                    <w:tl2br w:val="nil"/>
                    <w:tr2bl w:val="nil"/>
                  </w:tcBorders>
                  <w:vAlign w:val="center"/>
                </w:tcPr>
                <w:p w14:paraId="484AFCA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2095FD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tcBorders>
                    <w:tl2br w:val="nil"/>
                    <w:tr2bl w:val="nil"/>
                  </w:tcBorders>
                  <w:vAlign w:val="center"/>
                </w:tcPr>
                <w:p w14:paraId="73129BEA">
                  <w:pPr>
                    <w:keepNext w:val="0"/>
                    <w:keepLines w:val="0"/>
                    <w:widowControl/>
                    <w:suppressLineNumbers w:val="0"/>
                    <w:spacing w:before="0" w:beforeAutospacing="0" w:after="0" w:afterAutospacing="0"/>
                    <w:ind w:left="0" w:right="0"/>
                    <w:jc w:val="center"/>
                    <w:textAlignment w:val="center"/>
                    <w:rPr>
                      <w:rFonts w:hint="default" w:cs="Times New Roman"/>
                      <w:color w:val="auto"/>
                      <w:szCs w:val="21"/>
                      <w:highlight w:val="none"/>
                      <w:lang w:val="en-US" w:eastAsia="zh-CN"/>
                    </w:rPr>
                  </w:pPr>
                  <w:r>
                    <w:rPr>
                      <w:rFonts w:hint="eastAsia" w:cs="Times New Roman"/>
                      <w:color w:val="auto"/>
                      <w:szCs w:val="21"/>
                      <w:highlight w:val="none"/>
                      <w:lang w:val="en-US" w:eastAsia="zh-CN"/>
                    </w:rPr>
                    <w:t>11</w:t>
                  </w:r>
                </w:p>
              </w:tc>
              <w:tc>
                <w:tcPr>
                  <w:tcW w:w="1205" w:type="pct"/>
                  <w:tcBorders>
                    <w:tl2br w:val="nil"/>
                    <w:tr2bl w:val="nil"/>
                  </w:tcBorders>
                  <w:vAlign w:val="center"/>
                </w:tcPr>
                <w:p w14:paraId="2B7396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生物安全柜废滤芯</w:t>
                  </w:r>
                </w:p>
              </w:tc>
              <w:tc>
                <w:tcPr>
                  <w:tcW w:w="720" w:type="pct"/>
                  <w:vMerge w:val="continue"/>
                  <w:tcBorders>
                    <w:tl2br w:val="nil"/>
                    <w:tr2bl w:val="nil"/>
                  </w:tcBorders>
                  <w:vAlign w:val="center"/>
                </w:tcPr>
                <w:p w14:paraId="776B22C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282" w:type="pct"/>
                  <w:tcBorders>
                    <w:tl2br w:val="nil"/>
                    <w:tr2bl w:val="nil"/>
                  </w:tcBorders>
                  <w:vAlign w:val="center"/>
                </w:tcPr>
                <w:p w14:paraId="104F71D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654" w:type="pct"/>
                  <w:tcBorders>
                    <w:tl2br w:val="nil"/>
                    <w:tr2bl w:val="nil"/>
                  </w:tcBorders>
                  <w:vAlign w:val="center"/>
                </w:tcPr>
                <w:p w14:paraId="092EF0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p>
              </w:tc>
              <w:tc>
                <w:tcPr>
                  <w:tcW w:w="1214" w:type="dxa"/>
                  <w:tcBorders>
                    <w:tl2br w:val="nil"/>
                    <w:tr2bl w:val="nil"/>
                  </w:tcBorders>
                  <w:vAlign w:val="center"/>
                </w:tcPr>
                <w:p w14:paraId="70EA0535">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14:paraId="1E561C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tcBorders>
                    <w:tl2br w:val="nil"/>
                    <w:tr2bl w:val="nil"/>
                  </w:tcBorders>
                  <w:vAlign w:val="center"/>
                </w:tcPr>
                <w:p w14:paraId="10E5F7D6">
                  <w:pPr>
                    <w:keepNext w:val="0"/>
                    <w:keepLines w:val="0"/>
                    <w:widowControl/>
                    <w:suppressLineNumbers w:val="0"/>
                    <w:spacing w:before="0" w:beforeAutospacing="0" w:after="0" w:afterAutospacing="0"/>
                    <w:ind w:left="0" w:right="0"/>
                    <w:jc w:val="center"/>
                    <w:textAlignment w:val="center"/>
                    <w:rPr>
                      <w:rFonts w:hint="default" w:cs="Times New Roman"/>
                      <w:color w:val="auto"/>
                      <w:szCs w:val="21"/>
                      <w:highlight w:val="none"/>
                      <w:lang w:val="en-US" w:eastAsia="zh-CN"/>
                    </w:rPr>
                  </w:pPr>
                  <w:r>
                    <w:rPr>
                      <w:rFonts w:hint="eastAsia" w:cs="Times New Roman"/>
                      <w:color w:val="auto"/>
                      <w:szCs w:val="21"/>
                      <w:highlight w:val="none"/>
                      <w:lang w:val="en-US" w:eastAsia="zh-CN"/>
                    </w:rPr>
                    <w:t>12</w:t>
                  </w:r>
                </w:p>
              </w:tc>
              <w:tc>
                <w:tcPr>
                  <w:tcW w:w="1205" w:type="pct"/>
                  <w:tcBorders>
                    <w:tl2br w:val="nil"/>
                    <w:tr2bl w:val="nil"/>
                  </w:tcBorders>
                  <w:vAlign w:val="center"/>
                </w:tcPr>
                <w:p w14:paraId="59341D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蛋白纯化废滤芯</w:t>
                  </w:r>
                </w:p>
              </w:tc>
              <w:tc>
                <w:tcPr>
                  <w:tcW w:w="720" w:type="pct"/>
                  <w:vMerge w:val="continue"/>
                  <w:tcBorders>
                    <w:tl2br w:val="nil"/>
                    <w:tr2bl w:val="nil"/>
                  </w:tcBorders>
                  <w:vAlign w:val="center"/>
                </w:tcPr>
                <w:p w14:paraId="16FB0AD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282" w:type="pct"/>
                  <w:tcBorders>
                    <w:tl2br w:val="nil"/>
                    <w:tr2bl w:val="nil"/>
                  </w:tcBorders>
                  <w:vAlign w:val="center"/>
                </w:tcPr>
                <w:p w14:paraId="03AEC26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654" w:type="pct"/>
                  <w:tcBorders>
                    <w:tl2br w:val="nil"/>
                    <w:tr2bl w:val="nil"/>
                  </w:tcBorders>
                  <w:vAlign w:val="center"/>
                </w:tcPr>
                <w:p w14:paraId="050D47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p>
              </w:tc>
              <w:tc>
                <w:tcPr>
                  <w:tcW w:w="1214" w:type="dxa"/>
                  <w:tcBorders>
                    <w:tl2br w:val="nil"/>
                    <w:tr2bl w:val="nil"/>
                  </w:tcBorders>
                  <w:vAlign w:val="center"/>
                </w:tcPr>
                <w:p w14:paraId="1A2BFB1E">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14:paraId="028C4A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tcBorders>
                    <w:tl2br w:val="nil"/>
                    <w:tr2bl w:val="nil"/>
                  </w:tcBorders>
                  <w:vAlign w:val="center"/>
                </w:tcPr>
                <w:p w14:paraId="36201A4F">
                  <w:pPr>
                    <w:keepNext w:val="0"/>
                    <w:keepLines w:val="0"/>
                    <w:widowControl/>
                    <w:suppressLineNumbers w:val="0"/>
                    <w:spacing w:before="0" w:beforeAutospacing="0" w:after="0" w:afterAutospacing="0"/>
                    <w:ind w:left="0" w:right="0"/>
                    <w:jc w:val="center"/>
                    <w:textAlignment w:val="center"/>
                    <w:rPr>
                      <w:rFonts w:hint="default" w:cs="Times New Roman"/>
                      <w:color w:val="auto"/>
                      <w:szCs w:val="21"/>
                      <w:highlight w:val="none"/>
                      <w:lang w:val="en-US" w:eastAsia="zh-CN"/>
                    </w:rPr>
                  </w:pPr>
                  <w:r>
                    <w:rPr>
                      <w:rFonts w:hint="eastAsia" w:cs="Times New Roman"/>
                      <w:color w:val="auto"/>
                      <w:szCs w:val="21"/>
                      <w:highlight w:val="none"/>
                      <w:lang w:val="en-US" w:eastAsia="zh-CN"/>
                    </w:rPr>
                    <w:t>13</w:t>
                  </w:r>
                </w:p>
              </w:tc>
              <w:tc>
                <w:tcPr>
                  <w:tcW w:w="1205" w:type="pct"/>
                  <w:tcBorders>
                    <w:tl2br w:val="nil"/>
                    <w:tr2bl w:val="nil"/>
                  </w:tcBorders>
                  <w:vAlign w:val="center"/>
                </w:tcPr>
                <w:p w14:paraId="7E2219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废活性炭</w:t>
                  </w:r>
                </w:p>
              </w:tc>
              <w:tc>
                <w:tcPr>
                  <w:tcW w:w="720" w:type="pct"/>
                  <w:vMerge w:val="continue"/>
                  <w:tcBorders>
                    <w:tl2br w:val="nil"/>
                    <w:tr2bl w:val="nil"/>
                  </w:tcBorders>
                  <w:vAlign w:val="center"/>
                </w:tcPr>
                <w:p w14:paraId="6A5B47D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282" w:type="pct"/>
                  <w:tcBorders>
                    <w:tl2br w:val="nil"/>
                    <w:tr2bl w:val="nil"/>
                  </w:tcBorders>
                  <w:vAlign w:val="center"/>
                </w:tcPr>
                <w:p w14:paraId="1EC07D0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654" w:type="pct"/>
                  <w:tcBorders>
                    <w:tl2br w:val="nil"/>
                    <w:tr2bl w:val="nil"/>
                  </w:tcBorders>
                  <w:vAlign w:val="center"/>
                </w:tcPr>
                <w:p w14:paraId="189024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p>
              </w:tc>
              <w:tc>
                <w:tcPr>
                  <w:tcW w:w="1214" w:type="dxa"/>
                  <w:tcBorders>
                    <w:tl2br w:val="nil"/>
                    <w:tr2bl w:val="nil"/>
                  </w:tcBorders>
                  <w:vAlign w:val="center"/>
                </w:tcPr>
                <w:p w14:paraId="2B208763">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14:paraId="7B2B23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4" w:type="pct"/>
                  <w:gridSpan w:val="5"/>
                  <w:tcBorders>
                    <w:tl2br w:val="nil"/>
                    <w:tr2bl w:val="nil"/>
                  </w:tcBorders>
                  <w:vAlign w:val="center"/>
                </w:tcPr>
                <w:p w14:paraId="4CBECD53">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highlight w:val="none"/>
                    </w:rPr>
                    <w:t>∑qn/Qn</w:t>
                  </w:r>
                </w:p>
              </w:tc>
              <w:tc>
                <w:tcPr>
                  <w:tcW w:w="735" w:type="pct"/>
                  <w:tcBorders>
                    <w:tl2br w:val="nil"/>
                    <w:tr2bl w:val="nil"/>
                  </w:tcBorders>
                  <w:vAlign w:val="bottom"/>
                </w:tcPr>
                <w:p w14:paraId="678D29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bl>
          <w:p w14:paraId="4288D321">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szCs w:val="16"/>
                <w:highlight w:val="none"/>
              </w:rPr>
            </w:pPr>
            <w:r>
              <w:rPr>
                <w:rFonts w:hint="default" w:ascii="Times New Roman" w:hAnsi="Times New Roman" w:eastAsia="宋体" w:cs="Times New Roman"/>
                <w:color w:val="auto"/>
                <w:szCs w:val="16"/>
                <w:highlight w:val="none"/>
              </w:rPr>
              <w:t>*表示该物质临界值参考危害水环境物质临界值。</w:t>
            </w:r>
          </w:p>
          <w:p w14:paraId="1528E87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由上表可知，本项目Q&lt;1，环境风险潜势为Ⅰ，仅开展简单分析。</w:t>
            </w:r>
          </w:p>
          <w:p w14:paraId="34565E96">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（2）环境风险识别</w:t>
            </w:r>
          </w:p>
          <w:p w14:paraId="16BE2BF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highlight w:val="none"/>
              </w:rPr>
              <w:t>本项目主要危险物质环境风险识别见下表：</w:t>
            </w:r>
          </w:p>
          <w:p w14:paraId="6A96C064">
            <w:pPr>
              <w:keepNext w:val="0"/>
              <w:keepLines w:val="0"/>
              <w:widowControl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bCs/>
                <w:color w:val="auto"/>
                <w:kern w:val="2"/>
                <w:sz w:val="24"/>
                <w:szCs w:val="24"/>
                <w:lang w:val="en-US" w:eastAsia="zh-CN" w:bidi="ar-SA"/>
              </w:rPr>
            </w:pPr>
          </w:p>
          <w:p w14:paraId="547296DE">
            <w:pPr>
              <w:keepNext w:val="0"/>
              <w:keepLines w:val="0"/>
              <w:widowControl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bCs/>
                <w:color w:val="auto"/>
                <w:kern w:val="2"/>
                <w:sz w:val="24"/>
                <w:szCs w:val="24"/>
                <w:lang w:val="en-US" w:eastAsia="zh-CN" w:bidi="ar-SA"/>
              </w:rPr>
            </w:pPr>
          </w:p>
          <w:p w14:paraId="5CFB73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
                <w:bCs/>
                <w:color w:val="auto"/>
                <w:sz w:val="24"/>
                <w:highlight w:val="none"/>
              </w:rPr>
            </w:pPr>
            <w:r>
              <w:rPr>
                <w:rFonts w:hint="default"/>
                <w:b/>
                <w:bCs/>
                <w:color w:val="auto"/>
                <w:sz w:val="24"/>
                <w:highlight w:val="none"/>
              </w:rPr>
              <w:t>表</w:t>
            </w:r>
            <w:r>
              <w:rPr>
                <w:rFonts w:hint="eastAsia"/>
                <w:b/>
                <w:bCs/>
                <w:color w:val="auto"/>
                <w:sz w:val="24"/>
                <w:highlight w:val="none"/>
              </w:rPr>
              <w:t>4</w:t>
            </w:r>
            <w:r>
              <w:rPr>
                <w:rFonts w:hint="default"/>
                <w:b/>
                <w:bCs/>
                <w:color w:val="auto"/>
                <w:sz w:val="24"/>
                <w:highlight w:val="none"/>
              </w:rPr>
              <w:t>-</w:t>
            </w:r>
            <w:r>
              <w:rPr>
                <w:rFonts w:hint="eastAsia"/>
                <w:b/>
                <w:bCs/>
                <w:color w:val="auto"/>
                <w:sz w:val="24"/>
                <w:highlight w:val="none"/>
                <w:lang w:val="en-US" w:eastAsia="zh-CN"/>
              </w:rPr>
              <w:t>20</w:t>
            </w:r>
            <w:r>
              <w:rPr>
                <w:rFonts w:hint="default"/>
                <w:b/>
                <w:bCs/>
                <w:color w:val="auto"/>
                <w:sz w:val="24"/>
                <w:highlight w:val="none"/>
              </w:rPr>
              <w:t xml:space="preserve">  本项目涉及的主要危险物质环境风险识别</w:t>
            </w:r>
          </w:p>
          <w:tbl>
            <w:tblPr>
              <w:tblStyle w:val="25"/>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61"/>
              <w:gridCol w:w="2584"/>
              <w:gridCol w:w="2225"/>
              <w:gridCol w:w="2360"/>
            </w:tblGrid>
            <w:tr w14:paraId="250A49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48" w:type="pct"/>
                  <w:noWrap w:val="0"/>
                  <w:vAlign w:val="center"/>
                </w:tcPr>
                <w:p w14:paraId="383483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
                      <w:bCs/>
                      <w:color w:val="auto"/>
                      <w:sz w:val="21"/>
                      <w:szCs w:val="21"/>
                      <w:highlight w:val="none"/>
                    </w:rPr>
                  </w:pPr>
                  <w:r>
                    <w:rPr>
                      <w:rFonts w:hint="default"/>
                      <w:b/>
                      <w:bCs/>
                      <w:color w:val="auto"/>
                      <w:sz w:val="21"/>
                      <w:szCs w:val="21"/>
                      <w:highlight w:val="none"/>
                    </w:rPr>
                    <w:t>风险单元</w:t>
                  </w:r>
                </w:p>
              </w:tc>
              <w:tc>
                <w:tcPr>
                  <w:tcW w:w="1532" w:type="pct"/>
                  <w:noWrap w:val="0"/>
                  <w:vAlign w:val="center"/>
                </w:tcPr>
                <w:p w14:paraId="3DCBAE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
                      <w:bCs/>
                      <w:color w:val="auto"/>
                      <w:sz w:val="21"/>
                      <w:szCs w:val="21"/>
                      <w:highlight w:val="none"/>
                    </w:rPr>
                  </w:pPr>
                  <w:r>
                    <w:rPr>
                      <w:rFonts w:hint="default"/>
                      <w:b/>
                      <w:bCs/>
                      <w:color w:val="auto"/>
                      <w:sz w:val="21"/>
                      <w:szCs w:val="21"/>
                      <w:highlight w:val="none"/>
                    </w:rPr>
                    <w:t>涉及风险物质</w:t>
                  </w:r>
                </w:p>
              </w:tc>
              <w:tc>
                <w:tcPr>
                  <w:tcW w:w="1319" w:type="pct"/>
                  <w:noWrap w:val="0"/>
                  <w:vAlign w:val="center"/>
                </w:tcPr>
                <w:p w14:paraId="536CF1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
                      <w:bCs/>
                      <w:color w:val="auto"/>
                      <w:sz w:val="21"/>
                      <w:szCs w:val="21"/>
                      <w:highlight w:val="none"/>
                    </w:rPr>
                  </w:pPr>
                  <w:r>
                    <w:rPr>
                      <w:rFonts w:hint="eastAsia"/>
                      <w:b/>
                      <w:bCs/>
                      <w:color w:val="auto"/>
                      <w:sz w:val="21"/>
                      <w:szCs w:val="21"/>
                      <w:highlight w:val="none"/>
                    </w:rPr>
                    <w:t>环境</w:t>
                  </w:r>
                  <w:r>
                    <w:rPr>
                      <w:rFonts w:hint="default"/>
                      <w:b/>
                      <w:bCs/>
                      <w:color w:val="auto"/>
                      <w:sz w:val="21"/>
                      <w:szCs w:val="21"/>
                      <w:highlight w:val="none"/>
                    </w:rPr>
                    <w:t>风险类型</w:t>
                  </w:r>
                </w:p>
              </w:tc>
              <w:tc>
                <w:tcPr>
                  <w:tcW w:w="1399" w:type="pct"/>
                  <w:noWrap w:val="0"/>
                  <w:vAlign w:val="center"/>
                </w:tcPr>
                <w:p w14:paraId="6F7161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
                      <w:bCs/>
                      <w:color w:val="auto"/>
                      <w:sz w:val="21"/>
                      <w:szCs w:val="21"/>
                      <w:highlight w:val="none"/>
                    </w:rPr>
                  </w:pPr>
                  <w:r>
                    <w:rPr>
                      <w:rFonts w:hint="eastAsia"/>
                      <w:b/>
                      <w:bCs/>
                      <w:color w:val="auto"/>
                      <w:sz w:val="21"/>
                      <w:szCs w:val="21"/>
                      <w:highlight w:val="none"/>
                    </w:rPr>
                    <w:t>环境</w:t>
                  </w:r>
                  <w:r>
                    <w:rPr>
                      <w:rFonts w:hint="default"/>
                      <w:b/>
                      <w:bCs/>
                      <w:color w:val="auto"/>
                      <w:sz w:val="21"/>
                      <w:szCs w:val="21"/>
                      <w:highlight w:val="none"/>
                    </w:rPr>
                    <w:t>影响途径</w:t>
                  </w:r>
                </w:p>
              </w:tc>
            </w:tr>
            <w:tr w14:paraId="76E129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61" w:type="dxa"/>
                  <w:noWrap w:val="0"/>
                  <w:vAlign w:val="center"/>
                </w:tcPr>
                <w:p w14:paraId="2C5FB66E">
                  <w:pPr>
                    <w:keepNext w:val="0"/>
                    <w:keepLines w:val="0"/>
                    <w:suppressLineNumbers w:val="0"/>
                    <w:spacing w:before="0" w:beforeAutospacing="0" w:after="0" w:afterAutospacing="0"/>
                    <w:ind w:left="0" w:leftChars="0" w:right="0" w:rightChars="0"/>
                    <w:jc w:val="center"/>
                    <w:rPr>
                      <w:rFonts w:hint="default" w:eastAsia="宋体"/>
                      <w:color w:val="auto"/>
                      <w:sz w:val="21"/>
                      <w:szCs w:val="21"/>
                      <w:highlight w:val="none"/>
                      <w:lang w:val="en-US" w:eastAsia="zh-CN"/>
                    </w:rPr>
                  </w:pPr>
                  <w:r>
                    <w:rPr>
                      <w:rFonts w:hint="eastAsia"/>
                      <w:color w:val="auto"/>
                      <w:szCs w:val="21"/>
                      <w:highlight w:val="none"/>
                      <w:lang w:val="en-US" w:eastAsia="zh-CN"/>
                    </w:rPr>
                    <w:t>实验区</w:t>
                  </w:r>
                </w:p>
              </w:tc>
              <w:tc>
                <w:tcPr>
                  <w:tcW w:w="1532" w:type="pct"/>
                  <w:noWrap w:val="0"/>
                  <w:vAlign w:val="center"/>
                </w:tcPr>
                <w:p w14:paraId="2A8BB1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75%消毒酒精、二甲基亚砜、甲醇、</w:t>
                  </w:r>
                  <w:r>
                    <w:rPr>
                      <w:rFonts w:hint="eastAsia" w:ascii="宋体" w:hAnsi="宋体" w:cs="宋体"/>
                      <w:i w:val="0"/>
                      <w:iCs w:val="0"/>
                      <w:color w:val="000000"/>
                      <w:kern w:val="0"/>
                      <w:sz w:val="21"/>
                      <w:szCs w:val="21"/>
                      <w:u w:val="none"/>
                      <w:lang w:val="en-US" w:eastAsia="zh-CN" w:bidi="ar"/>
                    </w:rPr>
                    <w:t>无水乙醇、异丙醇</w:t>
                  </w:r>
                </w:p>
              </w:tc>
              <w:tc>
                <w:tcPr>
                  <w:tcW w:w="1319" w:type="pct"/>
                  <w:noWrap w:val="0"/>
                  <w:vAlign w:val="center"/>
                </w:tcPr>
                <w:p w14:paraId="2C5EFE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olor w:val="auto"/>
                      <w:sz w:val="21"/>
                      <w:szCs w:val="21"/>
                      <w:highlight w:val="none"/>
                      <w:lang w:val="en-US" w:eastAsia="zh-CN"/>
                    </w:rPr>
                  </w:pPr>
                  <w:r>
                    <w:rPr>
                      <w:rFonts w:hint="default"/>
                      <w:color w:val="auto"/>
                      <w:sz w:val="21"/>
                      <w:szCs w:val="21"/>
                      <w:highlight w:val="none"/>
                    </w:rPr>
                    <w:t>泄漏、火灾</w:t>
                  </w:r>
                  <w:r>
                    <w:rPr>
                      <w:rFonts w:hint="eastAsia"/>
                      <w:color w:val="auto"/>
                      <w:sz w:val="21"/>
                      <w:szCs w:val="21"/>
                      <w:highlight w:val="none"/>
                      <w:lang w:val="en-US" w:eastAsia="zh-CN"/>
                    </w:rPr>
                    <w:t>等引发的次生/伴生污染物排放</w:t>
                  </w:r>
                </w:p>
              </w:tc>
              <w:tc>
                <w:tcPr>
                  <w:tcW w:w="1399" w:type="pct"/>
                  <w:noWrap w:val="0"/>
                  <w:vAlign w:val="center"/>
                </w:tcPr>
                <w:p w14:paraId="183DEA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rPr>
                  </w:pPr>
                  <w:r>
                    <w:rPr>
                      <w:rFonts w:hint="default"/>
                      <w:color w:val="auto"/>
                      <w:sz w:val="21"/>
                      <w:szCs w:val="21"/>
                      <w:highlight w:val="none"/>
                    </w:rPr>
                    <w:t>大气</w:t>
                  </w:r>
                  <w:r>
                    <w:rPr>
                      <w:rFonts w:hint="eastAsia"/>
                      <w:color w:val="auto"/>
                      <w:sz w:val="21"/>
                      <w:szCs w:val="21"/>
                      <w:highlight w:val="none"/>
                    </w:rPr>
                    <w:t>、</w:t>
                  </w:r>
                  <w:r>
                    <w:rPr>
                      <w:rFonts w:hint="default"/>
                      <w:color w:val="auto"/>
                      <w:sz w:val="21"/>
                      <w:szCs w:val="21"/>
                      <w:highlight w:val="none"/>
                    </w:rPr>
                    <w:t>地表水</w:t>
                  </w:r>
                  <w:r>
                    <w:rPr>
                      <w:rFonts w:hint="eastAsia"/>
                      <w:color w:val="auto"/>
                      <w:sz w:val="21"/>
                      <w:szCs w:val="21"/>
                      <w:highlight w:val="none"/>
                    </w:rPr>
                    <w:t>、土壤、</w:t>
                  </w:r>
                  <w:r>
                    <w:rPr>
                      <w:rFonts w:hint="default"/>
                      <w:color w:val="auto"/>
                      <w:sz w:val="21"/>
                      <w:szCs w:val="21"/>
                      <w:highlight w:val="none"/>
                    </w:rPr>
                    <w:t>地下水环境</w:t>
                  </w:r>
                </w:p>
              </w:tc>
            </w:tr>
            <w:tr w14:paraId="4FB1FD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61" w:type="dxa"/>
                  <w:noWrap w:val="0"/>
                  <w:vAlign w:val="center"/>
                </w:tcPr>
                <w:p w14:paraId="46FF4AB6">
                  <w:pPr>
                    <w:keepNext w:val="0"/>
                    <w:keepLines w:val="0"/>
                    <w:suppressLineNumbers w:val="0"/>
                    <w:spacing w:before="0" w:beforeAutospacing="0" w:after="0" w:afterAutospacing="0"/>
                    <w:ind w:left="0" w:leftChars="0" w:right="0" w:rightChars="0"/>
                    <w:jc w:val="center"/>
                    <w:rPr>
                      <w:rFonts w:hint="default" w:eastAsia="宋体"/>
                      <w:color w:val="auto"/>
                      <w:sz w:val="21"/>
                      <w:szCs w:val="21"/>
                      <w:highlight w:val="none"/>
                      <w:lang w:val="en-US" w:eastAsia="zh-CN"/>
                    </w:rPr>
                  </w:pPr>
                  <w:r>
                    <w:rPr>
                      <w:rFonts w:hint="default" w:ascii="Times New Roman" w:hAnsi="Times New Roman" w:eastAsia="宋体"/>
                      <w:color w:val="auto"/>
                      <w:szCs w:val="21"/>
                      <w:highlight w:val="none"/>
                    </w:rPr>
                    <w:t>原料</w:t>
                  </w:r>
                  <w:r>
                    <w:rPr>
                      <w:rFonts w:hint="eastAsia" w:ascii="Times New Roman" w:hAnsi="Times New Roman" w:eastAsia="宋体"/>
                      <w:color w:val="auto"/>
                      <w:szCs w:val="21"/>
                      <w:highlight w:val="none"/>
                    </w:rPr>
                    <w:t>区</w:t>
                  </w:r>
                </w:p>
              </w:tc>
              <w:tc>
                <w:tcPr>
                  <w:tcW w:w="1532" w:type="pct"/>
                  <w:noWrap w:val="0"/>
                  <w:vAlign w:val="center"/>
                </w:tcPr>
                <w:p w14:paraId="344989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75%消毒酒精、二甲基亚砜、甲醇、</w:t>
                  </w:r>
                  <w:r>
                    <w:rPr>
                      <w:rFonts w:hint="eastAsia" w:ascii="宋体" w:hAnsi="宋体" w:cs="宋体"/>
                      <w:i w:val="0"/>
                      <w:iCs w:val="0"/>
                      <w:color w:val="000000"/>
                      <w:kern w:val="0"/>
                      <w:sz w:val="21"/>
                      <w:szCs w:val="21"/>
                      <w:u w:val="none"/>
                      <w:lang w:val="en-US" w:eastAsia="zh-CN" w:bidi="ar"/>
                    </w:rPr>
                    <w:t>无水乙醇、异丙醇</w:t>
                  </w:r>
                </w:p>
              </w:tc>
              <w:tc>
                <w:tcPr>
                  <w:tcW w:w="1319" w:type="pct"/>
                  <w:noWrap w:val="0"/>
                  <w:vAlign w:val="center"/>
                </w:tcPr>
                <w:p w14:paraId="1A05C9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泄漏、火灾等引发的次生/伴生污染物排放</w:t>
                  </w:r>
                </w:p>
              </w:tc>
              <w:tc>
                <w:tcPr>
                  <w:tcW w:w="1399" w:type="pct"/>
                  <w:noWrap w:val="0"/>
                  <w:vAlign w:val="center"/>
                </w:tcPr>
                <w:p w14:paraId="62279A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FF0000"/>
                      <w:sz w:val="21"/>
                      <w:szCs w:val="21"/>
                      <w:highlight w:val="none"/>
                    </w:rPr>
                  </w:pPr>
                  <w:r>
                    <w:rPr>
                      <w:rFonts w:hint="default"/>
                      <w:color w:val="auto"/>
                      <w:sz w:val="21"/>
                      <w:szCs w:val="21"/>
                      <w:highlight w:val="none"/>
                    </w:rPr>
                    <w:t>大气</w:t>
                  </w:r>
                  <w:r>
                    <w:rPr>
                      <w:rFonts w:hint="eastAsia"/>
                      <w:color w:val="auto"/>
                      <w:sz w:val="21"/>
                      <w:szCs w:val="21"/>
                      <w:highlight w:val="none"/>
                    </w:rPr>
                    <w:t>、</w:t>
                  </w:r>
                  <w:r>
                    <w:rPr>
                      <w:rFonts w:hint="default"/>
                      <w:color w:val="auto"/>
                      <w:sz w:val="21"/>
                      <w:szCs w:val="21"/>
                      <w:highlight w:val="none"/>
                    </w:rPr>
                    <w:t>地表水</w:t>
                  </w:r>
                  <w:r>
                    <w:rPr>
                      <w:rFonts w:hint="eastAsia"/>
                      <w:color w:val="auto"/>
                      <w:sz w:val="21"/>
                      <w:szCs w:val="21"/>
                      <w:highlight w:val="none"/>
                    </w:rPr>
                    <w:t>、土壤、</w:t>
                  </w:r>
                  <w:r>
                    <w:rPr>
                      <w:rFonts w:hint="default"/>
                      <w:color w:val="auto"/>
                      <w:sz w:val="21"/>
                      <w:szCs w:val="21"/>
                      <w:highlight w:val="none"/>
                    </w:rPr>
                    <w:t>地下水环境</w:t>
                  </w:r>
                </w:p>
              </w:tc>
            </w:tr>
            <w:tr w14:paraId="183B25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61" w:type="dxa"/>
                  <w:noWrap w:val="0"/>
                  <w:vAlign w:val="center"/>
                </w:tcPr>
                <w:p w14:paraId="421D316B">
                  <w:pPr>
                    <w:keepNext w:val="0"/>
                    <w:keepLines w:val="0"/>
                    <w:suppressLineNumbers w:val="0"/>
                    <w:spacing w:before="0" w:beforeAutospacing="0" w:after="0" w:afterAutospacing="0"/>
                    <w:ind w:left="0" w:leftChars="0" w:right="0" w:rightChars="0"/>
                    <w:jc w:val="center"/>
                    <w:rPr>
                      <w:rFonts w:hint="default"/>
                      <w:color w:val="auto"/>
                      <w:sz w:val="21"/>
                      <w:szCs w:val="21"/>
                      <w:highlight w:val="none"/>
                    </w:rPr>
                  </w:pPr>
                  <w:r>
                    <w:rPr>
                      <w:rFonts w:hint="eastAsia"/>
                      <w:color w:val="auto"/>
                      <w:szCs w:val="21"/>
                      <w:highlight w:val="none"/>
                      <w:lang w:val="en-US" w:eastAsia="zh-CN"/>
                    </w:rPr>
                    <w:t>危废间、试剂耗材仓库</w:t>
                  </w:r>
                </w:p>
              </w:tc>
              <w:tc>
                <w:tcPr>
                  <w:tcW w:w="1532" w:type="pct"/>
                  <w:noWrap w:val="0"/>
                  <w:vAlign w:val="center"/>
                </w:tcPr>
                <w:p w14:paraId="095315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实验废液、废实验耗材、废化学品包装、废生物材料、纯水制备废滤芯、生物安全柜废滤芯、蛋白纯化废滤芯、废活性炭</w:t>
                  </w:r>
                </w:p>
              </w:tc>
              <w:tc>
                <w:tcPr>
                  <w:tcW w:w="1319" w:type="pct"/>
                  <w:noWrap w:val="0"/>
                  <w:vAlign w:val="center"/>
                </w:tcPr>
                <w:p w14:paraId="0B6209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olor w:val="auto"/>
                      <w:sz w:val="21"/>
                      <w:szCs w:val="21"/>
                      <w:highlight w:val="none"/>
                      <w:lang w:eastAsia="zh-CN"/>
                    </w:rPr>
                  </w:pPr>
                  <w:r>
                    <w:rPr>
                      <w:rFonts w:hint="default"/>
                      <w:color w:val="auto"/>
                      <w:sz w:val="21"/>
                      <w:szCs w:val="21"/>
                      <w:highlight w:val="none"/>
                    </w:rPr>
                    <w:t>泄漏、火灾</w:t>
                  </w:r>
                  <w:r>
                    <w:rPr>
                      <w:rFonts w:hint="eastAsia"/>
                      <w:color w:val="auto"/>
                      <w:sz w:val="21"/>
                      <w:szCs w:val="21"/>
                      <w:highlight w:val="none"/>
                      <w:lang w:val="en-US" w:eastAsia="zh-CN"/>
                    </w:rPr>
                    <w:t>等引发的次生/伴生污染物排放</w:t>
                  </w:r>
                </w:p>
              </w:tc>
              <w:tc>
                <w:tcPr>
                  <w:tcW w:w="1399" w:type="pct"/>
                  <w:noWrap w:val="0"/>
                  <w:vAlign w:val="center"/>
                </w:tcPr>
                <w:p w14:paraId="625B83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rPr>
                  </w:pPr>
                  <w:r>
                    <w:rPr>
                      <w:rFonts w:hint="default"/>
                      <w:color w:val="auto"/>
                      <w:sz w:val="21"/>
                      <w:szCs w:val="21"/>
                      <w:highlight w:val="none"/>
                    </w:rPr>
                    <w:t>大气</w:t>
                  </w:r>
                  <w:r>
                    <w:rPr>
                      <w:rFonts w:hint="eastAsia"/>
                      <w:color w:val="auto"/>
                      <w:sz w:val="21"/>
                      <w:szCs w:val="21"/>
                      <w:highlight w:val="none"/>
                    </w:rPr>
                    <w:t>、</w:t>
                  </w:r>
                  <w:r>
                    <w:rPr>
                      <w:rFonts w:hint="default"/>
                      <w:color w:val="auto"/>
                      <w:sz w:val="21"/>
                      <w:szCs w:val="21"/>
                      <w:highlight w:val="none"/>
                    </w:rPr>
                    <w:t>地表水</w:t>
                  </w:r>
                  <w:r>
                    <w:rPr>
                      <w:rFonts w:hint="eastAsia"/>
                      <w:color w:val="auto"/>
                      <w:sz w:val="21"/>
                      <w:szCs w:val="21"/>
                      <w:highlight w:val="none"/>
                    </w:rPr>
                    <w:t>、土壤、</w:t>
                  </w:r>
                  <w:r>
                    <w:rPr>
                      <w:rFonts w:hint="default"/>
                      <w:color w:val="auto"/>
                      <w:sz w:val="21"/>
                      <w:szCs w:val="21"/>
                      <w:highlight w:val="none"/>
                    </w:rPr>
                    <w:t>地下水环境</w:t>
                  </w:r>
                </w:p>
              </w:tc>
            </w:tr>
          </w:tbl>
          <w:p w14:paraId="4D3A080E">
            <w:pPr>
              <w:keepNext w:val="0"/>
              <w:keepLines w:val="0"/>
              <w:widowControl w:val="0"/>
              <w:numPr>
                <w:ilvl w:val="0"/>
                <w:numId w:val="0"/>
              </w:numPr>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val="0"/>
                <w:color w:val="auto"/>
                <w:kern w:val="28"/>
                <w:sz w:val="24"/>
                <w:szCs w:val="24"/>
                <w:highlight w:val="none"/>
                <w:lang w:val="en-US" w:eastAsia="zh-CN" w:bidi="ar-SA"/>
              </w:rPr>
            </w:pPr>
            <w:r>
              <w:rPr>
                <w:rFonts w:hint="default" w:ascii="Times New Roman" w:hAnsi="Times New Roman" w:eastAsia="宋体" w:cs="Times New Roman"/>
                <w:b/>
                <w:bCs w:val="0"/>
                <w:color w:val="auto"/>
                <w:kern w:val="28"/>
                <w:sz w:val="24"/>
                <w:szCs w:val="24"/>
                <w:lang w:val="en-US" w:eastAsia="zh-CN" w:bidi="ar-SA"/>
              </w:rPr>
              <w:t>（3）</w:t>
            </w:r>
            <w:r>
              <w:rPr>
                <w:rFonts w:hint="default" w:ascii="Times New Roman" w:hAnsi="Times New Roman" w:eastAsia="宋体" w:cs="Times New Roman"/>
                <w:b/>
                <w:bCs w:val="0"/>
                <w:color w:val="auto"/>
                <w:kern w:val="28"/>
                <w:sz w:val="24"/>
                <w:szCs w:val="24"/>
                <w:highlight w:val="none"/>
                <w:lang w:val="en-US" w:eastAsia="zh-CN" w:bidi="ar-SA"/>
              </w:rPr>
              <w:t>环境风险分析</w:t>
            </w:r>
          </w:p>
          <w:p w14:paraId="6ADCB385">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8"/>
                <w:sz w:val="24"/>
                <w:szCs w:val="24"/>
                <w:highlight w:val="none"/>
                <w:lang w:val="en-US" w:eastAsia="zh-CN" w:bidi="ar-SA"/>
              </w:rPr>
            </w:pPr>
            <w:r>
              <w:rPr>
                <w:rFonts w:hint="default" w:ascii="Times New Roman" w:hAnsi="Times New Roman" w:eastAsia="宋体" w:cs="Times New Roman"/>
                <w:bCs/>
                <w:color w:val="auto"/>
                <w:kern w:val="28"/>
                <w:sz w:val="24"/>
                <w:szCs w:val="24"/>
                <w:highlight w:val="none"/>
                <w:lang w:val="en-US" w:eastAsia="zh-CN" w:bidi="ar-SA"/>
              </w:rPr>
              <w:t>经识别，本项目涉及的主要风险物质为75%消毒酒精、二甲基亚砜、甲醇、无水乙醇、异丙醇</w:t>
            </w:r>
            <w:r>
              <w:rPr>
                <w:rFonts w:hint="eastAsia" w:cs="Times New Roman"/>
                <w:bCs/>
                <w:color w:val="auto"/>
                <w:kern w:val="28"/>
                <w:sz w:val="24"/>
                <w:szCs w:val="24"/>
                <w:highlight w:val="none"/>
                <w:lang w:val="en-US" w:eastAsia="zh-CN" w:bidi="ar-SA"/>
              </w:rPr>
              <w:t>、实验废液、废实验耗材、废化学品包装、废生物材料、纯水制备废滤芯、生物安全柜废滤芯、蛋白纯化废滤芯、废活性炭</w:t>
            </w:r>
            <w:r>
              <w:rPr>
                <w:rFonts w:hint="eastAsia" w:ascii="Times New Roman" w:hAnsi="Times New Roman" w:eastAsia="宋体" w:cs="Times New Roman"/>
                <w:bCs/>
                <w:color w:val="auto"/>
                <w:kern w:val="28"/>
                <w:sz w:val="24"/>
                <w:szCs w:val="24"/>
                <w:highlight w:val="none"/>
                <w:lang w:val="en-US" w:eastAsia="zh-CN" w:bidi="ar-SA"/>
              </w:rPr>
              <w:t>等</w:t>
            </w:r>
            <w:r>
              <w:rPr>
                <w:rFonts w:hint="default" w:ascii="Times New Roman" w:hAnsi="Times New Roman" w:eastAsia="宋体" w:cs="Times New Roman"/>
                <w:bCs/>
                <w:color w:val="auto"/>
                <w:kern w:val="28"/>
                <w:sz w:val="24"/>
                <w:szCs w:val="24"/>
                <w:highlight w:val="none"/>
                <w:lang w:val="en-US" w:eastAsia="zh-CN" w:bidi="ar-SA"/>
              </w:rPr>
              <w:t>。</w:t>
            </w:r>
          </w:p>
          <w:p w14:paraId="480FCC71">
            <w:pPr>
              <w:pStyle w:val="47"/>
              <w:keepNext w:val="0"/>
              <w:keepLines w:val="0"/>
              <w:pageBreakBefore w:val="0"/>
              <w:suppressLineNumbers w:val="0"/>
              <w:kinsoku/>
              <w:wordWrap/>
              <w:overflowPunct/>
              <w:topLinePunct w:val="0"/>
              <w:bidi w:val="0"/>
              <w:adjustRightInd w:val="0"/>
              <w:snapToGrid w:val="0"/>
              <w:spacing w:before="0" w:beforeAutospacing="0" w:after="0" w:afterAutospacing="0"/>
              <w:ind w:left="0" w:right="0"/>
              <w:textAlignment w:val="auto"/>
              <w:rPr>
                <w:rFonts w:hint="default" w:ascii="Times New Roman" w:hAnsi="Times New Roman" w:eastAsia="宋体" w:cs="Times New Roman"/>
                <w:bCs/>
                <w:color w:val="auto"/>
                <w:kern w:val="28"/>
                <w:sz w:val="24"/>
                <w:szCs w:val="24"/>
                <w:highlight w:val="none"/>
                <w:lang w:val="en-US" w:eastAsia="zh-CN" w:bidi="ar-SA"/>
              </w:rPr>
            </w:pPr>
            <w:r>
              <w:rPr>
                <w:rFonts w:hint="default" w:ascii="Times New Roman" w:hAnsi="Times New Roman" w:eastAsia="宋体" w:cs="Times New Roman"/>
                <w:bCs/>
                <w:color w:val="auto"/>
                <w:kern w:val="28"/>
                <w:sz w:val="24"/>
                <w:szCs w:val="24"/>
                <w:highlight w:val="none"/>
                <w:lang w:val="en-US" w:eastAsia="zh-CN" w:bidi="ar-SA"/>
              </w:rPr>
              <w:t>75%消毒酒精、二甲基亚砜、甲醇、无水乙醇、异丙醇</w:t>
            </w:r>
            <w:r>
              <w:rPr>
                <w:rFonts w:hint="eastAsia" w:ascii="Times New Roman" w:hAnsi="Times New Roman" w:eastAsia="宋体" w:cs="Times New Roman"/>
                <w:bCs/>
                <w:color w:val="auto"/>
                <w:kern w:val="28"/>
                <w:sz w:val="24"/>
                <w:szCs w:val="24"/>
                <w:highlight w:val="none"/>
                <w:lang w:val="en-US" w:eastAsia="zh-CN" w:bidi="ar-SA"/>
              </w:rPr>
              <w:t>等</w:t>
            </w:r>
            <w:r>
              <w:rPr>
                <w:rFonts w:hint="default" w:ascii="Times New Roman" w:hAnsi="Times New Roman" w:eastAsia="宋体" w:cs="Times New Roman"/>
                <w:bCs/>
                <w:color w:val="auto"/>
                <w:kern w:val="28"/>
                <w:sz w:val="24"/>
                <w:szCs w:val="24"/>
                <w:highlight w:val="none"/>
                <w:lang w:val="en-US" w:eastAsia="zh-CN" w:bidi="ar-SA"/>
              </w:rPr>
              <w:t>发生泄漏，会产生废气进入大气环境中，造成环境空气质量污染；75%消毒酒精、</w:t>
            </w:r>
            <w:r>
              <w:rPr>
                <w:rFonts w:hint="eastAsia" w:ascii="Times New Roman" w:hAnsi="Times New Roman" w:eastAsia="宋体" w:cs="Times New Roman"/>
                <w:bCs/>
                <w:color w:val="auto"/>
                <w:kern w:val="28"/>
                <w:sz w:val="24"/>
                <w:szCs w:val="24"/>
                <w:highlight w:val="none"/>
                <w:lang w:val="en-US" w:eastAsia="zh-CN" w:bidi="ar-SA"/>
              </w:rPr>
              <w:t>无水乙醇、</w:t>
            </w:r>
            <w:r>
              <w:rPr>
                <w:rFonts w:hint="default" w:ascii="Times New Roman" w:hAnsi="Times New Roman" w:eastAsia="宋体" w:cs="Times New Roman"/>
                <w:bCs/>
                <w:color w:val="auto"/>
                <w:kern w:val="28"/>
                <w:sz w:val="24"/>
                <w:szCs w:val="24"/>
                <w:highlight w:val="none"/>
                <w:lang w:val="en-US" w:eastAsia="zh-CN" w:bidi="ar-SA"/>
              </w:rPr>
              <w:t>废活性炭等如遇明火会有燃烧、爆炸的危险，同时燃烧产生一氧化碳、二氧化碳、非甲烷总烃等废气进入大气环境中，会导致周围环境中相应污染物浓度增高，造成环境空气质量污染。同时，75%消毒酒精、二甲基亚砜、甲醇、无水乙醇、异丙醇、实验废液等液态风险物质若发生存储桶破损且防渗措施老化等情况导致事故排放，可能会污染地表水、地下水及土壤。</w:t>
            </w:r>
          </w:p>
          <w:p w14:paraId="7167F4AD">
            <w:pPr>
              <w:pStyle w:val="47"/>
              <w:keepNext w:val="0"/>
              <w:keepLines w:val="0"/>
              <w:pageBreakBefore w:val="0"/>
              <w:suppressLineNumbers w:val="0"/>
              <w:kinsoku/>
              <w:wordWrap/>
              <w:overflowPunct/>
              <w:topLinePunct w:val="0"/>
              <w:bidi w:val="0"/>
              <w:adjustRightInd w:val="0"/>
              <w:snapToGrid w:val="0"/>
              <w:spacing w:before="0" w:beforeAutospacing="0" w:after="0" w:afterAutospacing="0"/>
              <w:ind w:left="0" w:right="0"/>
              <w:textAlignment w:val="auto"/>
              <w:rPr>
                <w:rFonts w:hint="default" w:ascii="Times New Roman" w:hAnsi="Times New Roman" w:eastAsia="宋体" w:cs="Times New Roman"/>
                <w:bCs/>
                <w:color w:val="auto"/>
                <w:kern w:val="28"/>
                <w:sz w:val="24"/>
                <w:szCs w:val="24"/>
                <w:highlight w:val="none"/>
                <w:lang w:val="en-US" w:eastAsia="zh-CN" w:bidi="ar-SA"/>
              </w:rPr>
            </w:pPr>
            <w:r>
              <w:rPr>
                <w:rFonts w:hint="default" w:ascii="Times New Roman" w:hAnsi="Times New Roman" w:eastAsia="宋体" w:cs="Times New Roman"/>
                <w:bCs/>
                <w:color w:val="auto"/>
                <w:kern w:val="28"/>
                <w:sz w:val="24"/>
                <w:szCs w:val="24"/>
                <w:highlight w:val="none"/>
                <w:lang w:val="en-US" w:eastAsia="zh-CN" w:bidi="ar-SA"/>
              </w:rPr>
              <w:t>项目重点防渗区危废堆场拟采取防渗措施，对项目地下水、土壤环境风险影响较小。​</w:t>
            </w:r>
          </w:p>
          <w:p w14:paraId="147E6B7E">
            <w:pPr>
              <w:keepNext w:val="0"/>
              <w:keepLines w:val="0"/>
              <w:widowControl w:val="0"/>
              <w:numPr>
                <w:ilvl w:val="0"/>
                <w:numId w:val="0"/>
              </w:numPr>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val="0"/>
                <w:color w:val="auto"/>
                <w:kern w:val="28"/>
                <w:sz w:val="24"/>
                <w:szCs w:val="24"/>
                <w:highlight w:val="none"/>
                <w:lang w:val="en-US" w:eastAsia="zh-CN" w:bidi="ar-SA"/>
              </w:rPr>
            </w:pPr>
            <w:r>
              <w:rPr>
                <w:rFonts w:hint="default" w:ascii="Times New Roman" w:hAnsi="Times New Roman" w:eastAsia="宋体" w:cs="Times New Roman"/>
                <w:b/>
                <w:bCs w:val="0"/>
                <w:color w:val="auto"/>
                <w:kern w:val="28"/>
                <w:sz w:val="24"/>
                <w:szCs w:val="24"/>
                <w:lang w:val="en-US" w:eastAsia="zh-CN" w:bidi="ar-SA"/>
              </w:rPr>
              <w:t>（4）</w:t>
            </w:r>
            <w:r>
              <w:rPr>
                <w:rFonts w:hint="default" w:ascii="Times New Roman" w:hAnsi="Times New Roman" w:eastAsia="宋体" w:cs="Times New Roman"/>
                <w:b/>
                <w:bCs w:val="0"/>
                <w:color w:val="auto"/>
                <w:kern w:val="28"/>
                <w:sz w:val="24"/>
                <w:szCs w:val="24"/>
                <w:highlight w:val="none"/>
                <w:lang w:val="en-US" w:eastAsia="zh-CN" w:bidi="ar-SA"/>
              </w:rPr>
              <w:t>环境风险防范及应急措施</w:t>
            </w:r>
          </w:p>
          <w:p w14:paraId="35249F98">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为减少风险物质可能造成的环境风险，</w:t>
            </w:r>
            <w:r>
              <w:rPr>
                <w:rFonts w:hint="eastAsia" w:ascii="Times New Roman" w:hAnsi="Times New Roman" w:eastAsia="宋体" w:cs="Times New Roman"/>
                <w:color w:val="auto"/>
                <w:sz w:val="24"/>
                <w:szCs w:val="24"/>
                <w:highlight w:val="none"/>
                <w:lang w:val="en-US" w:eastAsia="zh-CN"/>
              </w:rPr>
              <w:t>宜</w:t>
            </w:r>
            <w:r>
              <w:rPr>
                <w:rFonts w:hint="default" w:ascii="Times New Roman" w:hAnsi="Times New Roman" w:eastAsia="宋体" w:cs="Times New Roman"/>
                <w:color w:val="auto"/>
                <w:sz w:val="24"/>
                <w:szCs w:val="24"/>
                <w:highlight w:val="none"/>
                <w:lang w:val="en-US" w:eastAsia="zh-CN"/>
              </w:rPr>
              <w:t>采取以下风险防范及应急措施：</w:t>
            </w:r>
          </w:p>
          <w:p w14:paraId="00D8FC72">
            <w:pPr>
              <w:pStyle w:val="47"/>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w:t>
            </w:r>
            <w:r>
              <w:rPr>
                <w:rFonts w:hint="eastAsia" w:ascii="Times New Roman" w:hAnsi="Times New Roman" w:eastAsia="宋体" w:cs="Times New Roman"/>
                <w:bCs w:val="0"/>
                <w:color w:val="auto"/>
                <w:kern w:val="2"/>
                <w:sz w:val="24"/>
                <w:szCs w:val="24"/>
                <w:highlight w:val="none"/>
                <w:lang w:val="en-US" w:eastAsia="zh-CN" w:bidi="ar-SA"/>
              </w:rPr>
              <w:t>企业应建立应急设施及物资管理制度，各风险单元应配备相应应急设施和应急物资，并定期维护确保其可正常使用。企业应建立隐患排查治理制度，并按照要求进行定期演练和培训。</w:t>
            </w:r>
          </w:p>
          <w:p w14:paraId="2E34A6DD">
            <w:pPr>
              <w:pStyle w:val="47"/>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②从生产管理、危险化学品贮存、工艺技术设计、自动控制设计、电气及电讯、消防及火灾报警系统等方面制定相应的环境风险防范措施。</w:t>
            </w:r>
          </w:p>
          <w:p w14:paraId="60A1CA7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③提高设备自动控制水平，设置集中控制室、工人操作值班室等，对关键设备的操作条件进行自动控制及安全报警，及时预报和切断泄漏源，在紧急情况下可自动停车，以减少和降低危险出现概率</w:t>
            </w:r>
            <w:r>
              <w:rPr>
                <w:rFonts w:hint="default" w:ascii="Times New Roman" w:hAnsi="Times New Roman" w:eastAsia="宋体" w:cs="Times New Roman"/>
                <w:color w:val="auto"/>
                <w:sz w:val="24"/>
                <w:szCs w:val="24"/>
                <w:highlight w:val="none"/>
              </w:rPr>
              <w:t>。</w:t>
            </w:r>
          </w:p>
          <w:p w14:paraId="65C735A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rPr>
            </w:pPr>
            <w:r>
              <w:rPr>
                <w:rFonts w:hint="eastAsia" w:ascii="Times New Roman" w:hAnsi="Times New Roman" w:eastAsia="宋体"/>
                <w:color w:val="auto"/>
                <w:sz w:val="24"/>
                <w:highlight w:val="none"/>
                <w:lang w:val="en-US" w:eastAsia="zh-CN"/>
              </w:rPr>
              <w:t>④</w:t>
            </w:r>
            <w:r>
              <w:rPr>
                <w:rFonts w:hint="default" w:ascii="Times New Roman" w:hAnsi="Times New Roman" w:eastAsia="宋体"/>
                <w:color w:val="auto"/>
                <w:sz w:val="24"/>
                <w:szCs w:val="24"/>
                <w:highlight w:val="none"/>
              </w:rPr>
              <w:t>企业应按照要求建立相应的环境应急管理制度，包括：突发环境事件应急预案的编制及修订；与相应监测单位签订应急监测协议；按照要求配备相应的应急物资装备；建立突发环境事件隐患排查治理制度；按照要求进行环境应急培训和演练并建立相应台账；设立环境风险防范设施及环境应急处置卡标识标牌。</w:t>
            </w:r>
          </w:p>
          <w:p w14:paraId="730207C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rPr>
              <w:t>⑤本项目使用</w:t>
            </w:r>
            <w:r>
              <w:rPr>
                <w:rFonts w:hint="default" w:ascii="Times New Roman" w:hAnsi="Times New Roman" w:eastAsia="宋体" w:cs="Times New Roman"/>
                <w:color w:val="auto"/>
                <w:sz w:val="24"/>
                <w:highlight w:val="none"/>
                <w:lang w:eastAsia="zh-CN"/>
              </w:rPr>
              <w:t>的</w:t>
            </w:r>
            <w:r>
              <w:rPr>
                <w:rFonts w:hint="eastAsia" w:ascii="Times New Roman" w:hAnsi="Times New Roman" w:eastAsia="宋体" w:cs="Times New Roman"/>
                <w:color w:val="auto"/>
                <w:sz w:val="24"/>
                <w:highlight w:val="none"/>
                <w:lang w:val="en-US" w:eastAsia="zh-CN"/>
              </w:rPr>
              <w:t>硅油-脱模剂、润滑油等</w:t>
            </w:r>
            <w:r>
              <w:rPr>
                <w:rFonts w:hint="eastAsia" w:ascii="Times New Roman" w:hAnsi="Times New Roman" w:eastAsia="宋体" w:cs="Times New Roman"/>
                <w:color w:val="auto"/>
                <w:sz w:val="24"/>
                <w:szCs w:val="24"/>
                <w:highlight w:val="none"/>
                <w:lang w:eastAsia="zh-CN"/>
              </w:rPr>
              <w:t>液态物料密封包装</w:t>
            </w:r>
            <w:r>
              <w:rPr>
                <w:rFonts w:hint="default" w:ascii="Times New Roman" w:hAnsi="Times New Roman" w:eastAsia="宋体" w:cs="Times New Roman"/>
                <w:color w:val="auto"/>
                <w:sz w:val="24"/>
                <w:highlight w:val="none"/>
              </w:rPr>
              <w:t>，</w:t>
            </w:r>
            <w:r>
              <w:rPr>
                <w:rFonts w:hint="eastAsia" w:ascii="Times New Roman" w:hAnsi="Times New Roman" w:eastAsia="宋体"/>
                <w:color w:val="auto"/>
                <w:sz w:val="24"/>
                <w:highlight w:val="none"/>
                <w:lang w:val="en-US" w:eastAsia="zh-CN"/>
              </w:rPr>
              <w:t>应做好储存区的防腐防渗等措施，设置截流设施，</w:t>
            </w:r>
            <w:r>
              <w:rPr>
                <w:rFonts w:hint="eastAsia" w:ascii="Times New Roman" w:hAnsi="Times New Roman" w:eastAsia="宋体"/>
                <w:color w:val="auto"/>
                <w:sz w:val="24"/>
                <w:highlight w:val="none"/>
              </w:rPr>
              <w:t>定期检查桶的密封性</w:t>
            </w:r>
            <w:r>
              <w:rPr>
                <w:rFonts w:hint="default" w:ascii="Times New Roman" w:hAnsi="Times New Roman" w:eastAsia="宋体"/>
                <w:color w:val="auto"/>
                <w:sz w:val="24"/>
                <w:highlight w:val="none"/>
              </w:rPr>
              <w:t>，</w:t>
            </w:r>
            <w:r>
              <w:rPr>
                <w:rFonts w:hint="eastAsia" w:ascii="Times New Roman" w:hAnsi="Times New Roman" w:eastAsia="宋体"/>
                <w:color w:val="auto"/>
                <w:sz w:val="24"/>
                <w:highlight w:val="none"/>
              </w:rPr>
              <w:t>谨防泄</w:t>
            </w:r>
            <w:r>
              <w:rPr>
                <w:rFonts w:hint="eastAsia" w:ascii="Times New Roman" w:hAnsi="Times New Roman" w:eastAsia="宋体"/>
                <w:color w:val="auto"/>
                <w:sz w:val="24"/>
                <w:highlight w:val="none"/>
                <w:lang w:val="en-US" w:eastAsia="zh-CN"/>
              </w:rPr>
              <w:t>漏</w:t>
            </w:r>
            <w:r>
              <w:rPr>
                <w:rFonts w:hint="eastAsia" w:ascii="Times New Roman" w:hAnsi="Times New Roman" w:eastAsia="宋体"/>
                <w:color w:val="auto"/>
                <w:sz w:val="24"/>
                <w:highlight w:val="none"/>
              </w:rPr>
              <w:t>，</w:t>
            </w:r>
            <w:r>
              <w:rPr>
                <w:rFonts w:hint="default" w:ascii="Times New Roman" w:hAnsi="Times New Roman" w:eastAsia="宋体"/>
                <w:color w:val="auto"/>
                <w:sz w:val="24"/>
                <w:highlight w:val="none"/>
              </w:rPr>
              <w:t>加强风险源监控</w:t>
            </w:r>
            <w:r>
              <w:rPr>
                <w:rFonts w:hint="default" w:ascii="Times New Roman" w:hAnsi="Times New Roman" w:eastAsia="宋体" w:cs="Times New Roman"/>
                <w:color w:val="auto"/>
                <w:sz w:val="24"/>
                <w:szCs w:val="24"/>
                <w:highlight w:val="none"/>
                <w:lang w:val="en-US" w:eastAsia="zh-CN"/>
              </w:rPr>
              <w:t>。</w:t>
            </w:r>
          </w:p>
          <w:p w14:paraId="44F858B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⑥</w:t>
            </w:r>
            <w:r>
              <w:rPr>
                <w:rFonts w:hint="default" w:ascii="Times New Roman" w:hAnsi="Times New Roman" w:eastAsia="宋体"/>
                <w:color w:val="auto"/>
                <w:sz w:val="24"/>
                <w:highlight w:val="none"/>
              </w:rPr>
              <w:t>加强废气处理设施监管，定期进行环境安全</w:t>
            </w:r>
            <w:r>
              <w:rPr>
                <w:rFonts w:hint="eastAsia" w:ascii="Times New Roman" w:hAnsi="Times New Roman" w:eastAsia="宋体" w:cs="Times New Roman"/>
                <w:color w:val="auto"/>
                <w:sz w:val="24"/>
                <w:highlight w:val="none"/>
                <w:lang w:val="en-US" w:eastAsia="zh-CN"/>
              </w:rPr>
              <w:t>辨识管控及</w:t>
            </w:r>
            <w:r>
              <w:rPr>
                <w:rFonts w:hint="default" w:ascii="Times New Roman" w:hAnsi="Times New Roman" w:eastAsia="宋体"/>
                <w:color w:val="auto"/>
                <w:sz w:val="24"/>
                <w:highlight w:val="none"/>
              </w:rPr>
              <w:t>隐患排查。若废气处理设施发生故障后，需立即停车停止生产，杜绝废气事故排放</w:t>
            </w:r>
            <w:r>
              <w:rPr>
                <w:rFonts w:hint="default" w:ascii="Times New Roman" w:hAnsi="Times New Roman" w:eastAsia="宋体" w:cs="Times New Roman"/>
                <w:color w:val="auto"/>
                <w:sz w:val="24"/>
                <w:highlight w:val="none"/>
              </w:rPr>
              <w:t>。</w:t>
            </w:r>
          </w:p>
          <w:p w14:paraId="44B5BF8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rPr>
            </w:pPr>
            <w:r>
              <w:rPr>
                <w:rFonts w:hint="eastAsia" w:ascii="Times New Roman" w:hAnsi="Times New Roman" w:eastAsia="宋体"/>
                <w:color w:val="auto"/>
                <w:kern w:val="2"/>
                <w:sz w:val="24"/>
                <w:szCs w:val="24"/>
                <w:highlight w:val="none"/>
              </w:rPr>
              <w:t>⑦危险废物暂存区域应严格按照《危险废物贮存污染控制标准》(GB18597-</w:t>
            </w:r>
            <w:r>
              <w:rPr>
                <w:rFonts w:hint="eastAsia" w:ascii="Times New Roman" w:hAnsi="Times New Roman" w:eastAsia="宋体"/>
                <w:color w:val="auto"/>
                <w:kern w:val="2"/>
                <w:sz w:val="24"/>
                <w:szCs w:val="24"/>
                <w:highlight w:val="none"/>
                <w:lang w:val="en-US" w:eastAsia="zh-CN"/>
              </w:rPr>
              <w:t>2023）</w:t>
            </w:r>
            <w:r>
              <w:rPr>
                <w:rFonts w:hint="eastAsia" w:ascii="Times New Roman" w:hAnsi="Times New Roman" w:eastAsia="宋体"/>
                <w:color w:val="auto"/>
                <w:kern w:val="2"/>
                <w:sz w:val="24"/>
                <w:szCs w:val="24"/>
                <w:highlight w:val="none"/>
              </w:rPr>
              <w:t>中的相关规定，</w:t>
            </w:r>
            <w:r>
              <w:rPr>
                <w:rFonts w:hint="eastAsia" w:ascii="Times New Roman" w:hAnsi="Times New Roman" w:eastAsia="宋体"/>
                <w:color w:val="auto"/>
                <w:kern w:val="2"/>
                <w:sz w:val="24"/>
                <w:szCs w:val="24"/>
                <w:highlight w:val="none"/>
                <w:lang w:val="en-US" w:eastAsia="zh-CN"/>
              </w:rPr>
              <w:t>编制突发环境事件应急预案，定期开展必要的培训和环境应急演练，并做好培训、演练记录</w:t>
            </w:r>
            <w:r>
              <w:rPr>
                <w:rFonts w:hint="eastAsia" w:ascii="Times New Roman" w:hAnsi="Times New Roman" w:eastAsia="宋体"/>
                <w:color w:val="auto"/>
                <w:kern w:val="2"/>
                <w:sz w:val="24"/>
                <w:szCs w:val="24"/>
                <w:highlight w:val="none"/>
              </w:rPr>
              <w:t>。</w:t>
            </w:r>
            <w:r>
              <w:rPr>
                <w:rFonts w:hint="eastAsia" w:ascii="Times New Roman" w:hAnsi="Times New Roman" w:eastAsia="宋体"/>
                <w:color w:val="auto"/>
                <w:kern w:val="2"/>
                <w:sz w:val="24"/>
                <w:szCs w:val="24"/>
                <w:highlight w:val="none"/>
                <w:lang w:val="en-US" w:eastAsia="zh-CN"/>
              </w:rPr>
              <w:t>公司应配备本项目突发环境事件应急要求的应急人员、装备和物资，并设置应急照明系统。</w:t>
            </w:r>
          </w:p>
          <w:p w14:paraId="2B4D9D47">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eastAsia" w:ascii="Times New Roman" w:hAnsi="Times New Roman" w:eastAsia="宋体"/>
                <w:color w:val="auto"/>
                <w:kern w:val="2"/>
                <w:sz w:val="24"/>
                <w:szCs w:val="24"/>
                <w:highlight w:val="none"/>
              </w:rPr>
              <w:t>⑧</w:t>
            </w:r>
            <w:r>
              <w:rPr>
                <w:rFonts w:hint="eastAsia"/>
                <w:color w:val="auto"/>
                <w:kern w:val="2"/>
                <w:sz w:val="24"/>
                <w:szCs w:val="24"/>
                <w:highlight w:val="none"/>
              </w:rPr>
              <w:t>在雨水排口设置雨水切断阀，并对事故废水进行收集，避免事故废水对周围环境产生影响。</w:t>
            </w:r>
          </w:p>
          <w:p w14:paraId="2434BF8D">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（5）风险结论</w:t>
            </w:r>
          </w:p>
          <w:p w14:paraId="62994B0C">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在各环境风险防范措施落实到位的情况下，可降低本项目的环境风险，最大程度减少对环境可能造成的危害，项目对环境的风险影响可接受。</w:t>
            </w:r>
          </w:p>
          <w:p w14:paraId="49D0C183">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本项目环境风险简单分析内容见下表。</w:t>
            </w:r>
          </w:p>
          <w:p w14:paraId="2F87B051">
            <w:pPr>
              <w:keepNext w:val="0"/>
              <w:keepLines w:val="0"/>
              <w:widowControl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bCs/>
                <w:color w:val="auto"/>
                <w:kern w:val="2"/>
                <w:sz w:val="24"/>
                <w:szCs w:val="20"/>
                <w:highlight w:val="none"/>
                <w:lang w:val="en-US" w:eastAsia="zh-CN" w:bidi="ar-SA"/>
              </w:rPr>
            </w:pPr>
            <w:r>
              <w:rPr>
                <w:rFonts w:hint="default" w:ascii="Times New Roman" w:hAnsi="Times New Roman" w:eastAsia="宋体" w:cs="Times New Roman"/>
                <w:b/>
                <w:bCs/>
                <w:color w:val="auto"/>
                <w:kern w:val="2"/>
                <w:sz w:val="24"/>
                <w:szCs w:val="24"/>
                <w:lang w:val="en-US" w:eastAsia="zh-CN" w:bidi="ar-SA"/>
              </w:rPr>
              <w:t>表4-</w:t>
            </w:r>
            <w:r>
              <w:rPr>
                <w:rFonts w:hint="eastAsia" w:ascii="Times New Roman" w:hAnsi="Times New Roman" w:eastAsia="宋体" w:cs="Times New Roman"/>
                <w:b/>
                <w:bCs/>
                <w:color w:val="auto"/>
                <w:kern w:val="2"/>
                <w:sz w:val="24"/>
                <w:szCs w:val="24"/>
                <w:lang w:val="en-US" w:eastAsia="zh-CN" w:bidi="ar-SA"/>
              </w:rPr>
              <w:t xml:space="preserve">32  </w:t>
            </w:r>
            <w:r>
              <w:rPr>
                <w:rFonts w:hint="default" w:ascii="Times New Roman" w:hAnsi="Times New Roman" w:eastAsia="宋体" w:cs="Times New Roman"/>
                <w:b/>
                <w:bCs/>
                <w:color w:val="auto"/>
                <w:kern w:val="2"/>
                <w:sz w:val="24"/>
                <w:szCs w:val="20"/>
                <w:highlight w:val="none"/>
                <w:lang w:val="en-US" w:eastAsia="zh-CN" w:bidi="ar-SA"/>
              </w:rPr>
              <w:t>建设项目环境风险简单分析内容表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85" w:type="dxa"/>
                <w:bottom w:w="0" w:type="dxa"/>
                <w:right w:w="85" w:type="dxa"/>
              </w:tblCellMar>
            </w:tblPr>
            <w:tblGrid>
              <w:gridCol w:w="1658"/>
              <w:gridCol w:w="6776"/>
            </w:tblGrid>
            <w:tr w14:paraId="3D65417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983" w:type="pct"/>
                  <w:tcBorders>
                    <w:top w:val="single" w:color="auto" w:sz="12" w:space="0"/>
                    <w:left w:val="nil"/>
                    <w:bottom w:val="single" w:color="auto" w:sz="2" w:space="0"/>
                    <w:right w:val="single" w:color="auto" w:sz="2" w:space="0"/>
                  </w:tcBorders>
                  <w:vAlign w:val="center"/>
                </w:tcPr>
                <w:p w14:paraId="1CA413C2">
                  <w:pPr>
                    <w:keepNext w:val="0"/>
                    <w:keepLines w:val="0"/>
                    <w:widowControl w:val="0"/>
                    <w:suppressLineNumbers w:val="0"/>
                    <w:adjustRightInd/>
                    <w:snapToGrid/>
                    <w:spacing w:before="0" w:beforeAutospacing="0" w:after="0" w:afterAutospacing="0"/>
                    <w:ind w:left="0" w:right="0"/>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lang w:val="en-US" w:eastAsia="zh-CN" w:bidi="ar-SA"/>
                    </w:rPr>
                    <w:t>建设项目名称</w:t>
                  </w:r>
                </w:p>
              </w:tc>
              <w:tc>
                <w:tcPr>
                  <w:tcW w:w="4016" w:type="pct"/>
                  <w:tcBorders>
                    <w:top w:val="single" w:color="auto" w:sz="12" w:space="0"/>
                    <w:left w:val="single" w:color="auto" w:sz="2" w:space="0"/>
                    <w:bottom w:val="single" w:color="auto" w:sz="2" w:space="0"/>
                    <w:right w:val="nil"/>
                  </w:tcBorders>
                  <w:vAlign w:val="center"/>
                </w:tcPr>
                <w:p w14:paraId="0A759EDC">
                  <w:pPr>
                    <w:keepNext w:val="0"/>
                    <w:keepLines w:val="0"/>
                    <w:widowControl w:val="0"/>
                    <w:suppressLineNumbers w:val="0"/>
                    <w:adjustRightInd/>
                    <w:snapToGrid/>
                    <w:spacing w:before="0" w:beforeAutospacing="0" w:after="0" w:afterAutospacing="0"/>
                    <w:ind w:left="0" w:right="0"/>
                    <w:jc w:val="center"/>
                    <w:rPr>
                      <w:rFonts w:hint="default" w:ascii="Times New Roman" w:hAnsi="Times New Roman" w:eastAsia="宋体" w:cs="Times New Roman"/>
                      <w:color w:val="auto"/>
                      <w:spacing w:val="4"/>
                      <w:kern w:val="0"/>
                      <w:sz w:val="21"/>
                      <w:szCs w:val="21"/>
                      <w:highlight w:val="none"/>
                      <w:lang w:val="en-US" w:eastAsia="zh-CN" w:bidi="ar-SA"/>
                    </w:rPr>
                  </w:pPr>
                  <w:r>
                    <w:rPr>
                      <w:rFonts w:hint="eastAsia" w:cs="Times New Roman"/>
                      <w:color w:val="auto"/>
                      <w:spacing w:val="4"/>
                      <w:kern w:val="0"/>
                      <w:sz w:val="21"/>
                      <w:szCs w:val="21"/>
                      <w:highlight w:val="none"/>
                      <w:lang w:val="en-US" w:eastAsia="zh-CN" w:bidi="ar-SA"/>
                    </w:rPr>
                    <w:t>无锡奕拓医药实验室新建项目</w:t>
                  </w:r>
                </w:p>
              </w:tc>
            </w:tr>
            <w:tr w14:paraId="542A362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85" w:type="dxa"/>
                  <w:bottom w:w="0" w:type="dxa"/>
                  <w:right w:w="85" w:type="dxa"/>
                </w:tblCellMar>
              </w:tblPrEx>
              <w:trPr>
                <w:trHeight w:val="340" w:hRule="atLeast"/>
                <w:jc w:val="center"/>
              </w:trPr>
              <w:tc>
                <w:tcPr>
                  <w:tcW w:w="983" w:type="pct"/>
                  <w:tcBorders>
                    <w:top w:val="single" w:color="auto" w:sz="2" w:space="0"/>
                    <w:left w:val="nil"/>
                    <w:bottom w:val="single" w:color="auto" w:sz="2" w:space="0"/>
                    <w:right w:val="single" w:color="auto" w:sz="2" w:space="0"/>
                  </w:tcBorders>
                  <w:vAlign w:val="center"/>
                </w:tcPr>
                <w:p w14:paraId="7E264149">
                  <w:pPr>
                    <w:keepNext w:val="0"/>
                    <w:keepLines w:val="0"/>
                    <w:widowControl w:val="0"/>
                    <w:suppressLineNumbers w:val="0"/>
                    <w:adjustRightInd/>
                    <w:snapToGrid/>
                    <w:spacing w:before="0" w:beforeAutospacing="0" w:after="0" w:afterAutospacing="0"/>
                    <w:ind w:left="0" w:right="0"/>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lang w:val="en-US" w:eastAsia="zh-CN" w:bidi="ar-SA"/>
                    </w:rPr>
                    <w:t>建设地点</w:t>
                  </w:r>
                </w:p>
              </w:tc>
              <w:tc>
                <w:tcPr>
                  <w:tcW w:w="4016" w:type="pct"/>
                  <w:tcBorders>
                    <w:top w:val="single" w:color="auto" w:sz="2" w:space="0"/>
                    <w:left w:val="single" w:color="auto" w:sz="2" w:space="0"/>
                    <w:bottom w:val="single" w:color="auto" w:sz="2" w:space="0"/>
                    <w:right w:val="nil"/>
                  </w:tcBorders>
                  <w:vAlign w:val="center"/>
                </w:tcPr>
                <w:p w14:paraId="21D0AAC8">
                  <w:pPr>
                    <w:keepNext w:val="0"/>
                    <w:keepLines w:val="0"/>
                    <w:widowControl w:val="0"/>
                    <w:suppressLineNumbers w:val="0"/>
                    <w:adjustRightInd/>
                    <w:snapToGrid/>
                    <w:spacing w:before="0" w:beforeAutospacing="0" w:after="0" w:afterAutospacing="0"/>
                    <w:ind w:left="0" w:right="0"/>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lang w:val="en-US" w:eastAsia="zh-CN" w:bidi="ar-SA"/>
                    </w:rPr>
                    <w:t>无锡市新吴区净慧东道196号F楼2楼</w:t>
                  </w:r>
                </w:p>
              </w:tc>
            </w:tr>
            <w:tr w14:paraId="1862693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85" w:type="dxa"/>
                  <w:bottom w:w="0" w:type="dxa"/>
                  <w:right w:w="85" w:type="dxa"/>
                </w:tblCellMar>
              </w:tblPrEx>
              <w:trPr>
                <w:trHeight w:val="340" w:hRule="atLeast"/>
                <w:jc w:val="center"/>
              </w:trPr>
              <w:tc>
                <w:tcPr>
                  <w:tcW w:w="983" w:type="pct"/>
                  <w:tcBorders>
                    <w:top w:val="single" w:color="auto" w:sz="2" w:space="0"/>
                    <w:left w:val="nil"/>
                    <w:bottom w:val="single" w:color="auto" w:sz="2" w:space="0"/>
                    <w:right w:val="single" w:color="auto" w:sz="2" w:space="0"/>
                  </w:tcBorders>
                  <w:vAlign w:val="center"/>
                </w:tcPr>
                <w:p w14:paraId="77754C4F">
                  <w:pPr>
                    <w:keepNext w:val="0"/>
                    <w:keepLines w:val="0"/>
                    <w:widowControl w:val="0"/>
                    <w:suppressLineNumbers w:val="0"/>
                    <w:adjustRightInd/>
                    <w:snapToGrid/>
                    <w:spacing w:before="0" w:beforeAutospacing="0" w:after="0" w:afterAutospacing="0"/>
                    <w:ind w:left="0" w:right="0"/>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lang w:val="en-US" w:eastAsia="zh-CN" w:bidi="ar-SA"/>
                    </w:rPr>
                    <w:t>地理坐标</w:t>
                  </w:r>
                </w:p>
              </w:tc>
              <w:tc>
                <w:tcPr>
                  <w:tcW w:w="4016" w:type="pct"/>
                  <w:tcBorders>
                    <w:top w:val="single" w:color="auto" w:sz="2" w:space="0"/>
                    <w:left w:val="single" w:color="auto" w:sz="2" w:space="0"/>
                    <w:bottom w:val="single" w:color="auto" w:sz="2" w:space="0"/>
                    <w:right w:val="nil"/>
                  </w:tcBorders>
                  <w:vAlign w:val="center"/>
                </w:tcPr>
                <w:p w14:paraId="22A85E0F">
                  <w:pPr>
                    <w:keepNext w:val="0"/>
                    <w:keepLines w:val="0"/>
                    <w:widowControl w:val="0"/>
                    <w:suppressLineNumbers w:val="0"/>
                    <w:adjustRightInd/>
                    <w:snapToGrid/>
                    <w:spacing w:before="0" w:beforeAutospacing="0" w:after="0" w:afterAutospacing="0"/>
                    <w:ind w:left="0" w:right="0" w:firstLine="420" w:firstLineChars="200"/>
                    <w:jc w:val="center"/>
                    <w:rPr>
                      <w:rFonts w:hint="default"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b w:val="0"/>
                      <w:bCs w:val="0"/>
                      <w:color w:val="auto"/>
                      <w:spacing w:val="0"/>
                      <w:kern w:val="28"/>
                      <w:sz w:val="21"/>
                      <w:szCs w:val="21"/>
                      <w:highlight w:val="none"/>
                      <w:lang w:val="en-US" w:eastAsia="zh-CN" w:bidi="ar-SA"/>
                    </w:rPr>
                    <w:t>120度</w:t>
                  </w:r>
                  <w:r>
                    <w:rPr>
                      <w:rFonts w:hint="eastAsia" w:cs="Times New Roman"/>
                      <w:b w:val="0"/>
                      <w:bCs w:val="0"/>
                      <w:color w:val="auto"/>
                      <w:spacing w:val="0"/>
                      <w:kern w:val="28"/>
                      <w:sz w:val="21"/>
                      <w:szCs w:val="21"/>
                      <w:highlight w:val="none"/>
                      <w:lang w:val="en-US" w:eastAsia="zh-CN" w:bidi="ar-SA"/>
                    </w:rPr>
                    <w:t>21</w:t>
                  </w:r>
                  <w:r>
                    <w:rPr>
                      <w:rFonts w:hint="eastAsia" w:ascii="Times New Roman" w:hAnsi="Times New Roman" w:eastAsia="宋体" w:cs="Times New Roman"/>
                      <w:b w:val="0"/>
                      <w:bCs w:val="0"/>
                      <w:color w:val="auto"/>
                      <w:spacing w:val="0"/>
                      <w:kern w:val="28"/>
                      <w:sz w:val="21"/>
                      <w:szCs w:val="21"/>
                      <w:highlight w:val="none"/>
                      <w:lang w:val="en-US" w:eastAsia="zh-CN" w:bidi="ar-SA"/>
                    </w:rPr>
                    <w:t>分</w:t>
                  </w:r>
                  <w:r>
                    <w:rPr>
                      <w:rFonts w:hint="eastAsia" w:cs="Times New Roman"/>
                      <w:b w:val="0"/>
                      <w:bCs w:val="0"/>
                      <w:color w:val="auto"/>
                      <w:spacing w:val="0"/>
                      <w:kern w:val="28"/>
                      <w:sz w:val="21"/>
                      <w:szCs w:val="21"/>
                      <w:highlight w:val="none"/>
                      <w:lang w:val="en-US" w:eastAsia="zh-CN" w:bidi="ar-SA"/>
                    </w:rPr>
                    <w:t>11.861</w:t>
                  </w:r>
                  <w:r>
                    <w:rPr>
                      <w:rFonts w:hint="eastAsia" w:ascii="Times New Roman" w:hAnsi="Times New Roman" w:eastAsia="宋体" w:cs="Times New Roman"/>
                      <w:b w:val="0"/>
                      <w:bCs w:val="0"/>
                      <w:color w:val="auto"/>
                      <w:spacing w:val="0"/>
                      <w:kern w:val="28"/>
                      <w:sz w:val="21"/>
                      <w:szCs w:val="21"/>
                      <w:highlight w:val="none"/>
                      <w:lang w:val="en-US" w:eastAsia="zh-CN" w:bidi="ar-SA"/>
                    </w:rPr>
                    <w:t>秒，31度</w:t>
                  </w:r>
                  <w:r>
                    <w:rPr>
                      <w:rFonts w:hint="eastAsia" w:cs="Times New Roman"/>
                      <w:b w:val="0"/>
                      <w:bCs w:val="0"/>
                      <w:color w:val="auto"/>
                      <w:spacing w:val="0"/>
                      <w:kern w:val="28"/>
                      <w:sz w:val="21"/>
                      <w:szCs w:val="21"/>
                      <w:highlight w:val="none"/>
                      <w:lang w:val="en-US" w:eastAsia="zh-CN" w:bidi="ar-SA"/>
                    </w:rPr>
                    <w:t>30</w:t>
                  </w:r>
                  <w:r>
                    <w:rPr>
                      <w:rFonts w:hint="eastAsia" w:ascii="Times New Roman" w:hAnsi="Times New Roman" w:eastAsia="宋体" w:cs="Times New Roman"/>
                      <w:b w:val="0"/>
                      <w:bCs w:val="0"/>
                      <w:color w:val="auto"/>
                      <w:spacing w:val="0"/>
                      <w:kern w:val="28"/>
                      <w:sz w:val="21"/>
                      <w:szCs w:val="21"/>
                      <w:highlight w:val="none"/>
                      <w:lang w:val="en-US" w:eastAsia="zh-CN" w:bidi="ar-SA"/>
                    </w:rPr>
                    <w:t>分</w:t>
                  </w:r>
                  <w:r>
                    <w:rPr>
                      <w:rFonts w:hint="eastAsia" w:cs="Times New Roman"/>
                      <w:b w:val="0"/>
                      <w:bCs w:val="0"/>
                      <w:color w:val="auto"/>
                      <w:spacing w:val="0"/>
                      <w:kern w:val="28"/>
                      <w:sz w:val="21"/>
                      <w:szCs w:val="21"/>
                      <w:highlight w:val="none"/>
                      <w:lang w:val="en-US" w:eastAsia="zh-CN" w:bidi="ar-SA"/>
                    </w:rPr>
                    <w:t>29.692</w:t>
                  </w:r>
                  <w:r>
                    <w:rPr>
                      <w:rFonts w:hint="eastAsia" w:ascii="Times New Roman" w:hAnsi="Times New Roman" w:eastAsia="宋体" w:cs="Times New Roman"/>
                      <w:b w:val="0"/>
                      <w:bCs w:val="0"/>
                      <w:color w:val="auto"/>
                      <w:spacing w:val="0"/>
                      <w:kern w:val="28"/>
                      <w:sz w:val="21"/>
                      <w:szCs w:val="21"/>
                      <w:highlight w:val="none"/>
                      <w:lang w:val="en-US" w:eastAsia="zh-CN" w:bidi="ar-SA"/>
                    </w:rPr>
                    <w:t>秒</w:t>
                  </w:r>
                </w:p>
              </w:tc>
            </w:tr>
            <w:tr w14:paraId="3E5697B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85" w:type="dxa"/>
                  <w:bottom w:w="0" w:type="dxa"/>
                  <w:right w:w="85" w:type="dxa"/>
                </w:tblCellMar>
              </w:tblPrEx>
              <w:trPr>
                <w:trHeight w:val="90" w:hRule="atLeast"/>
                <w:jc w:val="center"/>
              </w:trPr>
              <w:tc>
                <w:tcPr>
                  <w:tcW w:w="983" w:type="pct"/>
                  <w:tcBorders>
                    <w:top w:val="single" w:color="auto" w:sz="2" w:space="0"/>
                    <w:left w:val="nil"/>
                    <w:bottom w:val="single" w:color="auto" w:sz="2" w:space="0"/>
                    <w:right w:val="single" w:color="auto" w:sz="2" w:space="0"/>
                  </w:tcBorders>
                  <w:vAlign w:val="center"/>
                </w:tcPr>
                <w:p w14:paraId="100F5E0C">
                  <w:pPr>
                    <w:keepNext w:val="0"/>
                    <w:keepLines w:val="0"/>
                    <w:widowControl w:val="0"/>
                    <w:suppressLineNumbers w:val="0"/>
                    <w:adjustRightInd/>
                    <w:snapToGrid/>
                    <w:spacing w:before="0" w:beforeAutospacing="0" w:after="0" w:afterAutospacing="0"/>
                    <w:ind w:left="0" w:right="0"/>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lang w:val="en-US" w:eastAsia="zh-CN" w:bidi="ar-SA"/>
                    </w:rPr>
                    <w:t>主要危险物质及分布</w:t>
                  </w:r>
                </w:p>
              </w:tc>
              <w:tc>
                <w:tcPr>
                  <w:tcW w:w="6776" w:type="dxa"/>
                  <w:tcBorders>
                    <w:top w:val="single" w:color="auto" w:sz="2" w:space="0"/>
                    <w:left w:val="single" w:color="auto" w:sz="2" w:space="0"/>
                    <w:bottom w:val="single" w:color="auto" w:sz="2" w:space="0"/>
                    <w:right w:val="nil"/>
                  </w:tcBorders>
                  <w:vAlign w:val="center"/>
                </w:tcPr>
                <w:p w14:paraId="534981C2">
                  <w:pPr>
                    <w:pStyle w:val="53"/>
                    <w:keepNext w:val="0"/>
                    <w:keepLines w:val="0"/>
                    <w:suppressLineNumbers w:val="0"/>
                    <w:adjustRightInd/>
                    <w:snapToGrid/>
                    <w:spacing w:before="0" w:beforeAutospacing="0" w:after="0" w:afterAutospacing="0"/>
                    <w:ind w:left="0" w:right="0" w:firstLine="436" w:firstLineChars="200"/>
                    <w:jc w:val="left"/>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本项目使用的</w:t>
                  </w:r>
                  <w:r>
                    <w:rPr>
                      <w:rFonts w:hint="default" w:ascii="Times New Roman" w:hAnsi="Times New Roman" w:eastAsia="宋体" w:cs="Times New Roman"/>
                      <w:color w:val="auto"/>
                      <w:sz w:val="21"/>
                      <w:szCs w:val="21"/>
                      <w:highlight w:val="none"/>
                      <w:lang w:val="en-US" w:eastAsia="zh-CN"/>
                    </w:rPr>
                    <w:t>75%消毒酒精、二甲基亚砜、甲醇、无水乙醇、异丙醇</w:t>
                  </w:r>
                  <w:r>
                    <w:rPr>
                      <w:rFonts w:hint="eastAsia" w:ascii="Times New Roman" w:hAnsi="Times New Roman" w:eastAsia="宋体" w:cs="Times New Roman"/>
                      <w:color w:val="auto"/>
                      <w:sz w:val="21"/>
                      <w:szCs w:val="21"/>
                      <w:highlight w:val="none"/>
                      <w:lang w:val="en-US" w:eastAsia="zh-CN"/>
                    </w:rPr>
                    <w:t>作为</w:t>
                  </w:r>
                  <w:r>
                    <w:rPr>
                      <w:rFonts w:hint="default" w:ascii="Times New Roman" w:hAnsi="Times New Roman" w:eastAsia="宋体" w:cs="Times New Roman"/>
                      <w:color w:val="auto"/>
                      <w:sz w:val="21"/>
                      <w:szCs w:val="21"/>
                      <w:highlight w:val="none"/>
                      <w:lang w:val="en-US" w:eastAsia="zh-CN"/>
                    </w:rPr>
                    <w:t>原辅材料</w:t>
                  </w:r>
                  <w:r>
                    <w:rPr>
                      <w:rFonts w:hint="default" w:ascii="Times New Roman" w:hAnsi="Times New Roman" w:eastAsia="宋体" w:cs="Times New Roman"/>
                      <w:color w:val="auto"/>
                      <w:sz w:val="21"/>
                      <w:szCs w:val="21"/>
                      <w:highlight w:val="none"/>
                    </w:rPr>
                    <w:t>主要储存在</w:t>
                  </w:r>
                  <w:r>
                    <w:rPr>
                      <w:rFonts w:hint="default" w:ascii="Times New Roman" w:hAnsi="Times New Roman" w:eastAsia="宋体" w:cs="Times New Roman"/>
                      <w:color w:val="auto"/>
                      <w:sz w:val="21"/>
                      <w:szCs w:val="21"/>
                      <w:highlight w:val="none"/>
                      <w:lang w:val="en-US" w:eastAsia="zh-CN"/>
                    </w:rPr>
                    <w:t>原料</w:t>
                  </w:r>
                  <w:r>
                    <w:rPr>
                      <w:rFonts w:hint="eastAsia" w:ascii="Times New Roman" w:hAnsi="Times New Roman" w:eastAsia="宋体" w:cs="Times New Roman"/>
                      <w:color w:val="auto"/>
                      <w:sz w:val="21"/>
                      <w:szCs w:val="21"/>
                      <w:highlight w:val="none"/>
                      <w:lang w:val="en-US" w:eastAsia="zh-CN"/>
                    </w:rPr>
                    <w:t>贮存区</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实验废液、废实验耗材、废化学品包装、废生物材料、纯水制备废滤芯、生物安全柜废滤芯、蛋白纯化废滤芯、废活性炭</w:t>
                  </w:r>
                  <w:r>
                    <w:rPr>
                      <w:rFonts w:hint="default" w:ascii="Times New Roman" w:hAnsi="Times New Roman" w:eastAsia="宋体" w:cs="Times New Roman"/>
                      <w:color w:val="auto"/>
                      <w:sz w:val="21"/>
                      <w:szCs w:val="21"/>
                      <w:highlight w:val="none"/>
                      <w:lang w:eastAsia="zh-CN"/>
                    </w:rPr>
                    <w:t>等</w:t>
                  </w:r>
                  <w:r>
                    <w:rPr>
                      <w:rFonts w:hint="default" w:ascii="Times New Roman" w:hAnsi="Times New Roman" w:eastAsia="宋体" w:cs="Times New Roman"/>
                      <w:color w:val="auto"/>
                      <w:sz w:val="21"/>
                      <w:szCs w:val="21"/>
                      <w:highlight w:val="none"/>
                      <w:lang w:val="en-US" w:eastAsia="zh-CN"/>
                    </w:rPr>
                    <w:t>危废</w:t>
                  </w:r>
                  <w:r>
                    <w:rPr>
                      <w:rFonts w:hint="default" w:ascii="Times New Roman" w:hAnsi="Times New Roman" w:eastAsia="宋体" w:cs="Times New Roman"/>
                      <w:color w:val="auto"/>
                      <w:sz w:val="21"/>
                      <w:szCs w:val="21"/>
                      <w:highlight w:val="none"/>
                    </w:rPr>
                    <w:t>存放在</w:t>
                  </w:r>
                  <w:r>
                    <w:rPr>
                      <w:rFonts w:hint="eastAsia" w:cs="Times New Roman"/>
                      <w:color w:val="auto"/>
                      <w:sz w:val="21"/>
                      <w:szCs w:val="21"/>
                      <w:highlight w:val="none"/>
                      <w:lang w:val="en-US" w:eastAsia="zh-CN"/>
                    </w:rPr>
                    <w:t>危废间</w:t>
                  </w:r>
                  <w:r>
                    <w:rPr>
                      <w:rFonts w:hint="default" w:ascii="Times New Roman" w:hAnsi="Times New Roman" w:eastAsia="宋体" w:cs="Times New Roman"/>
                      <w:color w:val="auto"/>
                      <w:sz w:val="21"/>
                      <w:szCs w:val="21"/>
                      <w:highlight w:val="none"/>
                    </w:rPr>
                    <w:t>。</w:t>
                  </w:r>
                </w:p>
              </w:tc>
            </w:tr>
            <w:tr w14:paraId="0712DAA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85" w:type="dxa"/>
                  <w:bottom w:w="0" w:type="dxa"/>
                  <w:right w:w="85" w:type="dxa"/>
                </w:tblCellMar>
              </w:tblPrEx>
              <w:trPr>
                <w:trHeight w:val="340" w:hRule="atLeast"/>
                <w:jc w:val="center"/>
              </w:trPr>
              <w:tc>
                <w:tcPr>
                  <w:tcW w:w="983" w:type="pct"/>
                  <w:tcBorders>
                    <w:top w:val="single" w:color="auto" w:sz="2" w:space="0"/>
                    <w:left w:val="nil"/>
                    <w:bottom w:val="single" w:color="auto" w:sz="2" w:space="0"/>
                    <w:right w:val="single" w:color="auto" w:sz="2" w:space="0"/>
                  </w:tcBorders>
                  <w:vAlign w:val="center"/>
                </w:tcPr>
                <w:p w14:paraId="44CABEDD">
                  <w:pPr>
                    <w:keepNext w:val="0"/>
                    <w:keepLines w:val="0"/>
                    <w:widowControl w:val="0"/>
                    <w:suppressLineNumbers w:val="0"/>
                    <w:adjustRightInd/>
                    <w:snapToGrid/>
                    <w:spacing w:before="0" w:beforeAutospacing="0" w:after="0" w:afterAutospacing="0"/>
                    <w:ind w:left="0" w:right="0"/>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lang w:val="en-US" w:eastAsia="zh-CN" w:bidi="ar-SA"/>
                    </w:rPr>
                    <w:t>环境影响途径及危害后果（大气、地表水、地下水等）</w:t>
                  </w:r>
                </w:p>
              </w:tc>
              <w:tc>
                <w:tcPr>
                  <w:tcW w:w="6776" w:type="dxa"/>
                  <w:tcBorders>
                    <w:top w:val="single" w:color="auto" w:sz="2" w:space="0"/>
                    <w:left w:val="single" w:color="auto" w:sz="2" w:space="0"/>
                    <w:bottom w:val="single" w:color="auto" w:sz="2" w:space="0"/>
                    <w:right w:val="nil"/>
                  </w:tcBorders>
                  <w:vAlign w:val="center"/>
                </w:tcPr>
                <w:p w14:paraId="02FE2A39">
                  <w:pPr>
                    <w:pStyle w:val="53"/>
                    <w:keepNext w:val="0"/>
                    <w:keepLines w:val="0"/>
                    <w:suppressLineNumbers w:val="0"/>
                    <w:adjustRightInd/>
                    <w:snapToGrid/>
                    <w:spacing w:before="0" w:beforeAutospacing="0" w:after="0" w:afterAutospacing="0"/>
                    <w:ind w:left="0" w:right="0" w:firstLine="436"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涉及的主要风险物质为75%消毒酒精、二甲基亚砜、甲醇、无水乙醇、异丙醇、实验废液、废实验耗材、废化学品包装、废生物材料、纯水制备废滤芯、生物安全柜废滤芯、蛋白纯化废滤芯、废活性炭等。75%消毒酒精、二甲基亚砜、甲醇、无水乙醇、异丙醇等发生泄漏，会产生废气进入大气环境中，造成环境空气质量污染；75%消毒酒精、无水乙醇、废活性炭等如遇明火会有燃烧、爆炸的危险，同时燃烧产生一氧化碳、二氧化碳、非甲烷总烃等废气进入大气环境中，会导致周围环境中相应污染物浓度增高，造成环境空气质量污染。同时，75%消毒酒精、二甲基亚砜、甲醇、无水乙醇、异丙醇、实验废液等液态风险物质若发生存储桶破损且防渗措施老化等情况导致事故排放，可能会污染地表水、地下水及土壤。</w:t>
                  </w:r>
                </w:p>
                <w:p w14:paraId="52035194">
                  <w:pPr>
                    <w:keepNext w:val="0"/>
                    <w:keepLines w:val="0"/>
                    <w:suppressLineNumbers w:val="0"/>
                    <w:snapToGrid w:val="0"/>
                    <w:spacing w:before="0" w:beforeAutospacing="0" w:after="0" w:afterAutospacing="0"/>
                    <w:ind w:left="0" w:right="0" w:firstLine="420" w:firstLineChars="200"/>
                    <w:rPr>
                      <w:rFonts w:hint="default" w:ascii="Times New Roman" w:hAnsi="Times New Roman" w:eastAsia="宋体" w:cs="Times New Roman"/>
                      <w:bCs/>
                      <w:color w:val="auto"/>
                      <w:kern w:val="28"/>
                      <w:sz w:val="21"/>
                      <w:szCs w:val="21"/>
                      <w:highlight w:val="none"/>
                      <w:lang w:val="en-US" w:eastAsia="zh-CN" w:bidi="ar-SA"/>
                    </w:rPr>
                  </w:pPr>
                  <w:r>
                    <w:rPr>
                      <w:rFonts w:hint="default" w:ascii="Times New Roman" w:hAnsi="Times New Roman" w:eastAsia="宋体" w:cs="Times New Roman"/>
                      <w:color w:val="auto"/>
                      <w:szCs w:val="21"/>
                      <w:highlight w:val="none"/>
                    </w:rPr>
                    <w:t>项目重点防渗区危废</w:t>
                  </w:r>
                  <w:r>
                    <w:rPr>
                      <w:rFonts w:hint="eastAsia" w:ascii="Times New Roman" w:hAnsi="Times New Roman" w:eastAsia="宋体" w:cs="Times New Roman"/>
                      <w:color w:val="auto"/>
                      <w:szCs w:val="21"/>
                      <w:highlight w:val="none"/>
                      <w:lang w:eastAsia="zh-CN"/>
                    </w:rPr>
                    <w:t>堆场</w:t>
                  </w:r>
                  <w:r>
                    <w:rPr>
                      <w:rFonts w:hint="default" w:ascii="Times New Roman" w:hAnsi="Times New Roman" w:eastAsia="宋体" w:cs="Times New Roman"/>
                      <w:color w:val="auto"/>
                      <w:szCs w:val="21"/>
                      <w:highlight w:val="none"/>
                    </w:rPr>
                    <w:t>拟采取防渗措施，对项目地下水、土壤环境风险影响较小。</w:t>
                  </w:r>
                </w:p>
              </w:tc>
            </w:tr>
            <w:tr w14:paraId="3D68038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85" w:type="dxa"/>
                  <w:bottom w:w="0" w:type="dxa"/>
                  <w:right w:w="85" w:type="dxa"/>
                </w:tblCellMar>
              </w:tblPrEx>
              <w:trPr>
                <w:trHeight w:val="1042" w:hRule="atLeast"/>
                <w:jc w:val="center"/>
              </w:trPr>
              <w:tc>
                <w:tcPr>
                  <w:tcW w:w="983" w:type="pct"/>
                  <w:tcBorders>
                    <w:top w:val="single" w:color="auto" w:sz="2" w:space="0"/>
                    <w:left w:val="nil"/>
                    <w:bottom w:val="single" w:color="auto" w:sz="2" w:space="0"/>
                    <w:right w:val="single" w:color="auto" w:sz="2" w:space="0"/>
                  </w:tcBorders>
                  <w:vAlign w:val="center"/>
                </w:tcPr>
                <w:p w14:paraId="66B542D8">
                  <w:pPr>
                    <w:keepNext w:val="0"/>
                    <w:keepLines w:val="0"/>
                    <w:widowControl w:val="0"/>
                    <w:suppressLineNumbers w:val="0"/>
                    <w:adjustRightInd/>
                    <w:snapToGrid/>
                    <w:spacing w:before="0" w:beforeAutospacing="0" w:after="0" w:afterAutospacing="0"/>
                    <w:ind w:left="0" w:right="0"/>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lang w:val="en-US" w:eastAsia="zh-CN" w:bidi="ar-SA"/>
                    </w:rPr>
                    <w:t>风险防范措施要求</w:t>
                  </w:r>
                </w:p>
              </w:tc>
              <w:tc>
                <w:tcPr>
                  <w:tcW w:w="6776" w:type="dxa"/>
                  <w:tcBorders>
                    <w:top w:val="single" w:color="auto" w:sz="2" w:space="0"/>
                    <w:left w:val="single" w:color="auto" w:sz="2" w:space="0"/>
                    <w:bottom w:val="single" w:color="auto" w:sz="2" w:space="0"/>
                    <w:right w:val="nil"/>
                  </w:tcBorders>
                  <w:vAlign w:val="center"/>
                </w:tcPr>
                <w:p w14:paraId="37E0DE92">
                  <w:pPr>
                    <w:pStyle w:val="4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①</w:t>
                  </w:r>
                  <w:r>
                    <w:rPr>
                      <w:rFonts w:hint="eastAsia" w:ascii="Times New Roman" w:hAnsi="Times New Roman" w:eastAsia="宋体" w:cs="Times New Roman"/>
                      <w:bCs w:val="0"/>
                      <w:color w:val="auto"/>
                      <w:kern w:val="2"/>
                      <w:sz w:val="21"/>
                      <w:szCs w:val="24"/>
                      <w:highlight w:val="none"/>
                      <w:lang w:val="en-US" w:eastAsia="zh-CN" w:bidi="ar-SA"/>
                    </w:rPr>
                    <w:t>企业应建立应急设施及物资管理制度，各风险单元应配备相应应急设施和应急物资，并定期维护确保其可正常使用。企业应建立隐患排查治理制度，并按照要求进行定期演练和培训。</w:t>
                  </w:r>
                </w:p>
                <w:p w14:paraId="0EC8B7A7">
                  <w:pPr>
                    <w:pStyle w:val="4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highlight w:val="none"/>
                    </w:rPr>
                    <w:t>②从生产管理、危险化学品贮存、工艺技术设计、自动控制设计、电气及电讯、消防及火灾报警系统等方面制定相应的环境风险防范措施。</w:t>
                  </w:r>
                </w:p>
                <w:p w14:paraId="39FB409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highlight w:val="none"/>
                    </w:rPr>
                    <w:t>③提高设备自动控制水平，设置集中控制室、工人操作值班室等，对关键设备的操作条件进行自动控制及安全报警，及时预报和切断泄漏源，在紧急情况下可自动停车，以减少和降低危险出现概率</w:t>
                  </w:r>
                  <w:r>
                    <w:rPr>
                      <w:rFonts w:hint="default" w:ascii="Times New Roman" w:hAnsi="Times New Roman" w:eastAsia="宋体" w:cs="Times New Roman"/>
                      <w:color w:val="auto"/>
                      <w:sz w:val="21"/>
                      <w:szCs w:val="24"/>
                      <w:highlight w:val="none"/>
                    </w:rPr>
                    <w:t>。</w:t>
                  </w:r>
                </w:p>
                <w:p w14:paraId="73AE3F8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highlight w:val="none"/>
                    </w:rPr>
                  </w:pPr>
                  <w:r>
                    <w:rPr>
                      <w:rFonts w:hint="eastAsia" w:ascii="Times New Roman" w:hAnsi="Times New Roman" w:eastAsia="宋体"/>
                      <w:color w:val="auto"/>
                      <w:sz w:val="21"/>
                      <w:highlight w:val="none"/>
                      <w:lang w:val="en-US" w:eastAsia="zh-CN"/>
                    </w:rPr>
                    <w:t>④</w:t>
                  </w:r>
                  <w:r>
                    <w:rPr>
                      <w:rFonts w:hint="default" w:ascii="Times New Roman" w:hAnsi="Times New Roman" w:eastAsia="宋体"/>
                      <w:color w:val="auto"/>
                      <w:sz w:val="21"/>
                      <w:szCs w:val="24"/>
                      <w:highlight w:val="none"/>
                    </w:rPr>
                    <w:t>企业应按照要求建立相应的环境应急管理制度，包括：突发环境事件应急预案的编制及修订；与相应监测单位签订应急监测协议；按照要求配备相应的应急物资装备；建立突发环境事件隐患排查治理制度；按照要求进行环境应急培训和演练并建立相应台账；设立环境风险防范设施及环境应急处置卡标识标牌。</w:t>
                  </w:r>
                </w:p>
                <w:p w14:paraId="5511B42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4"/>
                      <w:highlight w:val="none"/>
                      <w:lang w:val="en-US" w:eastAsia="zh-CN"/>
                    </w:rPr>
                  </w:pPr>
                  <w:r>
                    <w:rPr>
                      <w:rFonts w:hint="default" w:ascii="Times New Roman" w:hAnsi="Times New Roman" w:eastAsia="宋体" w:cs="Times New Roman"/>
                      <w:color w:val="auto"/>
                      <w:sz w:val="21"/>
                      <w:highlight w:val="none"/>
                    </w:rPr>
                    <w:t>⑤本项目使用</w:t>
                  </w:r>
                  <w:r>
                    <w:rPr>
                      <w:rFonts w:hint="default" w:ascii="Times New Roman" w:hAnsi="Times New Roman" w:eastAsia="宋体" w:cs="Times New Roman"/>
                      <w:color w:val="auto"/>
                      <w:sz w:val="21"/>
                      <w:highlight w:val="none"/>
                      <w:lang w:eastAsia="zh-CN"/>
                    </w:rPr>
                    <w:t>的</w:t>
                  </w:r>
                  <w:r>
                    <w:rPr>
                      <w:rFonts w:hint="eastAsia" w:cs="Times New Roman"/>
                      <w:color w:val="auto"/>
                      <w:sz w:val="21"/>
                      <w:highlight w:val="none"/>
                      <w:lang w:val="en-US" w:eastAsia="zh-CN"/>
                    </w:rPr>
                    <w:t>无水乙醇、甲醇、75%消毒酒精</w:t>
                  </w:r>
                  <w:r>
                    <w:rPr>
                      <w:rFonts w:hint="eastAsia" w:ascii="Times New Roman" w:hAnsi="Times New Roman" w:eastAsia="宋体" w:cs="Times New Roman"/>
                      <w:color w:val="auto"/>
                      <w:sz w:val="21"/>
                      <w:highlight w:val="none"/>
                      <w:lang w:val="en-US" w:eastAsia="zh-CN"/>
                    </w:rPr>
                    <w:t>等</w:t>
                  </w:r>
                  <w:r>
                    <w:rPr>
                      <w:rFonts w:hint="eastAsia" w:ascii="Times New Roman" w:hAnsi="Times New Roman" w:eastAsia="宋体" w:cs="Times New Roman"/>
                      <w:color w:val="auto"/>
                      <w:sz w:val="21"/>
                      <w:szCs w:val="24"/>
                      <w:highlight w:val="none"/>
                      <w:lang w:eastAsia="zh-CN"/>
                    </w:rPr>
                    <w:t>液态物料密封包装</w:t>
                  </w:r>
                  <w:r>
                    <w:rPr>
                      <w:rFonts w:hint="default" w:ascii="Times New Roman" w:hAnsi="Times New Roman" w:eastAsia="宋体" w:cs="Times New Roman"/>
                      <w:color w:val="auto"/>
                      <w:sz w:val="21"/>
                      <w:highlight w:val="none"/>
                    </w:rPr>
                    <w:t>，</w:t>
                  </w:r>
                  <w:r>
                    <w:rPr>
                      <w:rFonts w:hint="eastAsia" w:ascii="Times New Roman" w:hAnsi="Times New Roman" w:eastAsia="宋体"/>
                      <w:color w:val="auto"/>
                      <w:sz w:val="21"/>
                      <w:highlight w:val="none"/>
                      <w:lang w:val="en-US" w:eastAsia="zh-CN"/>
                    </w:rPr>
                    <w:t>应做好储存区的防腐防渗等措施，设置截流设施，</w:t>
                  </w:r>
                  <w:r>
                    <w:rPr>
                      <w:rFonts w:hint="eastAsia" w:ascii="Times New Roman" w:hAnsi="Times New Roman" w:eastAsia="宋体"/>
                      <w:color w:val="auto"/>
                      <w:sz w:val="21"/>
                      <w:highlight w:val="none"/>
                    </w:rPr>
                    <w:t>定期检查桶的密封性</w:t>
                  </w:r>
                  <w:r>
                    <w:rPr>
                      <w:rFonts w:hint="default" w:ascii="Times New Roman" w:hAnsi="Times New Roman" w:eastAsia="宋体"/>
                      <w:color w:val="auto"/>
                      <w:sz w:val="21"/>
                      <w:highlight w:val="none"/>
                    </w:rPr>
                    <w:t>，</w:t>
                  </w:r>
                  <w:r>
                    <w:rPr>
                      <w:rFonts w:hint="eastAsia" w:ascii="Times New Roman" w:hAnsi="Times New Roman" w:eastAsia="宋体"/>
                      <w:color w:val="auto"/>
                      <w:sz w:val="21"/>
                      <w:highlight w:val="none"/>
                    </w:rPr>
                    <w:t>谨防泄</w:t>
                  </w:r>
                  <w:r>
                    <w:rPr>
                      <w:rFonts w:hint="eastAsia" w:ascii="Times New Roman" w:hAnsi="Times New Roman" w:eastAsia="宋体"/>
                      <w:color w:val="auto"/>
                      <w:sz w:val="21"/>
                      <w:highlight w:val="none"/>
                      <w:lang w:val="en-US" w:eastAsia="zh-CN"/>
                    </w:rPr>
                    <w:t>漏</w:t>
                  </w:r>
                  <w:r>
                    <w:rPr>
                      <w:rFonts w:hint="eastAsia" w:ascii="Times New Roman" w:hAnsi="Times New Roman" w:eastAsia="宋体"/>
                      <w:color w:val="auto"/>
                      <w:sz w:val="21"/>
                      <w:highlight w:val="none"/>
                    </w:rPr>
                    <w:t>，</w:t>
                  </w:r>
                  <w:r>
                    <w:rPr>
                      <w:rFonts w:hint="default" w:ascii="Times New Roman" w:hAnsi="Times New Roman" w:eastAsia="宋体"/>
                      <w:color w:val="auto"/>
                      <w:sz w:val="21"/>
                      <w:highlight w:val="none"/>
                    </w:rPr>
                    <w:t>加强风险源监控</w:t>
                  </w:r>
                  <w:r>
                    <w:rPr>
                      <w:rFonts w:hint="default" w:ascii="Times New Roman" w:hAnsi="Times New Roman" w:eastAsia="宋体" w:cs="Times New Roman"/>
                      <w:color w:val="auto"/>
                      <w:sz w:val="21"/>
                      <w:szCs w:val="24"/>
                      <w:highlight w:val="none"/>
                      <w:lang w:val="en-US" w:eastAsia="zh-CN"/>
                    </w:rPr>
                    <w:t>。</w:t>
                  </w:r>
                </w:p>
                <w:p w14:paraId="13966C0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⑥</w:t>
                  </w:r>
                  <w:r>
                    <w:rPr>
                      <w:rFonts w:hint="default" w:ascii="Times New Roman" w:hAnsi="Times New Roman" w:eastAsia="宋体"/>
                      <w:color w:val="auto"/>
                      <w:sz w:val="21"/>
                      <w:highlight w:val="none"/>
                    </w:rPr>
                    <w:t>加强废气处理设施监管，定期进行环境安全</w:t>
                  </w:r>
                  <w:r>
                    <w:rPr>
                      <w:rFonts w:hint="eastAsia" w:ascii="Times New Roman" w:hAnsi="Times New Roman" w:eastAsia="宋体" w:cs="Times New Roman"/>
                      <w:color w:val="auto"/>
                      <w:sz w:val="21"/>
                      <w:highlight w:val="none"/>
                      <w:lang w:val="en-US" w:eastAsia="zh-CN"/>
                    </w:rPr>
                    <w:t>辨识管控及</w:t>
                  </w:r>
                  <w:r>
                    <w:rPr>
                      <w:rFonts w:hint="default" w:ascii="Times New Roman" w:hAnsi="Times New Roman" w:eastAsia="宋体"/>
                      <w:color w:val="auto"/>
                      <w:sz w:val="21"/>
                      <w:highlight w:val="none"/>
                    </w:rPr>
                    <w:t>隐患排查。若废气处理设施发生故障后，需立即停车停止生产，杜绝废气事故排放</w:t>
                  </w:r>
                  <w:r>
                    <w:rPr>
                      <w:rFonts w:hint="default" w:ascii="Times New Roman" w:hAnsi="Times New Roman" w:eastAsia="宋体" w:cs="Times New Roman"/>
                      <w:color w:val="auto"/>
                      <w:sz w:val="21"/>
                      <w:highlight w:val="none"/>
                    </w:rPr>
                    <w:t>。</w:t>
                  </w:r>
                </w:p>
                <w:p w14:paraId="1FE6D6F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highlight w:val="none"/>
                    </w:rPr>
                  </w:pPr>
                  <w:r>
                    <w:rPr>
                      <w:rFonts w:hint="eastAsia" w:ascii="Times New Roman" w:hAnsi="Times New Roman" w:eastAsia="宋体"/>
                      <w:color w:val="auto"/>
                      <w:kern w:val="2"/>
                      <w:sz w:val="21"/>
                      <w:szCs w:val="24"/>
                      <w:highlight w:val="none"/>
                    </w:rPr>
                    <w:t>⑦危险废物暂存区域应严格按照《危险废物贮存污染控制标准》(GB18597-</w:t>
                  </w:r>
                  <w:r>
                    <w:rPr>
                      <w:rFonts w:hint="eastAsia" w:ascii="Times New Roman" w:hAnsi="Times New Roman" w:eastAsia="宋体"/>
                      <w:color w:val="auto"/>
                      <w:kern w:val="2"/>
                      <w:sz w:val="21"/>
                      <w:szCs w:val="24"/>
                      <w:highlight w:val="none"/>
                      <w:lang w:val="en-US" w:eastAsia="zh-CN"/>
                    </w:rPr>
                    <w:t>2023）</w:t>
                  </w:r>
                  <w:r>
                    <w:rPr>
                      <w:rFonts w:hint="eastAsia" w:ascii="Times New Roman" w:hAnsi="Times New Roman" w:eastAsia="宋体"/>
                      <w:color w:val="auto"/>
                      <w:kern w:val="2"/>
                      <w:sz w:val="21"/>
                      <w:szCs w:val="24"/>
                      <w:highlight w:val="none"/>
                    </w:rPr>
                    <w:t>中的相关规定，</w:t>
                  </w:r>
                  <w:r>
                    <w:rPr>
                      <w:rFonts w:hint="eastAsia" w:ascii="Times New Roman" w:hAnsi="Times New Roman" w:eastAsia="宋体"/>
                      <w:color w:val="auto"/>
                      <w:kern w:val="2"/>
                      <w:sz w:val="21"/>
                      <w:szCs w:val="24"/>
                      <w:highlight w:val="none"/>
                      <w:lang w:val="en-US" w:eastAsia="zh-CN"/>
                    </w:rPr>
                    <w:t>编制突发环境事件应急预案，定期开展必要的培训和环境应急演练，并做好培训、演练记录</w:t>
                  </w:r>
                  <w:r>
                    <w:rPr>
                      <w:rFonts w:hint="eastAsia" w:ascii="Times New Roman" w:hAnsi="Times New Roman" w:eastAsia="宋体"/>
                      <w:color w:val="auto"/>
                      <w:kern w:val="2"/>
                      <w:sz w:val="21"/>
                      <w:szCs w:val="24"/>
                      <w:highlight w:val="none"/>
                    </w:rPr>
                    <w:t>。</w:t>
                  </w:r>
                  <w:r>
                    <w:rPr>
                      <w:rFonts w:hint="eastAsia" w:ascii="Times New Roman" w:hAnsi="Times New Roman" w:eastAsia="宋体"/>
                      <w:color w:val="auto"/>
                      <w:kern w:val="2"/>
                      <w:sz w:val="21"/>
                      <w:szCs w:val="24"/>
                      <w:highlight w:val="none"/>
                      <w:lang w:val="en-US" w:eastAsia="zh-CN"/>
                    </w:rPr>
                    <w:t>公司应配备本项目突发环境事件应急要求的应急人员、装备和物资，并设置应急照明系统。</w:t>
                  </w:r>
                </w:p>
                <w:p w14:paraId="51C5F1BC">
                  <w:pPr>
                    <w:pStyle w:val="53"/>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436" w:firstLineChars="200"/>
                    <w:jc w:val="left"/>
                    <w:textAlignment w:val="auto"/>
                    <w:rPr>
                      <w:rFonts w:hint="default"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olor w:val="auto"/>
                      <w:kern w:val="2"/>
                      <w:sz w:val="21"/>
                      <w:szCs w:val="24"/>
                      <w:highlight w:val="none"/>
                    </w:rPr>
                    <w:t>⑧在雨水排口设置雨水切断阀，并对事故废水进行收集，避免事故废水对周围环境产生影响。</w:t>
                  </w:r>
                </w:p>
              </w:tc>
            </w:tr>
            <w:tr w14:paraId="0D69BCD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85" w:type="dxa"/>
                  <w:bottom w:w="0" w:type="dxa"/>
                  <w:right w:w="85" w:type="dxa"/>
                </w:tblCellMar>
              </w:tblPrEx>
              <w:trPr>
                <w:trHeight w:val="1197" w:hRule="atLeast"/>
                <w:jc w:val="center"/>
              </w:trPr>
              <w:tc>
                <w:tcPr>
                  <w:tcW w:w="5000" w:type="pct"/>
                  <w:gridSpan w:val="2"/>
                  <w:tcBorders>
                    <w:top w:val="single" w:color="auto" w:sz="2" w:space="0"/>
                    <w:left w:val="nil"/>
                    <w:bottom w:val="single" w:color="auto" w:sz="12" w:space="0"/>
                    <w:right w:val="nil"/>
                  </w:tcBorders>
                  <w:vAlign w:val="center"/>
                </w:tcPr>
                <w:p w14:paraId="0EC83725">
                  <w:pPr>
                    <w:keepNext w:val="0"/>
                    <w:keepLines w:val="0"/>
                    <w:suppressLineNumbers w:val="0"/>
                    <w:bidi w:val="0"/>
                    <w:spacing w:before="0" w:beforeAutospacing="0" w:after="0" w:afterAutospacing="0"/>
                    <w:ind w:left="0"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分析结论：在各环境风险防范措施落实到位的情况下，将可大大降低建设项目的环境风险，最大程度减少对环境可能造成的危害。在企业落实本评价提出的各项风险防范措施后，项目对环境的风险影响可接受。</w:t>
                  </w:r>
                </w:p>
              </w:tc>
            </w:tr>
          </w:tbl>
          <w:p w14:paraId="75E03C25">
            <w:pPr>
              <w:keepNext w:val="0"/>
              <w:keepLines w:val="0"/>
              <w:numPr>
                <w:ilvl w:val="0"/>
                <w:numId w:val="0"/>
              </w:numPr>
              <w:suppressLineNumbers w:val="0"/>
              <w:autoSpaceDE w:val="0"/>
              <w:spacing w:before="0" w:beforeAutospacing="0" w:after="0" w:afterAutospacing="0" w:line="360" w:lineRule="auto"/>
              <w:ind w:left="0" w:right="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kern w:val="2"/>
                <w:sz w:val="24"/>
                <w:szCs w:val="24"/>
                <w:lang w:val="en-US" w:eastAsia="zh-CN" w:bidi="ar-SA"/>
              </w:rPr>
              <w:t>8、</w:t>
            </w:r>
            <w:r>
              <w:rPr>
                <w:rFonts w:hint="default" w:ascii="Times New Roman" w:hAnsi="Times New Roman" w:eastAsia="宋体" w:cs="Times New Roman"/>
                <w:b/>
                <w:bCs/>
                <w:color w:val="auto"/>
                <w:sz w:val="24"/>
                <w:highlight w:val="none"/>
              </w:rPr>
              <w:t>电磁辐射</w:t>
            </w:r>
          </w:p>
          <w:p w14:paraId="37EE61EE">
            <w:pPr>
              <w:pStyle w:val="13"/>
              <w:keepNext w:val="0"/>
              <w:keepLines w:val="0"/>
              <w:numPr>
                <w:ilvl w:val="0"/>
                <w:numId w:val="0"/>
              </w:numPr>
              <w:suppressLineNumbers w:val="0"/>
              <w:tabs>
                <w:tab w:val="clear" w:pos="2040"/>
              </w:tabs>
              <w:spacing w:before="0" w:beforeAutospacing="0" w:after="0" w:afterAutospacing="0"/>
              <w:ind w:left="0" w:right="0" w:firstLine="480" w:firstLineChars="200"/>
              <w:rPr>
                <w:rFonts w:hint="default" w:ascii="Times New Roman" w:hAnsi="Times New Roman" w:eastAsia="宋体"/>
                <w:color w:val="auto"/>
                <w:vertAlign w:val="baseline"/>
              </w:rPr>
            </w:pPr>
            <w:r>
              <w:rPr>
                <w:rFonts w:hint="default" w:ascii="Times New Roman" w:hAnsi="Times New Roman" w:eastAsia="宋体" w:cs="Times New Roman"/>
                <w:color w:val="auto"/>
                <w:sz w:val="24"/>
                <w:highlight w:val="none"/>
              </w:rPr>
              <w:t>本项目不涉及电磁辐射。</w:t>
            </w:r>
          </w:p>
        </w:tc>
      </w:tr>
    </w:tbl>
    <w:p w14:paraId="304BDA49">
      <w:pPr>
        <w:pStyle w:val="24"/>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eastAsia="宋体"/>
          <w:snapToGrid w:val="0"/>
          <w:color w:val="auto"/>
          <w:sz w:val="30"/>
          <w:szCs w:val="30"/>
          <w:highlight w:val="none"/>
        </w:rPr>
      </w:pPr>
      <w:bookmarkStart w:id="7" w:name="_Toc24968"/>
      <w:r>
        <w:rPr>
          <w:rFonts w:ascii="Times New Roman" w:hAnsi="Times New Roman" w:eastAsia="宋体"/>
          <w:snapToGrid w:val="0"/>
          <w:color w:val="auto"/>
          <w:sz w:val="30"/>
          <w:szCs w:val="30"/>
          <w:highlight w:val="none"/>
        </w:rPr>
        <w:t>五、</w:t>
      </w:r>
      <w:bookmarkStart w:id="8" w:name="_Hlk54167917"/>
      <w:r>
        <w:rPr>
          <w:rFonts w:ascii="Times New Roman" w:hAnsi="Times New Roman" w:eastAsia="宋体"/>
          <w:snapToGrid w:val="0"/>
          <w:color w:val="auto"/>
          <w:sz w:val="30"/>
          <w:szCs w:val="30"/>
          <w:highlight w:val="none"/>
        </w:rPr>
        <w:t>环境保护措施监督检查清单</w:t>
      </w:r>
      <w:bookmarkEnd w:id="7"/>
      <w:bookmarkEnd w:id="8"/>
    </w:p>
    <w:tbl>
      <w:tblPr>
        <w:tblStyle w:val="25"/>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695"/>
        <w:gridCol w:w="1568"/>
        <w:gridCol w:w="539"/>
        <w:gridCol w:w="8"/>
        <w:gridCol w:w="426"/>
        <w:gridCol w:w="1127"/>
        <w:gridCol w:w="976"/>
        <w:gridCol w:w="2248"/>
      </w:tblGrid>
      <w:tr w14:paraId="1D62CD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554" w:type="pct"/>
            <w:vMerge w:val="restart"/>
            <w:tcBorders>
              <w:tl2br w:val="single" w:color="auto" w:sz="4" w:space="0"/>
            </w:tcBorders>
          </w:tcPr>
          <w:p w14:paraId="5D106BB8">
            <w:pPr>
              <w:keepNext w:val="0"/>
              <w:keepLines w:val="0"/>
              <w:suppressLineNumbers w:val="0"/>
              <w:adjustRightInd w:val="0"/>
              <w:snapToGrid w:val="0"/>
              <w:spacing w:before="0" w:beforeAutospacing="0" w:after="0" w:afterAutospacing="0"/>
              <w:ind w:left="0" w:right="0" w:firstLine="422" w:firstLineChars="20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内容</w:t>
            </w:r>
          </w:p>
          <w:p w14:paraId="2D43ABEE">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color w:val="auto"/>
                <w:szCs w:val="21"/>
                <w:highlight w:val="none"/>
              </w:rPr>
            </w:pPr>
          </w:p>
          <w:p w14:paraId="242F3E79">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要素</w:t>
            </w:r>
          </w:p>
        </w:tc>
        <w:tc>
          <w:tcPr>
            <w:tcW w:w="1332" w:type="pct"/>
            <w:gridSpan w:val="2"/>
            <w:vMerge w:val="restart"/>
            <w:vAlign w:val="center"/>
          </w:tcPr>
          <w:p w14:paraId="2A43704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排放口（编号、</w:t>
            </w:r>
          </w:p>
          <w:p w14:paraId="18BE67A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名称）/污染源</w:t>
            </w:r>
          </w:p>
        </w:tc>
        <w:tc>
          <w:tcPr>
            <w:tcW w:w="546" w:type="pct"/>
            <w:gridSpan w:val="3"/>
            <w:vMerge w:val="restart"/>
            <w:vAlign w:val="center"/>
          </w:tcPr>
          <w:p w14:paraId="647CCE2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污染物项目</w:t>
            </w:r>
          </w:p>
        </w:tc>
        <w:tc>
          <w:tcPr>
            <w:tcW w:w="1244" w:type="pct"/>
            <w:gridSpan w:val="2"/>
            <w:tcBorders>
              <w:bottom w:val="single" w:color="000000" w:sz="4" w:space="0"/>
            </w:tcBorders>
            <w:vAlign w:val="center"/>
          </w:tcPr>
          <w:p w14:paraId="7E2F682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环境保护措施</w:t>
            </w:r>
          </w:p>
        </w:tc>
        <w:tc>
          <w:tcPr>
            <w:tcW w:w="1322" w:type="pct"/>
            <w:vMerge w:val="restart"/>
            <w:vAlign w:val="center"/>
          </w:tcPr>
          <w:p w14:paraId="0BFC199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执行标准</w:t>
            </w:r>
          </w:p>
        </w:tc>
      </w:tr>
      <w:tr w14:paraId="44758E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554" w:type="pct"/>
            <w:vMerge w:val="continue"/>
            <w:tcBorders>
              <w:tl2br w:val="single" w:color="auto" w:sz="4" w:space="0"/>
            </w:tcBorders>
          </w:tcPr>
          <w:p w14:paraId="36840817">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color w:val="auto"/>
                <w:szCs w:val="21"/>
                <w:highlight w:val="none"/>
              </w:rPr>
            </w:pPr>
          </w:p>
        </w:tc>
        <w:tc>
          <w:tcPr>
            <w:tcW w:w="1332" w:type="pct"/>
            <w:gridSpan w:val="2"/>
            <w:vMerge w:val="continue"/>
            <w:vAlign w:val="center"/>
          </w:tcPr>
          <w:p w14:paraId="783C7E4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p>
        </w:tc>
        <w:tc>
          <w:tcPr>
            <w:tcW w:w="546" w:type="pct"/>
            <w:gridSpan w:val="3"/>
            <w:vMerge w:val="continue"/>
            <w:vAlign w:val="center"/>
          </w:tcPr>
          <w:p w14:paraId="45C04A1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p>
        </w:tc>
        <w:tc>
          <w:tcPr>
            <w:tcW w:w="667" w:type="pct"/>
            <w:tcBorders>
              <w:top w:val="single" w:color="000000" w:sz="4" w:space="0"/>
              <w:bottom w:val="single" w:color="000000" w:sz="4" w:space="0"/>
              <w:right w:val="single" w:color="000000" w:sz="4" w:space="0"/>
            </w:tcBorders>
            <w:vAlign w:val="center"/>
          </w:tcPr>
          <w:p w14:paraId="1D57248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收集措施</w:t>
            </w:r>
          </w:p>
        </w:tc>
        <w:tc>
          <w:tcPr>
            <w:tcW w:w="577" w:type="pct"/>
            <w:tcBorders>
              <w:top w:val="single" w:color="000000" w:sz="4" w:space="0"/>
              <w:left w:val="single" w:color="000000" w:sz="4" w:space="0"/>
              <w:bottom w:val="single" w:color="000000" w:sz="4" w:space="0"/>
            </w:tcBorders>
            <w:vAlign w:val="center"/>
          </w:tcPr>
          <w:p w14:paraId="61EB322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处理措施</w:t>
            </w:r>
          </w:p>
        </w:tc>
        <w:tc>
          <w:tcPr>
            <w:tcW w:w="1322" w:type="pct"/>
            <w:vMerge w:val="continue"/>
            <w:vAlign w:val="center"/>
          </w:tcPr>
          <w:p w14:paraId="7EA8CEA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p>
        </w:tc>
      </w:tr>
      <w:tr w14:paraId="603DC5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54" w:type="pct"/>
            <w:vMerge w:val="restart"/>
            <w:vAlign w:val="center"/>
          </w:tcPr>
          <w:p w14:paraId="347AD42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大气环境</w:t>
            </w:r>
          </w:p>
        </w:tc>
        <w:tc>
          <w:tcPr>
            <w:tcW w:w="407" w:type="pct"/>
            <w:vMerge w:val="restart"/>
            <w:vAlign w:val="center"/>
          </w:tcPr>
          <w:p w14:paraId="4EDD88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15</w:t>
            </w:r>
            <w:r>
              <w:rPr>
                <w:rFonts w:hint="eastAsia" w:ascii="Times New Roman" w:hAnsi="Times New Roman" w:eastAsia="宋体" w:cs="Times New Roman"/>
                <w:color w:val="auto"/>
                <w:kern w:val="0"/>
                <w:szCs w:val="21"/>
                <w:highlight w:val="none"/>
                <w:lang w:val="en-US" w:eastAsia="zh-CN" w:bidi="ar"/>
              </w:rPr>
              <w:t>m高排气筒FQ01</w:t>
            </w:r>
          </w:p>
        </w:tc>
        <w:tc>
          <w:tcPr>
            <w:tcW w:w="925" w:type="pct"/>
            <w:vMerge w:val="restart"/>
            <w:vAlign w:val="center"/>
          </w:tcPr>
          <w:p w14:paraId="0E9782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原料挥发废气</w:t>
            </w:r>
          </w:p>
        </w:tc>
        <w:tc>
          <w:tcPr>
            <w:tcW w:w="546" w:type="pct"/>
            <w:gridSpan w:val="3"/>
            <w:tcBorders>
              <w:bottom w:val="single" w:color="auto" w:sz="4" w:space="0"/>
            </w:tcBorders>
            <w:vAlign w:val="center"/>
          </w:tcPr>
          <w:p w14:paraId="2E60C20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非甲烷总烃</w:t>
            </w:r>
          </w:p>
        </w:tc>
        <w:tc>
          <w:tcPr>
            <w:tcW w:w="667" w:type="pct"/>
            <w:vMerge w:val="restart"/>
            <w:tcBorders>
              <w:top w:val="single" w:color="000000" w:sz="4" w:space="0"/>
              <w:right w:val="single" w:color="000000" w:sz="4" w:space="0"/>
            </w:tcBorders>
            <w:vAlign w:val="center"/>
          </w:tcPr>
          <w:p w14:paraId="0F9CDA9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通风橱/负压抽风系统收集</w:t>
            </w:r>
            <w:r>
              <w:rPr>
                <w:rFonts w:hint="eastAsia" w:ascii="Times New Roman" w:hAnsi="Times New Roman" w:eastAsia="宋体" w:cs="Times New Roman"/>
                <w:color w:val="auto"/>
                <w:szCs w:val="21"/>
                <w:highlight w:val="none"/>
                <w:lang w:val="en-US" w:eastAsia="zh-CN"/>
              </w:rPr>
              <w:t>，收集效率</w:t>
            </w:r>
            <w:r>
              <w:rPr>
                <w:rFonts w:hint="eastAsia" w:cs="Times New Roman"/>
                <w:color w:val="auto"/>
                <w:szCs w:val="21"/>
                <w:highlight w:val="none"/>
                <w:lang w:val="en-US" w:eastAsia="zh-CN"/>
              </w:rPr>
              <w:t>95</w:t>
            </w:r>
            <w:r>
              <w:rPr>
                <w:rFonts w:hint="eastAsia" w:ascii="Times New Roman" w:hAnsi="Times New Roman" w:eastAsia="宋体" w:cs="Times New Roman"/>
                <w:color w:val="auto"/>
                <w:szCs w:val="21"/>
                <w:highlight w:val="none"/>
                <w:lang w:val="en-US" w:eastAsia="zh-CN"/>
              </w:rPr>
              <w:t>%，风机风量2</w:t>
            </w:r>
            <w:r>
              <w:rPr>
                <w:rFonts w:hint="eastAsia" w:cs="Times New Roman"/>
                <w:color w:val="auto"/>
                <w:szCs w:val="21"/>
                <w:highlight w:val="none"/>
                <w:lang w:val="en-US" w:eastAsia="zh-CN"/>
              </w:rPr>
              <w:t>600</w:t>
            </w:r>
            <w:r>
              <w:rPr>
                <w:rFonts w:hint="eastAsia" w:ascii="Times New Roman" w:hAnsi="Times New Roman" w:eastAsia="宋体" w:cs="Times New Roman"/>
                <w:color w:val="auto"/>
                <w:szCs w:val="21"/>
                <w:highlight w:val="none"/>
                <w:lang w:val="en-US" w:eastAsia="zh-CN"/>
              </w:rPr>
              <w:t>m</w:t>
            </w:r>
            <w:r>
              <w:rPr>
                <w:rFonts w:hint="eastAsia" w:ascii="Times New Roman" w:hAnsi="Times New Roman" w:eastAsia="宋体" w:cs="Times New Roman"/>
                <w:color w:val="auto"/>
                <w:szCs w:val="21"/>
                <w:highlight w:val="none"/>
                <w:vertAlign w:val="superscript"/>
                <w:lang w:val="en-US" w:eastAsia="zh-CN"/>
              </w:rPr>
              <w:t>3</w:t>
            </w:r>
            <w:r>
              <w:rPr>
                <w:rFonts w:hint="eastAsia" w:ascii="Times New Roman" w:hAnsi="Times New Roman" w:eastAsia="宋体" w:cs="Times New Roman"/>
                <w:color w:val="auto"/>
                <w:szCs w:val="21"/>
                <w:highlight w:val="none"/>
                <w:lang w:val="en-US" w:eastAsia="zh-CN"/>
              </w:rPr>
              <w:t>/h</w:t>
            </w:r>
          </w:p>
        </w:tc>
        <w:tc>
          <w:tcPr>
            <w:tcW w:w="577" w:type="pct"/>
            <w:vMerge w:val="restart"/>
            <w:tcBorders>
              <w:top w:val="single" w:color="000000" w:sz="4" w:space="0"/>
              <w:left w:val="single" w:color="000000" w:sz="4" w:space="0"/>
            </w:tcBorders>
            <w:vAlign w:val="center"/>
          </w:tcPr>
          <w:p w14:paraId="778E7AB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二级活性炭</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处理效率90%</w:t>
            </w:r>
          </w:p>
        </w:tc>
        <w:tc>
          <w:tcPr>
            <w:tcW w:w="1322" w:type="pct"/>
            <w:vMerge w:val="restart"/>
            <w:vAlign w:val="center"/>
          </w:tcPr>
          <w:p w14:paraId="3FF51A7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b w:val="0"/>
                <w:bCs w:val="0"/>
                <w:color w:val="auto"/>
                <w:sz w:val="21"/>
                <w:szCs w:val="21"/>
                <w:highlight w:val="none"/>
                <w:lang w:val="en-US" w:eastAsia="zh-CN"/>
              </w:rPr>
              <w:t>江苏省</w:t>
            </w:r>
            <w:r>
              <w:rPr>
                <w:rFonts w:hint="default" w:ascii="Times New Roman" w:hAnsi="Times New Roman" w:eastAsia="宋体" w:cs="Times New Roman"/>
                <w:b w:val="0"/>
                <w:bCs w:val="0"/>
                <w:color w:val="auto"/>
                <w:sz w:val="21"/>
                <w:szCs w:val="21"/>
                <w:highlight w:val="none"/>
                <w:lang w:val="en-US" w:eastAsia="zh-CN"/>
              </w:rPr>
              <w:t>《制药工业大气污染物排放标准》 （DB32/4042-2021）</w:t>
            </w:r>
          </w:p>
        </w:tc>
      </w:tr>
      <w:tr w14:paraId="35629D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54" w:type="pct"/>
            <w:vMerge w:val="continue"/>
            <w:vAlign w:val="center"/>
          </w:tcPr>
          <w:p w14:paraId="10716E8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407" w:type="pct"/>
            <w:vMerge w:val="continue"/>
            <w:vAlign w:val="center"/>
          </w:tcPr>
          <w:p w14:paraId="1CFE9A39">
            <w:pPr>
              <w:keepNext w:val="0"/>
              <w:keepLines w:val="0"/>
              <w:widowControl/>
              <w:suppressLineNumbers w:val="0"/>
              <w:spacing w:before="0" w:beforeAutospacing="0" w:after="0" w:afterAutospacing="0"/>
              <w:ind w:left="0" w:right="0"/>
              <w:jc w:val="center"/>
              <w:textAlignment w:val="center"/>
              <w:rPr>
                <w:rFonts w:hint="eastAsia" w:cs="Times New Roman"/>
                <w:color w:val="auto"/>
                <w:kern w:val="0"/>
                <w:szCs w:val="21"/>
                <w:highlight w:val="none"/>
                <w:lang w:val="en-US" w:eastAsia="zh-CN" w:bidi="ar"/>
              </w:rPr>
            </w:pPr>
          </w:p>
        </w:tc>
        <w:tc>
          <w:tcPr>
            <w:tcW w:w="925" w:type="pct"/>
            <w:vMerge w:val="continue"/>
            <w:vAlign w:val="center"/>
          </w:tcPr>
          <w:p w14:paraId="28A4AC01">
            <w:pPr>
              <w:keepNext w:val="0"/>
              <w:keepLines w:val="0"/>
              <w:widowControl/>
              <w:suppressLineNumbers w:val="0"/>
              <w:spacing w:before="0" w:beforeAutospacing="0" w:after="0" w:afterAutospacing="0"/>
              <w:ind w:left="0" w:right="0"/>
              <w:jc w:val="center"/>
              <w:textAlignment w:val="center"/>
              <w:rPr>
                <w:rFonts w:hint="eastAsia" w:cs="Times New Roman"/>
                <w:color w:val="auto"/>
                <w:kern w:val="0"/>
                <w:szCs w:val="21"/>
                <w:highlight w:val="none"/>
                <w:lang w:val="en-US" w:eastAsia="zh-CN" w:bidi="ar"/>
              </w:rPr>
            </w:pPr>
          </w:p>
        </w:tc>
        <w:tc>
          <w:tcPr>
            <w:tcW w:w="329" w:type="pct"/>
            <w:gridSpan w:val="2"/>
            <w:tcBorders>
              <w:bottom w:val="single" w:color="000000" w:sz="6" w:space="0"/>
            </w:tcBorders>
            <w:vAlign w:val="center"/>
          </w:tcPr>
          <w:p w14:paraId="0D51406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包含</w:t>
            </w:r>
          </w:p>
        </w:tc>
        <w:tc>
          <w:tcPr>
            <w:tcW w:w="217" w:type="pct"/>
            <w:tcBorders>
              <w:bottom w:val="single" w:color="000000" w:sz="6" w:space="0"/>
            </w:tcBorders>
            <w:vAlign w:val="center"/>
          </w:tcPr>
          <w:p w14:paraId="52A345CA">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甲醇</w:t>
            </w:r>
          </w:p>
        </w:tc>
        <w:tc>
          <w:tcPr>
            <w:tcW w:w="667" w:type="pct"/>
            <w:vMerge w:val="continue"/>
            <w:tcBorders>
              <w:right w:val="single" w:color="000000" w:sz="4" w:space="0"/>
            </w:tcBorders>
            <w:vAlign w:val="center"/>
          </w:tcPr>
          <w:p w14:paraId="40C1EAC1">
            <w:pPr>
              <w:keepNext w:val="0"/>
              <w:keepLines w:val="0"/>
              <w:suppressLineNumbers w:val="0"/>
              <w:adjustRightInd w:val="0"/>
              <w:snapToGrid w:val="0"/>
              <w:spacing w:before="0" w:beforeAutospacing="0" w:after="0" w:afterAutospacing="0"/>
              <w:ind w:left="0" w:right="0"/>
              <w:jc w:val="center"/>
              <w:rPr>
                <w:rFonts w:hint="eastAsia" w:cs="Times New Roman"/>
                <w:color w:val="auto"/>
                <w:szCs w:val="21"/>
                <w:highlight w:val="none"/>
                <w:lang w:val="en-US" w:eastAsia="zh-CN"/>
              </w:rPr>
            </w:pPr>
          </w:p>
        </w:tc>
        <w:tc>
          <w:tcPr>
            <w:tcW w:w="577" w:type="pct"/>
            <w:vMerge w:val="continue"/>
            <w:tcBorders>
              <w:left w:val="single" w:color="000000" w:sz="4" w:space="0"/>
            </w:tcBorders>
            <w:vAlign w:val="center"/>
          </w:tcPr>
          <w:p w14:paraId="5150ADA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1322" w:type="pct"/>
            <w:vMerge w:val="continue"/>
            <w:vAlign w:val="center"/>
          </w:tcPr>
          <w:p w14:paraId="2E1E5C4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p>
        </w:tc>
      </w:tr>
      <w:tr w14:paraId="49D0FE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554" w:type="pct"/>
            <w:vMerge w:val="continue"/>
            <w:vAlign w:val="center"/>
          </w:tcPr>
          <w:p w14:paraId="5257CCB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407" w:type="pct"/>
            <w:vMerge w:val="continue"/>
            <w:vAlign w:val="center"/>
          </w:tcPr>
          <w:p w14:paraId="010C20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p>
        </w:tc>
        <w:tc>
          <w:tcPr>
            <w:tcW w:w="925" w:type="pct"/>
            <w:vMerge w:val="restart"/>
            <w:vAlign w:val="center"/>
          </w:tcPr>
          <w:p w14:paraId="09FF41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危废仓库废气</w:t>
            </w:r>
          </w:p>
        </w:tc>
        <w:tc>
          <w:tcPr>
            <w:tcW w:w="546" w:type="pct"/>
            <w:gridSpan w:val="3"/>
            <w:tcBorders>
              <w:bottom w:val="single" w:color="auto" w:sz="4" w:space="0"/>
            </w:tcBorders>
            <w:vAlign w:val="center"/>
          </w:tcPr>
          <w:p w14:paraId="30062E9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非甲烷总烃</w:t>
            </w:r>
          </w:p>
        </w:tc>
        <w:tc>
          <w:tcPr>
            <w:tcW w:w="667" w:type="pct"/>
            <w:vMerge w:val="continue"/>
            <w:tcBorders>
              <w:right w:val="single" w:color="000000" w:sz="4" w:space="0"/>
            </w:tcBorders>
            <w:vAlign w:val="center"/>
          </w:tcPr>
          <w:p w14:paraId="3E46980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577" w:type="pct"/>
            <w:vMerge w:val="continue"/>
            <w:tcBorders>
              <w:left w:val="single" w:color="000000" w:sz="4" w:space="0"/>
            </w:tcBorders>
            <w:vAlign w:val="center"/>
          </w:tcPr>
          <w:p w14:paraId="46A3BEE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1322" w:type="pct"/>
            <w:vMerge w:val="continue"/>
            <w:vAlign w:val="center"/>
          </w:tcPr>
          <w:p w14:paraId="6229DCE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p>
        </w:tc>
      </w:tr>
      <w:tr w14:paraId="6BDF96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554" w:type="pct"/>
            <w:vMerge w:val="continue"/>
            <w:vAlign w:val="center"/>
          </w:tcPr>
          <w:p w14:paraId="3EF9FB1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407" w:type="pct"/>
            <w:vMerge w:val="continue"/>
            <w:vAlign w:val="center"/>
          </w:tcPr>
          <w:p w14:paraId="4813E6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p>
        </w:tc>
        <w:tc>
          <w:tcPr>
            <w:tcW w:w="925" w:type="pct"/>
            <w:vMerge w:val="continue"/>
            <w:vAlign w:val="center"/>
          </w:tcPr>
          <w:p w14:paraId="7CC34E54">
            <w:pPr>
              <w:keepNext w:val="0"/>
              <w:keepLines w:val="0"/>
              <w:widowControl/>
              <w:suppressLineNumbers w:val="0"/>
              <w:spacing w:before="0" w:beforeAutospacing="0" w:after="0" w:afterAutospacing="0"/>
              <w:ind w:left="0" w:right="0"/>
              <w:jc w:val="center"/>
              <w:textAlignment w:val="center"/>
              <w:rPr>
                <w:rFonts w:hint="eastAsia" w:cs="Times New Roman"/>
                <w:color w:val="auto"/>
                <w:kern w:val="0"/>
                <w:szCs w:val="21"/>
                <w:highlight w:val="none"/>
                <w:lang w:val="en-US" w:eastAsia="zh-CN" w:bidi="ar"/>
              </w:rPr>
            </w:pPr>
          </w:p>
        </w:tc>
        <w:tc>
          <w:tcPr>
            <w:tcW w:w="321" w:type="pct"/>
            <w:tcBorders>
              <w:bottom w:val="single" w:color="000000" w:sz="6" w:space="0"/>
            </w:tcBorders>
            <w:vAlign w:val="center"/>
          </w:tcPr>
          <w:p w14:paraId="2570C97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包含</w:t>
            </w:r>
          </w:p>
        </w:tc>
        <w:tc>
          <w:tcPr>
            <w:tcW w:w="224" w:type="pct"/>
            <w:gridSpan w:val="2"/>
            <w:tcBorders>
              <w:bottom w:val="single" w:color="000000" w:sz="6" w:space="0"/>
            </w:tcBorders>
            <w:vAlign w:val="center"/>
          </w:tcPr>
          <w:p w14:paraId="27A491E6">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甲醇</w:t>
            </w:r>
          </w:p>
        </w:tc>
        <w:tc>
          <w:tcPr>
            <w:tcW w:w="667" w:type="pct"/>
            <w:vMerge w:val="continue"/>
            <w:tcBorders>
              <w:right w:val="single" w:color="000000" w:sz="4" w:space="0"/>
            </w:tcBorders>
            <w:vAlign w:val="center"/>
          </w:tcPr>
          <w:p w14:paraId="5A7FBCF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577" w:type="pct"/>
            <w:vMerge w:val="continue"/>
            <w:tcBorders>
              <w:left w:val="single" w:color="000000" w:sz="4" w:space="0"/>
            </w:tcBorders>
            <w:vAlign w:val="center"/>
          </w:tcPr>
          <w:p w14:paraId="1F253C6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1322" w:type="pct"/>
            <w:vMerge w:val="continue"/>
            <w:vAlign w:val="center"/>
          </w:tcPr>
          <w:p w14:paraId="128AD7C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p>
        </w:tc>
      </w:tr>
      <w:tr w14:paraId="7AAC29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554" w:type="pct"/>
            <w:vMerge w:val="continue"/>
            <w:vAlign w:val="center"/>
          </w:tcPr>
          <w:p w14:paraId="5599FB5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szCs w:val="21"/>
                <w:highlight w:val="none"/>
              </w:rPr>
            </w:pPr>
          </w:p>
        </w:tc>
        <w:tc>
          <w:tcPr>
            <w:tcW w:w="407" w:type="pct"/>
            <w:vMerge w:val="restart"/>
            <w:vAlign w:val="center"/>
          </w:tcPr>
          <w:p w14:paraId="340262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无组织</w:t>
            </w:r>
          </w:p>
        </w:tc>
        <w:tc>
          <w:tcPr>
            <w:tcW w:w="925" w:type="pct"/>
            <w:tcBorders>
              <w:bottom w:val="single" w:color="000000" w:sz="6" w:space="0"/>
            </w:tcBorders>
            <w:vAlign w:val="center"/>
          </w:tcPr>
          <w:p w14:paraId="305F82A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w:t>
            </w:r>
          </w:p>
        </w:tc>
        <w:tc>
          <w:tcPr>
            <w:tcW w:w="1213" w:type="pct"/>
            <w:gridSpan w:val="4"/>
            <w:tcBorders>
              <w:bottom w:val="single" w:color="000000" w:sz="6" w:space="0"/>
            </w:tcBorders>
            <w:vAlign w:val="center"/>
          </w:tcPr>
          <w:p w14:paraId="34FAE99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非甲烷总烃</w:t>
            </w:r>
            <w:r>
              <w:rPr>
                <w:rFonts w:hint="eastAsia" w:cs="Times New Roman"/>
                <w:color w:val="auto"/>
                <w:szCs w:val="21"/>
                <w:highlight w:val="none"/>
                <w:lang w:val="en-US" w:eastAsia="zh-CN"/>
              </w:rPr>
              <w:t>（包含甲醇）</w:t>
            </w:r>
          </w:p>
        </w:tc>
        <w:tc>
          <w:tcPr>
            <w:tcW w:w="577" w:type="pct"/>
            <w:tcBorders>
              <w:bottom w:val="single" w:color="000000" w:sz="6" w:space="0"/>
            </w:tcBorders>
            <w:vAlign w:val="center"/>
          </w:tcPr>
          <w:p w14:paraId="332990B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加强车间通风</w:t>
            </w:r>
          </w:p>
        </w:tc>
        <w:tc>
          <w:tcPr>
            <w:tcW w:w="2256" w:type="dxa"/>
            <w:tcBorders>
              <w:bottom w:val="single" w:color="000000" w:sz="6" w:space="0"/>
            </w:tcBorders>
            <w:vAlign w:val="center"/>
          </w:tcPr>
          <w:p w14:paraId="609AFCBF">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snapToGrid w:val="0"/>
                <w:color w:val="auto"/>
                <w:kern w:val="0"/>
                <w:szCs w:val="21"/>
                <w:highlight w:val="none"/>
                <w:lang w:eastAsia="zh-CN"/>
              </w:rPr>
            </w:pPr>
            <w:r>
              <w:rPr>
                <w:rFonts w:hint="eastAsia" w:ascii="Times New Roman" w:hAnsi="Times New Roman" w:eastAsia="宋体" w:cs="Times New Roman"/>
                <w:b w:val="0"/>
                <w:bCs w:val="0"/>
                <w:color w:val="auto"/>
                <w:szCs w:val="21"/>
                <w:highlight w:val="none"/>
              </w:rPr>
              <w:t>江苏省地方标准《大气污染物综合排放标准》（DB32/4041-2021）表</w:t>
            </w:r>
            <w:r>
              <w:rPr>
                <w:rFonts w:hint="eastAsia" w:ascii="Times New Roman" w:hAnsi="Times New Roman" w:eastAsia="宋体" w:cs="Times New Roman"/>
                <w:b w:val="0"/>
                <w:bCs w:val="0"/>
                <w:color w:val="auto"/>
                <w:szCs w:val="21"/>
                <w:highlight w:val="none"/>
                <w:lang w:val="en-US" w:eastAsia="zh-CN"/>
              </w:rPr>
              <w:t>3</w:t>
            </w:r>
            <w:r>
              <w:rPr>
                <w:rFonts w:hint="eastAsia" w:ascii="Times New Roman" w:hAnsi="Times New Roman" w:eastAsia="宋体" w:cs="Times New Roman"/>
                <w:b w:val="0"/>
                <w:bCs w:val="0"/>
                <w:color w:val="auto"/>
                <w:szCs w:val="21"/>
                <w:highlight w:val="none"/>
              </w:rPr>
              <w:t>中标准</w:t>
            </w:r>
          </w:p>
        </w:tc>
      </w:tr>
      <w:tr w14:paraId="4F23CE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554" w:type="pct"/>
            <w:vMerge w:val="continue"/>
            <w:vAlign w:val="center"/>
          </w:tcPr>
          <w:p w14:paraId="5055B01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szCs w:val="21"/>
                <w:highlight w:val="none"/>
              </w:rPr>
            </w:pPr>
          </w:p>
        </w:tc>
        <w:tc>
          <w:tcPr>
            <w:tcW w:w="407" w:type="pct"/>
            <w:vMerge w:val="continue"/>
            <w:vAlign w:val="center"/>
          </w:tcPr>
          <w:p w14:paraId="2573F6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p>
        </w:tc>
        <w:tc>
          <w:tcPr>
            <w:tcW w:w="925" w:type="pct"/>
            <w:tcBorders>
              <w:top w:val="single" w:color="000000" w:sz="6" w:space="0"/>
            </w:tcBorders>
            <w:vAlign w:val="center"/>
          </w:tcPr>
          <w:p w14:paraId="75D817A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厂房门窗或通风口、其他开口（孔）等排放口处</w:t>
            </w:r>
          </w:p>
        </w:tc>
        <w:tc>
          <w:tcPr>
            <w:tcW w:w="1213" w:type="pct"/>
            <w:gridSpan w:val="4"/>
            <w:tcBorders>
              <w:top w:val="single" w:color="000000" w:sz="6" w:space="0"/>
            </w:tcBorders>
            <w:vAlign w:val="center"/>
          </w:tcPr>
          <w:p w14:paraId="4BBDB1C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非甲烷总烃</w:t>
            </w:r>
          </w:p>
        </w:tc>
        <w:tc>
          <w:tcPr>
            <w:tcW w:w="577" w:type="pct"/>
            <w:tcBorders>
              <w:top w:val="single" w:color="000000" w:sz="6" w:space="0"/>
            </w:tcBorders>
            <w:vAlign w:val="center"/>
          </w:tcPr>
          <w:p w14:paraId="6725F7D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加强车间通风</w:t>
            </w:r>
          </w:p>
        </w:tc>
        <w:tc>
          <w:tcPr>
            <w:tcW w:w="2256" w:type="dxa"/>
            <w:tcBorders>
              <w:top w:val="single" w:color="000000" w:sz="6" w:space="0"/>
            </w:tcBorders>
            <w:vAlign w:val="center"/>
          </w:tcPr>
          <w:p w14:paraId="6C5E5E9B">
            <w:pPr>
              <w:pStyle w:val="1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Cs w:val="21"/>
                <w:highlight w:val="none"/>
              </w:rPr>
            </w:pPr>
            <w:r>
              <w:rPr>
                <w:rFonts w:hint="eastAsia"/>
                <w:color w:val="auto"/>
                <w:sz w:val="21"/>
                <w:szCs w:val="21"/>
                <w:highlight w:val="none"/>
                <w:lang w:val="en-US" w:eastAsia="zh-CN"/>
              </w:rPr>
              <w:t>江苏省</w:t>
            </w:r>
            <w:r>
              <w:rPr>
                <w:rFonts w:hint="default" w:ascii="Times New Roman" w:hAnsi="Times New Roman" w:eastAsia="宋体"/>
                <w:color w:val="auto"/>
                <w:sz w:val="21"/>
                <w:szCs w:val="21"/>
                <w:highlight w:val="none"/>
              </w:rPr>
              <w:t>《制药工业大气污染物排放标准》（DB 32/4042-2021）表 6 限值</w:t>
            </w:r>
          </w:p>
        </w:tc>
      </w:tr>
      <w:tr w14:paraId="73A7E1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4" w:hRule="atLeast"/>
          <w:jc w:val="center"/>
        </w:trPr>
        <w:tc>
          <w:tcPr>
            <w:tcW w:w="554" w:type="pct"/>
            <w:vAlign w:val="center"/>
          </w:tcPr>
          <w:p w14:paraId="73BA7B2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声环境</w:t>
            </w:r>
          </w:p>
        </w:tc>
        <w:tc>
          <w:tcPr>
            <w:tcW w:w="1332" w:type="pct"/>
            <w:gridSpan w:val="2"/>
            <w:vAlign w:val="center"/>
          </w:tcPr>
          <w:p w14:paraId="49916E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风机</w:t>
            </w:r>
          </w:p>
        </w:tc>
        <w:tc>
          <w:tcPr>
            <w:tcW w:w="1213" w:type="pct"/>
            <w:gridSpan w:val="4"/>
            <w:vAlign w:val="center"/>
          </w:tcPr>
          <w:p w14:paraId="4BCB7E9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噪声</w:t>
            </w:r>
          </w:p>
        </w:tc>
        <w:tc>
          <w:tcPr>
            <w:tcW w:w="577" w:type="pct"/>
            <w:vAlign w:val="center"/>
          </w:tcPr>
          <w:p w14:paraId="16372D7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加装隔声罩、消声器</w:t>
            </w:r>
            <w:r>
              <w:rPr>
                <w:rFonts w:hint="eastAsia" w:ascii="Times New Roman" w:hAnsi="Times New Roman" w:eastAsia="宋体" w:cs="Times New Roman"/>
                <w:color w:val="auto"/>
                <w:szCs w:val="21"/>
                <w:highlight w:val="none"/>
                <w:lang w:eastAsia="zh-CN"/>
              </w:rPr>
              <w:t>、</w:t>
            </w:r>
          </w:p>
          <w:p w14:paraId="7AB450C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距离衰减</w:t>
            </w:r>
          </w:p>
        </w:tc>
        <w:tc>
          <w:tcPr>
            <w:tcW w:w="1322" w:type="pct"/>
            <w:vAlign w:val="center"/>
          </w:tcPr>
          <w:p w14:paraId="3AD24A9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《工业企业厂界环境噪声排放标准》（GB12348-2008）中</w:t>
            </w:r>
            <w:r>
              <w:rPr>
                <w:rFonts w:hint="eastAsia" w:ascii="Times New Roman" w:hAnsi="Times New Roman" w:eastAsia="宋体" w:cs="Times New Roman"/>
                <w:color w:val="auto"/>
                <w:szCs w:val="21"/>
                <w:highlight w:val="none"/>
                <w:lang w:val="en-US" w:eastAsia="zh-CN"/>
              </w:rPr>
              <w:t>2</w:t>
            </w:r>
            <w:r>
              <w:rPr>
                <w:rFonts w:hint="default" w:ascii="Times New Roman" w:hAnsi="Times New Roman" w:eastAsia="宋体" w:cs="Times New Roman"/>
                <w:color w:val="auto"/>
                <w:szCs w:val="21"/>
                <w:highlight w:val="none"/>
              </w:rPr>
              <w:t>类标准</w:t>
            </w:r>
          </w:p>
        </w:tc>
      </w:tr>
      <w:tr w14:paraId="08D5D3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54" w:type="pct"/>
            <w:vAlign w:val="center"/>
          </w:tcPr>
          <w:p w14:paraId="4C8169D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电磁辐射</w:t>
            </w:r>
          </w:p>
        </w:tc>
        <w:tc>
          <w:tcPr>
            <w:tcW w:w="1332" w:type="pct"/>
            <w:gridSpan w:val="2"/>
            <w:vAlign w:val="center"/>
          </w:tcPr>
          <w:p w14:paraId="5D8F888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213" w:type="pct"/>
            <w:gridSpan w:val="4"/>
            <w:vAlign w:val="center"/>
          </w:tcPr>
          <w:p w14:paraId="02C2A9D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577" w:type="pct"/>
            <w:vAlign w:val="center"/>
          </w:tcPr>
          <w:p w14:paraId="71703B1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322" w:type="pct"/>
            <w:vAlign w:val="center"/>
          </w:tcPr>
          <w:p w14:paraId="78D1F9E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14:paraId="7BAF1E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4" w:hRule="atLeast"/>
          <w:jc w:val="center"/>
        </w:trPr>
        <w:tc>
          <w:tcPr>
            <w:tcW w:w="554" w:type="pct"/>
            <w:vAlign w:val="center"/>
          </w:tcPr>
          <w:p w14:paraId="45C4F19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固体废物</w:t>
            </w:r>
          </w:p>
        </w:tc>
        <w:tc>
          <w:tcPr>
            <w:tcW w:w="4445" w:type="pct"/>
            <w:gridSpan w:val="8"/>
            <w:vAlign w:val="center"/>
          </w:tcPr>
          <w:p w14:paraId="4D8EE8FE">
            <w:pPr>
              <w:keepNext w:val="0"/>
              <w:keepLines w:val="0"/>
              <w:suppressLineNumbers w:val="0"/>
              <w:adjustRightInd w:val="0"/>
              <w:snapToGrid w:val="0"/>
              <w:spacing w:before="0" w:beforeAutospacing="0" w:after="0" w:afterAutospacing="0"/>
              <w:ind w:left="0" w:right="0" w:firstLine="420" w:firstLineChars="200"/>
              <w:rPr>
                <w:rFonts w:hint="default" w:ascii="Times New Roman" w:hAnsi="Times New Roman" w:eastAsia="宋体" w:cs="Times New Roman"/>
                <w:color w:val="auto"/>
                <w:szCs w:val="21"/>
                <w:highlight w:val="yellow"/>
              </w:rPr>
            </w:pPr>
            <w:r>
              <w:rPr>
                <w:rFonts w:hint="default" w:ascii="Times New Roman" w:hAnsi="Times New Roman" w:eastAsia="宋体" w:cs="Times New Roman"/>
                <w:color w:val="auto"/>
                <w:szCs w:val="21"/>
                <w:highlight w:val="none"/>
              </w:rPr>
              <w:t>本项目</w:t>
            </w:r>
            <w:r>
              <w:rPr>
                <w:rFonts w:hint="default" w:ascii="Times New Roman" w:hAnsi="Times New Roman" w:eastAsia="宋体" w:cs="Times New Roman"/>
                <w:color w:val="auto"/>
                <w:szCs w:val="21"/>
                <w:highlight w:val="none"/>
                <w:lang w:eastAsia="zh-CN"/>
              </w:rPr>
              <w:t>设置</w:t>
            </w:r>
            <w:r>
              <w:rPr>
                <w:rFonts w:hint="eastAsia" w:ascii="Times New Roman" w:hAnsi="Times New Roman" w:eastAsia="宋体" w:cs="Times New Roman"/>
                <w:color w:val="auto"/>
                <w:szCs w:val="21"/>
                <w:highlight w:val="none"/>
                <w:lang w:val="en-US" w:eastAsia="zh-CN"/>
              </w:rPr>
              <w:t>一座</w:t>
            </w:r>
            <w:r>
              <w:rPr>
                <w:rFonts w:hint="eastAsia" w:cs="Times New Roman"/>
                <w:color w:val="auto"/>
                <w:szCs w:val="21"/>
                <w:highlight w:val="none"/>
                <w:lang w:val="en-US" w:eastAsia="zh-CN"/>
              </w:rPr>
              <w:t>65</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2</w:t>
            </w:r>
            <w:r>
              <w:rPr>
                <w:rFonts w:hint="eastAsia" w:cs="Times New Roman"/>
                <w:color w:val="auto"/>
                <w:szCs w:val="21"/>
                <w:highlight w:val="none"/>
                <w:lang w:eastAsia="zh-CN"/>
              </w:rPr>
              <w:t>危废间、</w:t>
            </w:r>
            <w:r>
              <w:rPr>
                <w:rFonts w:hint="eastAsia" w:cs="Times New Roman"/>
                <w:color w:val="auto"/>
                <w:szCs w:val="21"/>
                <w:highlight w:val="none"/>
                <w:lang w:val="en-US" w:eastAsia="zh-CN"/>
              </w:rPr>
              <w:t>105</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2</w:t>
            </w:r>
            <w:r>
              <w:rPr>
                <w:rFonts w:hint="eastAsia" w:cs="Times New Roman"/>
                <w:color w:val="auto"/>
                <w:szCs w:val="21"/>
                <w:highlight w:val="none"/>
                <w:vertAlign w:val="baseline"/>
                <w:lang w:val="en-US" w:eastAsia="zh-CN"/>
              </w:rPr>
              <w:t>试剂耗材仓库</w:t>
            </w:r>
            <w:r>
              <w:rPr>
                <w:rFonts w:hint="default" w:ascii="Times New Roman" w:hAnsi="Times New Roman" w:eastAsia="宋体" w:cs="Times New Roman"/>
                <w:color w:val="auto"/>
                <w:szCs w:val="21"/>
                <w:highlight w:val="none"/>
              </w:rPr>
              <w:t>，危险废物贮存按照《危险废物贮存污染控制标准》（GB18597-20</w:t>
            </w:r>
            <w:r>
              <w:rPr>
                <w:rFonts w:hint="eastAsia" w:ascii="Times New Roman" w:hAnsi="Times New Roman" w:eastAsia="宋体" w:cs="Times New Roman"/>
                <w:color w:val="auto"/>
                <w:szCs w:val="21"/>
                <w:highlight w:val="none"/>
                <w:lang w:val="en-US" w:eastAsia="zh-CN"/>
              </w:rPr>
              <w:t>23</w:t>
            </w:r>
            <w:r>
              <w:rPr>
                <w:rFonts w:hint="default"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eastAsia="zh-CN"/>
              </w:rPr>
              <w:t>危险废物收集贮存运输技术规范</w:t>
            </w:r>
            <w:r>
              <w:rPr>
                <w:rFonts w:hint="default" w:ascii="Times New Roman" w:hAnsi="Times New Roman" w:eastAsia="宋体" w:cs="Times New Roman"/>
                <w:color w:val="auto"/>
                <w:szCs w:val="21"/>
                <w:highlight w:val="none"/>
              </w:rPr>
              <w:t>》（HJ2025-2012）</w:t>
            </w:r>
            <w:r>
              <w:rPr>
                <w:rFonts w:hint="eastAsia"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eastAsia="zh-CN"/>
              </w:rPr>
              <w:t>《江苏省固体废物全过程环境监管工作意见》（苏环办[</w:t>
            </w:r>
            <w:r>
              <w:rPr>
                <w:rFonts w:hint="eastAsia" w:ascii="Times New Roman" w:hAnsi="Times New Roman" w:eastAsia="宋体" w:cs="Times New Roman"/>
                <w:color w:val="auto"/>
                <w:szCs w:val="21"/>
                <w:highlight w:val="none"/>
                <w:lang w:val="en-US" w:eastAsia="zh-CN"/>
              </w:rPr>
              <w:t>2024</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16</w:t>
            </w:r>
            <w:r>
              <w:rPr>
                <w:rFonts w:hint="eastAsia" w:ascii="Times New Roman" w:hAnsi="Times New Roman" w:eastAsia="宋体" w:cs="Times New Roman"/>
                <w:color w:val="auto"/>
                <w:szCs w:val="21"/>
                <w:highlight w:val="none"/>
                <w:lang w:eastAsia="zh-CN"/>
              </w:rPr>
              <w:t>号）</w:t>
            </w:r>
            <w:r>
              <w:rPr>
                <w:rFonts w:hint="default" w:ascii="Times New Roman" w:hAnsi="Times New Roman" w:eastAsia="宋体" w:cs="Times New Roman"/>
                <w:color w:val="auto"/>
                <w:szCs w:val="21"/>
                <w:highlight w:val="none"/>
              </w:rPr>
              <w:t>以及《省生态环境厅关于做好江苏省危险废物全生命周期监控系统上线运行工作的通知》（苏环办[2020]401号）</w:t>
            </w:r>
            <w:r>
              <w:rPr>
                <w:rFonts w:hint="eastAsia" w:ascii="Times New Roman" w:hAnsi="Times New Roman" w:eastAsia="宋体" w:cs="Times New Roman"/>
                <w:color w:val="auto"/>
                <w:szCs w:val="21"/>
                <w:highlight w:val="none"/>
                <w:lang w:val="en-US" w:eastAsia="zh-CN"/>
              </w:rPr>
              <w:t>相关规定</w:t>
            </w:r>
            <w:r>
              <w:rPr>
                <w:rFonts w:hint="default" w:ascii="Times New Roman" w:hAnsi="Times New Roman" w:eastAsia="宋体" w:cs="Times New Roman"/>
                <w:color w:val="auto"/>
                <w:szCs w:val="21"/>
                <w:highlight w:val="none"/>
              </w:rPr>
              <w:t>要求进行危险废物的贮存；建设项目产生的</w:t>
            </w:r>
            <w:r>
              <w:rPr>
                <w:rFonts w:hint="eastAsia" w:cs="Times New Roman"/>
                <w:color w:val="auto"/>
                <w:szCs w:val="21"/>
                <w:highlight w:val="none"/>
                <w:lang w:val="en-US" w:eastAsia="zh-CN"/>
              </w:rPr>
              <w:t>实验废液、废生物材料、废实验耗材、废化学品包装</w:t>
            </w:r>
            <w:r>
              <w:rPr>
                <w:rFonts w:hint="eastAsia" w:ascii="Times New Roman" w:hAnsi="Times New Roman" w:eastAsia="宋体" w:cs="Times New Roman"/>
                <w:color w:val="auto"/>
                <w:highlight w:val="none"/>
                <w:lang w:val="en-US" w:eastAsia="zh-CN"/>
              </w:rPr>
              <w:t>等</w:t>
            </w:r>
            <w:r>
              <w:rPr>
                <w:rFonts w:hint="default" w:ascii="Times New Roman" w:hAnsi="Times New Roman" w:eastAsia="宋体" w:cs="Times New Roman"/>
                <w:color w:val="auto"/>
                <w:szCs w:val="21"/>
                <w:highlight w:val="none"/>
              </w:rPr>
              <w:t>危险废物分类密封、分区存放，委托有资质单位处置。全厂固废得到有效处置，零排放，对周围环境无明显影响。</w:t>
            </w:r>
          </w:p>
        </w:tc>
      </w:tr>
      <w:tr w14:paraId="1E3D2A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4" w:hRule="atLeast"/>
          <w:jc w:val="center"/>
        </w:trPr>
        <w:tc>
          <w:tcPr>
            <w:tcW w:w="554" w:type="pct"/>
            <w:vAlign w:val="center"/>
          </w:tcPr>
          <w:p w14:paraId="6146FEE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土壤及地下水</w:t>
            </w:r>
          </w:p>
          <w:p w14:paraId="1D383FE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污染防治措施</w:t>
            </w:r>
          </w:p>
        </w:tc>
        <w:tc>
          <w:tcPr>
            <w:tcW w:w="4445" w:type="pct"/>
            <w:gridSpan w:val="8"/>
            <w:vAlign w:val="center"/>
          </w:tcPr>
          <w:p w14:paraId="247EFED0">
            <w:pPr>
              <w:keepNext w:val="0"/>
              <w:keepLines w:val="0"/>
              <w:suppressLineNumbers w:val="0"/>
              <w:adjustRightInd w:val="0"/>
              <w:snapToGrid w:val="0"/>
              <w:spacing w:before="0" w:beforeAutospacing="0" w:after="0" w:afterAutospacing="0"/>
              <w:ind w:left="0" w:right="0" w:firstLine="420" w:firstLineChars="200"/>
              <w:rPr>
                <w:rFonts w:hint="default" w:ascii="Times New Roman" w:hAnsi="Times New Roman" w:eastAsia="宋体" w:cs="Times New Roman"/>
                <w:color w:val="auto"/>
                <w:szCs w:val="21"/>
                <w:highlight w:val="yellow"/>
              </w:rPr>
            </w:pPr>
            <w:r>
              <w:rPr>
                <w:rFonts w:hint="default" w:ascii="Times New Roman" w:hAnsi="Times New Roman" w:eastAsia="宋体" w:cs="Times New Roman"/>
                <w:color w:val="auto"/>
                <w:szCs w:val="21"/>
                <w:highlight w:val="none"/>
              </w:rPr>
              <w:t>项目采取“源头控制”、“分区防控”的防渗措施，废气均经合理处置后达标排放，固废均堆放于室内，满足“防风、防雨、防晒”的要求，建立危废堆放场，合理分类收集堆放，</w:t>
            </w:r>
            <w:r>
              <w:rPr>
                <w:rFonts w:hint="eastAsia" w:cs="Times New Roman"/>
                <w:color w:val="auto"/>
                <w:szCs w:val="21"/>
                <w:highlight w:val="none"/>
                <w:lang w:val="en-US" w:eastAsia="zh-CN"/>
              </w:rPr>
              <w:t>实验耗材仓库、危废间</w:t>
            </w:r>
            <w:r>
              <w:rPr>
                <w:rFonts w:hint="default" w:ascii="Times New Roman" w:hAnsi="Times New Roman" w:eastAsia="宋体" w:cs="Times New Roman"/>
                <w:color w:val="auto"/>
                <w:szCs w:val="21"/>
                <w:highlight w:val="none"/>
              </w:rPr>
              <w:t>采取“黏土铺底+水泥硬化+环氧地坪”、“液体废桶配套托盘”的防渗措施，废液储存配套有防渗漏托盘，杜绝固废接触土壤及室外堆放，防止降水淋溶、地表径流，危废定期委托处置。</w:t>
            </w:r>
          </w:p>
        </w:tc>
      </w:tr>
      <w:tr w14:paraId="6243F0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9" w:hRule="atLeast"/>
          <w:jc w:val="center"/>
        </w:trPr>
        <w:tc>
          <w:tcPr>
            <w:tcW w:w="554" w:type="pct"/>
            <w:vAlign w:val="center"/>
          </w:tcPr>
          <w:p w14:paraId="6EC1524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生态保护措施</w:t>
            </w:r>
          </w:p>
        </w:tc>
        <w:tc>
          <w:tcPr>
            <w:tcW w:w="4445" w:type="pct"/>
            <w:gridSpan w:val="8"/>
            <w:vAlign w:val="center"/>
          </w:tcPr>
          <w:p w14:paraId="4CFAD5AF">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项目产生的废气、噪声和固体废物经过合理处置后达标排放，对生态影响较小。</w:t>
            </w:r>
          </w:p>
        </w:tc>
      </w:tr>
      <w:tr w14:paraId="63E431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6" w:hRule="atLeast"/>
          <w:jc w:val="center"/>
        </w:trPr>
        <w:tc>
          <w:tcPr>
            <w:tcW w:w="554" w:type="pct"/>
            <w:vAlign w:val="center"/>
          </w:tcPr>
          <w:p w14:paraId="06FB712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8"/>
                <w:szCs w:val="21"/>
                <w:highlight w:val="none"/>
              </w:rPr>
            </w:pPr>
            <w:r>
              <w:rPr>
                <w:rFonts w:hint="default" w:ascii="Times New Roman" w:hAnsi="Times New Roman" w:eastAsia="宋体" w:cs="Times New Roman"/>
                <w:color w:val="auto"/>
                <w:spacing w:val="-8"/>
                <w:szCs w:val="21"/>
                <w:highlight w:val="none"/>
              </w:rPr>
              <w:t>环境风险</w:t>
            </w:r>
          </w:p>
          <w:p w14:paraId="40AD4B2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8"/>
                <w:szCs w:val="21"/>
                <w:highlight w:val="none"/>
              </w:rPr>
            </w:pPr>
            <w:r>
              <w:rPr>
                <w:rFonts w:hint="default" w:ascii="Times New Roman" w:hAnsi="Times New Roman" w:eastAsia="宋体" w:cs="Times New Roman"/>
                <w:color w:val="auto"/>
                <w:spacing w:val="-8"/>
                <w:szCs w:val="21"/>
                <w:highlight w:val="none"/>
              </w:rPr>
              <w:t>防范措施</w:t>
            </w:r>
          </w:p>
        </w:tc>
        <w:tc>
          <w:tcPr>
            <w:tcW w:w="4445" w:type="pct"/>
            <w:gridSpan w:val="8"/>
            <w:vAlign w:val="center"/>
          </w:tcPr>
          <w:p w14:paraId="68276D3C">
            <w:pPr>
              <w:pStyle w:val="4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①</w:t>
            </w:r>
            <w:r>
              <w:rPr>
                <w:rFonts w:hint="eastAsia" w:ascii="Times New Roman" w:hAnsi="Times New Roman" w:eastAsia="宋体" w:cs="Times New Roman"/>
                <w:bCs w:val="0"/>
                <w:color w:val="auto"/>
                <w:kern w:val="2"/>
                <w:sz w:val="21"/>
                <w:szCs w:val="24"/>
                <w:highlight w:val="none"/>
                <w:lang w:val="en-US" w:eastAsia="zh-CN" w:bidi="ar-SA"/>
              </w:rPr>
              <w:t>企业应建立应急设施及物资管理制度，各风险单元应配备相应应急设施和应急物资，并定期维护确保其可正常使用。企业应建立隐患排查治理制度，并按照要求进行定期演练和培训。</w:t>
            </w:r>
          </w:p>
          <w:p w14:paraId="2A001224">
            <w:pPr>
              <w:pStyle w:val="4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highlight w:val="none"/>
              </w:rPr>
              <w:t>②从生产管理、危险化学品贮存、工艺技术设计、自动控制设计、电气及电讯、消防及火灾报警系统等方面制定相应的环境风险防范措施。</w:t>
            </w:r>
          </w:p>
          <w:p w14:paraId="65BCF3D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highlight w:val="none"/>
              </w:rPr>
              <w:t>③提高设备自动控制水平，设置集中控制室、工人操作值班室等，对关键设备的操作条件进行自动控制及安全报警，及时预报和切断泄漏源，在紧急情况下可自动停车，以减少和降低危险出现概率</w:t>
            </w:r>
            <w:r>
              <w:rPr>
                <w:rFonts w:hint="default" w:ascii="Times New Roman" w:hAnsi="Times New Roman" w:eastAsia="宋体" w:cs="Times New Roman"/>
                <w:color w:val="auto"/>
                <w:sz w:val="21"/>
                <w:szCs w:val="24"/>
                <w:highlight w:val="none"/>
              </w:rPr>
              <w:t>。</w:t>
            </w:r>
          </w:p>
          <w:p w14:paraId="166A4AD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highlight w:val="none"/>
              </w:rPr>
            </w:pPr>
            <w:r>
              <w:rPr>
                <w:rFonts w:hint="eastAsia" w:ascii="Times New Roman" w:hAnsi="Times New Roman" w:eastAsia="宋体"/>
                <w:color w:val="auto"/>
                <w:sz w:val="21"/>
                <w:highlight w:val="none"/>
                <w:lang w:val="en-US" w:eastAsia="zh-CN"/>
              </w:rPr>
              <w:t>④</w:t>
            </w:r>
            <w:r>
              <w:rPr>
                <w:rFonts w:hint="default" w:ascii="Times New Roman" w:hAnsi="Times New Roman" w:eastAsia="宋体"/>
                <w:color w:val="auto"/>
                <w:sz w:val="21"/>
                <w:szCs w:val="24"/>
                <w:highlight w:val="none"/>
              </w:rPr>
              <w:t>企业应按照要求建立相应的环境应急管理制度，包括：突发环境事件应急预案的编制及修订；与相应监测单位签订应急监测协议；按照要求配备相应的应急物资装备；建立突发环境事件隐患排查治理制度；按照要求进行环境应急培训和演练并建立相应台账；设立环境风险防范设施及环境应急处置卡标识标牌。</w:t>
            </w:r>
          </w:p>
          <w:p w14:paraId="1E6EFCA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4"/>
                <w:highlight w:val="none"/>
                <w:lang w:val="en-US" w:eastAsia="zh-CN"/>
              </w:rPr>
            </w:pPr>
            <w:r>
              <w:rPr>
                <w:rFonts w:hint="default" w:ascii="Times New Roman" w:hAnsi="Times New Roman" w:eastAsia="宋体" w:cs="Times New Roman"/>
                <w:color w:val="auto"/>
                <w:sz w:val="21"/>
                <w:highlight w:val="none"/>
              </w:rPr>
              <w:t>⑤本项目使用</w:t>
            </w:r>
            <w:r>
              <w:rPr>
                <w:rFonts w:hint="default" w:ascii="Times New Roman" w:hAnsi="Times New Roman" w:eastAsia="宋体" w:cs="Times New Roman"/>
                <w:color w:val="auto"/>
                <w:sz w:val="21"/>
                <w:highlight w:val="none"/>
                <w:lang w:eastAsia="zh-CN"/>
              </w:rPr>
              <w:t>的</w:t>
            </w:r>
            <w:r>
              <w:rPr>
                <w:rFonts w:hint="eastAsia" w:cs="Times New Roman"/>
                <w:color w:val="auto"/>
                <w:sz w:val="21"/>
                <w:highlight w:val="none"/>
                <w:lang w:val="en-US" w:eastAsia="zh-CN"/>
              </w:rPr>
              <w:t>无水乙醇、甲醇、75%消毒酒精</w:t>
            </w:r>
            <w:r>
              <w:rPr>
                <w:rFonts w:hint="eastAsia" w:ascii="Times New Roman" w:hAnsi="Times New Roman" w:eastAsia="宋体" w:cs="Times New Roman"/>
                <w:color w:val="auto"/>
                <w:sz w:val="21"/>
                <w:highlight w:val="none"/>
                <w:lang w:val="en-US" w:eastAsia="zh-CN"/>
              </w:rPr>
              <w:t>等</w:t>
            </w:r>
            <w:r>
              <w:rPr>
                <w:rFonts w:hint="eastAsia" w:ascii="Times New Roman" w:hAnsi="Times New Roman" w:eastAsia="宋体" w:cs="Times New Roman"/>
                <w:color w:val="auto"/>
                <w:sz w:val="21"/>
                <w:szCs w:val="24"/>
                <w:highlight w:val="none"/>
                <w:lang w:eastAsia="zh-CN"/>
              </w:rPr>
              <w:t>液态物料密封包装</w:t>
            </w:r>
            <w:r>
              <w:rPr>
                <w:rFonts w:hint="default" w:ascii="Times New Roman" w:hAnsi="Times New Roman" w:eastAsia="宋体" w:cs="Times New Roman"/>
                <w:color w:val="auto"/>
                <w:sz w:val="21"/>
                <w:highlight w:val="none"/>
              </w:rPr>
              <w:t>，</w:t>
            </w:r>
            <w:r>
              <w:rPr>
                <w:rFonts w:hint="eastAsia" w:ascii="Times New Roman" w:hAnsi="Times New Roman" w:eastAsia="宋体"/>
                <w:color w:val="auto"/>
                <w:sz w:val="21"/>
                <w:highlight w:val="none"/>
                <w:lang w:val="en-US" w:eastAsia="zh-CN"/>
              </w:rPr>
              <w:t>应做好储存区的防腐防渗等措施，设置截流设施，</w:t>
            </w:r>
            <w:r>
              <w:rPr>
                <w:rFonts w:hint="eastAsia" w:ascii="Times New Roman" w:hAnsi="Times New Roman" w:eastAsia="宋体"/>
                <w:color w:val="auto"/>
                <w:sz w:val="21"/>
                <w:highlight w:val="none"/>
              </w:rPr>
              <w:t>定期检查桶的密封性</w:t>
            </w:r>
            <w:r>
              <w:rPr>
                <w:rFonts w:hint="default" w:ascii="Times New Roman" w:hAnsi="Times New Roman" w:eastAsia="宋体"/>
                <w:color w:val="auto"/>
                <w:sz w:val="21"/>
                <w:highlight w:val="none"/>
              </w:rPr>
              <w:t>，</w:t>
            </w:r>
            <w:r>
              <w:rPr>
                <w:rFonts w:hint="eastAsia" w:ascii="Times New Roman" w:hAnsi="Times New Roman" w:eastAsia="宋体"/>
                <w:color w:val="auto"/>
                <w:sz w:val="21"/>
                <w:highlight w:val="none"/>
              </w:rPr>
              <w:t>谨防泄</w:t>
            </w:r>
            <w:r>
              <w:rPr>
                <w:rFonts w:hint="eastAsia" w:ascii="Times New Roman" w:hAnsi="Times New Roman" w:eastAsia="宋体"/>
                <w:color w:val="auto"/>
                <w:sz w:val="21"/>
                <w:highlight w:val="none"/>
                <w:lang w:val="en-US" w:eastAsia="zh-CN"/>
              </w:rPr>
              <w:t>漏</w:t>
            </w:r>
            <w:r>
              <w:rPr>
                <w:rFonts w:hint="eastAsia" w:ascii="Times New Roman" w:hAnsi="Times New Roman" w:eastAsia="宋体"/>
                <w:color w:val="auto"/>
                <w:sz w:val="21"/>
                <w:highlight w:val="none"/>
              </w:rPr>
              <w:t>，</w:t>
            </w:r>
            <w:r>
              <w:rPr>
                <w:rFonts w:hint="default" w:ascii="Times New Roman" w:hAnsi="Times New Roman" w:eastAsia="宋体"/>
                <w:color w:val="auto"/>
                <w:sz w:val="21"/>
                <w:highlight w:val="none"/>
              </w:rPr>
              <w:t>加强风险源监控</w:t>
            </w:r>
            <w:r>
              <w:rPr>
                <w:rFonts w:hint="default" w:ascii="Times New Roman" w:hAnsi="Times New Roman" w:eastAsia="宋体" w:cs="Times New Roman"/>
                <w:color w:val="auto"/>
                <w:sz w:val="21"/>
                <w:szCs w:val="24"/>
                <w:highlight w:val="none"/>
                <w:lang w:val="en-US" w:eastAsia="zh-CN"/>
              </w:rPr>
              <w:t>。</w:t>
            </w:r>
          </w:p>
          <w:p w14:paraId="3781D04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⑥</w:t>
            </w:r>
            <w:r>
              <w:rPr>
                <w:rFonts w:hint="default" w:ascii="Times New Roman" w:hAnsi="Times New Roman" w:eastAsia="宋体"/>
                <w:color w:val="auto"/>
                <w:sz w:val="21"/>
                <w:highlight w:val="none"/>
              </w:rPr>
              <w:t>加强废气处理设施监管，定期进行环境安全</w:t>
            </w:r>
            <w:r>
              <w:rPr>
                <w:rFonts w:hint="eastAsia" w:ascii="Times New Roman" w:hAnsi="Times New Roman" w:eastAsia="宋体" w:cs="Times New Roman"/>
                <w:color w:val="auto"/>
                <w:sz w:val="21"/>
                <w:highlight w:val="none"/>
                <w:lang w:val="en-US" w:eastAsia="zh-CN"/>
              </w:rPr>
              <w:t>辨识管控及</w:t>
            </w:r>
            <w:r>
              <w:rPr>
                <w:rFonts w:hint="default" w:ascii="Times New Roman" w:hAnsi="Times New Roman" w:eastAsia="宋体"/>
                <w:color w:val="auto"/>
                <w:sz w:val="21"/>
                <w:highlight w:val="none"/>
              </w:rPr>
              <w:t>隐患排查。若废气处理设施发生故障后，需立即停车停止生产，杜绝废气事故排放</w:t>
            </w:r>
            <w:r>
              <w:rPr>
                <w:rFonts w:hint="default" w:ascii="Times New Roman" w:hAnsi="Times New Roman" w:eastAsia="宋体" w:cs="Times New Roman"/>
                <w:color w:val="auto"/>
                <w:sz w:val="21"/>
                <w:highlight w:val="none"/>
              </w:rPr>
              <w:t>。</w:t>
            </w:r>
          </w:p>
          <w:p w14:paraId="2723CC7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highlight w:val="none"/>
              </w:rPr>
            </w:pPr>
            <w:r>
              <w:rPr>
                <w:rFonts w:hint="eastAsia" w:ascii="Times New Roman" w:hAnsi="Times New Roman" w:eastAsia="宋体"/>
                <w:color w:val="auto"/>
                <w:kern w:val="2"/>
                <w:sz w:val="21"/>
                <w:szCs w:val="24"/>
                <w:highlight w:val="none"/>
              </w:rPr>
              <w:t>⑦危险废物暂存区域应严格按照《危险废物贮存污染控制标准》(GB18597-</w:t>
            </w:r>
            <w:r>
              <w:rPr>
                <w:rFonts w:hint="eastAsia" w:ascii="Times New Roman" w:hAnsi="Times New Roman" w:eastAsia="宋体"/>
                <w:color w:val="auto"/>
                <w:kern w:val="2"/>
                <w:sz w:val="21"/>
                <w:szCs w:val="24"/>
                <w:highlight w:val="none"/>
                <w:lang w:val="en-US" w:eastAsia="zh-CN"/>
              </w:rPr>
              <w:t>2023）</w:t>
            </w:r>
            <w:r>
              <w:rPr>
                <w:rFonts w:hint="eastAsia" w:ascii="Times New Roman" w:hAnsi="Times New Roman" w:eastAsia="宋体"/>
                <w:color w:val="auto"/>
                <w:kern w:val="2"/>
                <w:sz w:val="21"/>
                <w:szCs w:val="24"/>
                <w:highlight w:val="none"/>
              </w:rPr>
              <w:t>中的相关规定，</w:t>
            </w:r>
            <w:r>
              <w:rPr>
                <w:rFonts w:hint="eastAsia" w:ascii="Times New Roman" w:hAnsi="Times New Roman" w:eastAsia="宋体"/>
                <w:color w:val="auto"/>
                <w:kern w:val="2"/>
                <w:sz w:val="21"/>
                <w:szCs w:val="24"/>
                <w:highlight w:val="none"/>
                <w:lang w:val="en-US" w:eastAsia="zh-CN"/>
              </w:rPr>
              <w:t>编制突发环境事件应急预案，定期开展必要的培训和环境应急演练，并做好培训、演练记录</w:t>
            </w:r>
            <w:r>
              <w:rPr>
                <w:rFonts w:hint="eastAsia" w:ascii="Times New Roman" w:hAnsi="Times New Roman" w:eastAsia="宋体"/>
                <w:color w:val="auto"/>
                <w:kern w:val="2"/>
                <w:sz w:val="21"/>
                <w:szCs w:val="24"/>
                <w:highlight w:val="none"/>
              </w:rPr>
              <w:t>。</w:t>
            </w:r>
            <w:r>
              <w:rPr>
                <w:rFonts w:hint="eastAsia" w:ascii="Times New Roman" w:hAnsi="Times New Roman" w:eastAsia="宋体"/>
                <w:color w:val="auto"/>
                <w:kern w:val="2"/>
                <w:sz w:val="21"/>
                <w:szCs w:val="24"/>
                <w:highlight w:val="none"/>
                <w:lang w:val="en-US" w:eastAsia="zh-CN"/>
              </w:rPr>
              <w:t>公司应配备本项目突发环境事件应急要求的应急人员、装备和物资，并设置应急照明系统。</w:t>
            </w:r>
          </w:p>
          <w:p w14:paraId="230C90F8">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auto"/>
                <w:szCs w:val="21"/>
                <w:highlight w:val="none"/>
              </w:rPr>
            </w:pPr>
            <w:r>
              <w:rPr>
                <w:rFonts w:hint="eastAsia" w:ascii="Times New Roman" w:hAnsi="Times New Roman" w:eastAsia="宋体"/>
                <w:color w:val="auto"/>
                <w:kern w:val="2"/>
                <w:sz w:val="21"/>
                <w:szCs w:val="24"/>
                <w:highlight w:val="none"/>
              </w:rPr>
              <w:t>⑧在雨水排口设置雨水切断阀，并对事故废水进行收集，避免事故废水对周围环境产生影响。</w:t>
            </w:r>
          </w:p>
        </w:tc>
      </w:tr>
      <w:tr w14:paraId="23E10E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554" w:type="pct"/>
            <w:vAlign w:val="center"/>
          </w:tcPr>
          <w:p w14:paraId="7B47CCF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8"/>
                <w:szCs w:val="21"/>
                <w:highlight w:val="none"/>
              </w:rPr>
            </w:pPr>
            <w:r>
              <w:rPr>
                <w:rFonts w:hint="default" w:ascii="Times New Roman" w:hAnsi="Times New Roman" w:eastAsia="宋体" w:cs="Times New Roman"/>
                <w:color w:val="auto"/>
                <w:spacing w:val="-8"/>
                <w:szCs w:val="21"/>
                <w:highlight w:val="none"/>
              </w:rPr>
              <w:t>其他环境</w:t>
            </w:r>
          </w:p>
          <w:p w14:paraId="363CEA6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8"/>
                <w:szCs w:val="21"/>
                <w:highlight w:val="none"/>
              </w:rPr>
            </w:pPr>
            <w:r>
              <w:rPr>
                <w:rFonts w:hint="default" w:ascii="Times New Roman" w:hAnsi="Times New Roman" w:eastAsia="宋体" w:cs="Times New Roman"/>
                <w:color w:val="auto"/>
                <w:spacing w:val="-8"/>
                <w:szCs w:val="21"/>
                <w:highlight w:val="none"/>
              </w:rPr>
              <w:t>管理要求</w:t>
            </w:r>
          </w:p>
        </w:tc>
        <w:tc>
          <w:tcPr>
            <w:tcW w:w="4445" w:type="pct"/>
            <w:gridSpan w:val="8"/>
          </w:tcPr>
          <w:p w14:paraId="5B964DF8">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1、建设单位严格执行《排污许可管理条例（国令第736号》。</w:t>
            </w:r>
          </w:p>
          <w:p w14:paraId="55C8AACC">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2、根据《江苏省排污口设置及规范化整治管理办法》规定，对排污口进行规范化整治。</w:t>
            </w:r>
          </w:p>
          <w:p w14:paraId="2DA13AF4">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3、建设单位要严格执行“三同时”，切实做到环保治理设施与主体工程同时设计、同时施工、同时投产使用。</w:t>
            </w:r>
          </w:p>
          <w:p w14:paraId="3E2F791B">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4、各类生产固废应分类贮存，及时清运，防止堆积、泄漏，以免对周围环境产生影响。</w:t>
            </w:r>
          </w:p>
          <w:p w14:paraId="2D4C2B78">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5、加强废气污染治理设施的运行管理和维护保养的管理，加强车间通风换气。</w:t>
            </w:r>
          </w:p>
          <w:p w14:paraId="5A7BA802">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6、建议加强生产车间、</w:t>
            </w:r>
            <w:r>
              <w:rPr>
                <w:rFonts w:hint="eastAsia" w:cs="Times New Roman"/>
                <w:color w:val="auto"/>
                <w:szCs w:val="21"/>
                <w:highlight w:val="none"/>
                <w:lang w:eastAsia="zh-CN"/>
              </w:rPr>
              <w:t>危废间</w:t>
            </w:r>
            <w:r>
              <w:rPr>
                <w:rFonts w:hint="default" w:ascii="Times New Roman" w:hAnsi="Times New Roman" w:eastAsia="宋体" w:cs="Times New Roman"/>
                <w:color w:val="auto"/>
                <w:szCs w:val="21"/>
                <w:highlight w:val="none"/>
              </w:rPr>
              <w:t>等环境风险单元的风险防治措施，加强污染设施安全风险自查，排除环保设施安全及环境风险隐患。</w:t>
            </w:r>
          </w:p>
          <w:p w14:paraId="4DDDC130">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7、本项目建成后全厂卫生防护距离为</w:t>
            </w:r>
            <w:r>
              <w:rPr>
                <w:rFonts w:hint="eastAsia" w:cs="Times New Roman"/>
                <w:color w:val="auto"/>
                <w:szCs w:val="21"/>
                <w:highlight w:val="none"/>
                <w:lang w:val="en-US" w:eastAsia="zh-CN"/>
              </w:rPr>
              <w:t>生产车间外50米</w:t>
            </w:r>
            <w:r>
              <w:rPr>
                <w:rFonts w:hint="default" w:ascii="Times New Roman" w:hAnsi="Times New Roman" w:eastAsia="宋体" w:cs="Times New Roman"/>
                <w:color w:val="auto"/>
                <w:szCs w:val="21"/>
                <w:highlight w:val="none"/>
                <w:lang w:val="en-US" w:eastAsia="zh-CN"/>
              </w:rPr>
              <w:t>。</w:t>
            </w:r>
          </w:p>
          <w:p w14:paraId="2AE7F3B7">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8、本项目涉及的安全、消防、卫生等问题不属于本次评价范围，请公司按照国家相关法律法规和有关标准执行。</w:t>
            </w:r>
          </w:p>
          <w:p w14:paraId="6C56A9B5">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auto"/>
                <w:szCs w:val="21"/>
                <w:highlight w:val="none"/>
              </w:rPr>
            </w:pPr>
          </w:p>
          <w:p w14:paraId="334C8D4F">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highlight w:val="none"/>
              </w:rPr>
            </w:pPr>
          </w:p>
        </w:tc>
      </w:tr>
    </w:tbl>
    <w:p w14:paraId="459E75FF">
      <w:pPr>
        <w:pStyle w:val="24"/>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eastAsia="宋体"/>
          <w:snapToGrid w:val="0"/>
          <w:color w:val="auto"/>
          <w:sz w:val="30"/>
          <w:szCs w:val="30"/>
          <w:highlight w:val="none"/>
        </w:rPr>
      </w:pPr>
      <w:bookmarkStart w:id="9" w:name="_Toc22989"/>
    </w:p>
    <w:p w14:paraId="7BBC5755">
      <w:pPr>
        <w:pStyle w:val="24"/>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eastAsia="宋体"/>
          <w:snapToGrid w:val="0"/>
          <w:color w:val="auto"/>
          <w:sz w:val="30"/>
          <w:szCs w:val="30"/>
          <w:highlight w:val="none"/>
        </w:rPr>
      </w:pPr>
    </w:p>
    <w:p w14:paraId="54DC1A94">
      <w:pPr>
        <w:pStyle w:val="24"/>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eastAsia="宋体"/>
          <w:snapToGrid w:val="0"/>
          <w:color w:val="auto"/>
          <w:sz w:val="30"/>
          <w:szCs w:val="30"/>
          <w:highlight w:val="none"/>
        </w:rPr>
      </w:pPr>
      <w:r>
        <w:rPr>
          <w:rFonts w:ascii="Times New Roman" w:hAnsi="Times New Roman" w:eastAsia="宋体"/>
          <w:snapToGrid w:val="0"/>
          <w:color w:val="auto"/>
          <w:sz w:val="30"/>
          <w:szCs w:val="30"/>
          <w:highlight w:val="none"/>
        </w:rPr>
        <w:t>六、结论</w:t>
      </w:r>
      <w:bookmarkEnd w:id="9"/>
    </w:p>
    <w:tbl>
      <w:tblPr>
        <w:tblStyle w:val="25"/>
        <w:tblW w:w="946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463"/>
      </w:tblGrid>
      <w:tr w14:paraId="677409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63" w:type="dxa"/>
            <w:vAlign w:val="center"/>
          </w:tcPr>
          <w:p w14:paraId="4F657BF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本项目运营期产生的各类污染物在采取合理有效的污染防治措施后，排放总量如下：</w:t>
            </w:r>
          </w:p>
          <w:p w14:paraId="2A14AF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snapToGrid w:val="0"/>
                <w:color w:val="auto"/>
                <w:kern w:val="0"/>
                <w:sz w:val="24"/>
                <w:highlight w:val="none"/>
                <w:lang w:val="en-US" w:eastAsia="zh-CN"/>
              </w:rPr>
            </w:pPr>
            <w:r>
              <w:rPr>
                <w:rFonts w:hint="default" w:ascii="Times New Roman" w:hAnsi="Times New Roman" w:eastAsia="宋体" w:cs="Times New Roman"/>
                <w:b/>
                <w:bCs/>
                <w:snapToGrid w:val="0"/>
                <w:color w:val="auto"/>
                <w:kern w:val="0"/>
                <w:sz w:val="24"/>
                <w:highlight w:val="none"/>
              </w:rPr>
              <w:t>废气污染物：</w:t>
            </w:r>
            <w:r>
              <w:rPr>
                <w:rFonts w:hint="eastAsia" w:ascii="Times New Roman" w:hAnsi="Times New Roman" w:eastAsia="宋体" w:cs="Times New Roman"/>
                <w:b w:val="0"/>
                <w:bCs w:val="0"/>
                <w:snapToGrid w:val="0"/>
                <w:color w:val="auto"/>
                <w:kern w:val="0"/>
                <w:sz w:val="24"/>
                <w:highlight w:val="none"/>
                <w:lang w:val="en-US" w:eastAsia="zh-CN"/>
              </w:rPr>
              <w:t>本项目</w:t>
            </w:r>
            <w:r>
              <w:rPr>
                <w:rFonts w:hint="default" w:ascii="Times New Roman" w:hAnsi="Times New Roman" w:eastAsia="宋体" w:cs="Times New Roman"/>
                <w:b w:val="0"/>
                <w:bCs w:val="0"/>
                <w:snapToGrid w:val="0"/>
                <w:color w:val="auto"/>
                <w:kern w:val="0"/>
                <w:sz w:val="24"/>
                <w:highlight w:val="none"/>
              </w:rPr>
              <w:t>（有组织）</w:t>
            </w:r>
            <w:r>
              <w:rPr>
                <w:rFonts w:hint="eastAsia" w:ascii="Times New Roman" w:hAnsi="Times New Roman" w:eastAsia="宋体" w:cs="Times New Roman"/>
                <w:snapToGrid w:val="0"/>
                <w:color w:val="auto"/>
                <w:kern w:val="0"/>
                <w:sz w:val="24"/>
                <w:highlight w:val="none"/>
                <w:lang w:val="en-US" w:eastAsia="zh-CN"/>
              </w:rPr>
              <w:t>非甲烷总烃≤</w:t>
            </w:r>
            <w:r>
              <w:rPr>
                <w:rFonts w:hint="eastAsia" w:cs="Times New Roman"/>
                <w:snapToGrid w:val="0"/>
                <w:color w:val="auto"/>
                <w:kern w:val="0"/>
                <w:sz w:val="24"/>
                <w:highlight w:val="none"/>
                <w:lang w:val="en-US" w:eastAsia="zh-CN"/>
              </w:rPr>
              <w:t>0.0045</w:t>
            </w:r>
            <w:r>
              <w:rPr>
                <w:rFonts w:hint="default" w:ascii="Times New Roman" w:hAnsi="Times New Roman" w:eastAsia="宋体" w:cs="Times New Roman"/>
                <w:snapToGrid w:val="0"/>
                <w:color w:val="auto"/>
                <w:kern w:val="0"/>
                <w:sz w:val="24"/>
                <w:highlight w:val="none"/>
              </w:rPr>
              <w:t>吨</w:t>
            </w:r>
            <w:r>
              <w:rPr>
                <w:rFonts w:hint="eastAsia" w:cs="Times New Roman"/>
                <w:snapToGrid w:val="0"/>
                <w:color w:val="auto"/>
                <w:kern w:val="0"/>
                <w:sz w:val="24"/>
                <w:highlight w:val="none"/>
                <w:lang w:eastAsia="zh-CN"/>
              </w:rPr>
              <w:t>（</w:t>
            </w:r>
            <w:r>
              <w:rPr>
                <w:rFonts w:hint="eastAsia" w:ascii="Times New Roman" w:hAnsi="Times New Roman" w:eastAsia="宋体" w:cs="Times New Roman"/>
                <w:snapToGrid w:val="0"/>
                <w:color w:val="auto"/>
                <w:kern w:val="0"/>
                <w:sz w:val="24"/>
                <w:highlight w:val="none"/>
                <w:lang w:val="en-US" w:eastAsia="zh-CN"/>
              </w:rPr>
              <w:t>包含</w:t>
            </w:r>
            <w:r>
              <w:rPr>
                <w:rFonts w:hint="eastAsia" w:cs="Times New Roman"/>
                <w:snapToGrid w:val="0"/>
                <w:color w:val="auto"/>
                <w:kern w:val="0"/>
                <w:sz w:val="24"/>
                <w:highlight w:val="none"/>
                <w:lang w:val="en-US" w:eastAsia="zh-CN"/>
              </w:rPr>
              <w:t>甲醇</w:t>
            </w:r>
            <w:r>
              <w:rPr>
                <w:rFonts w:hint="eastAsia" w:ascii="Times New Roman" w:hAnsi="Times New Roman" w:eastAsia="宋体" w:cs="Times New Roman"/>
                <w:snapToGrid w:val="0"/>
                <w:color w:val="auto"/>
                <w:kern w:val="0"/>
                <w:sz w:val="24"/>
                <w:highlight w:val="none"/>
                <w:lang w:val="en-US" w:eastAsia="zh-CN"/>
              </w:rPr>
              <w:t>≤</w:t>
            </w:r>
            <w:r>
              <w:rPr>
                <w:rFonts w:hint="eastAsia" w:cs="Times New Roman"/>
                <w:snapToGrid w:val="0"/>
                <w:color w:val="auto"/>
                <w:kern w:val="0"/>
                <w:sz w:val="24"/>
                <w:highlight w:val="none"/>
                <w:lang w:val="en-US" w:eastAsia="zh-CN"/>
              </w:rPr>
              <w:t>0.0003</w:t>
            </w:r>
            <w:r>
              <w:rPr>
                <w:rFonts w:hint="eastAsia" w:ascii="Times New Roman" w:hAnsi="Times New Roman" w:eastAsia="宋体" w:cs="Times New Roman"/>
                <w:snapToGrid w:val="0"/>
                <w:color w:val="auto"/>
                <w:kern w:val="0"/>
                <w:sz w:val="24"/>
                <w:highlight w:val="none"/>
                <w:lang w:val="en-US" w:eastAsia="zh-CN"/>
              </w:rPr>
              <w:t>吨</w:t>
            </w:r>
            <w:r>
              <w:rPr>
                <w:rFonts w:hint="eastAsia" w:ascii="Times New Roman" w:hAnsi="Times New Roman" w:eastAsia="宋体" w:cs="Times New Roman"/>
                <w:snapToGrid w:val="0"/>
                <w:color w:val="auto"/>
                <w:kern w:val="0"/>
                <w:sz w:val="24"/>
                <w:highlight w:val="none"/>
                <w:lang w:eastAsia="zh-CN"/>
              </w:rPr>
              <w:t>）；</w:t>
            </w:r>
            <w:r>
              <w:rPr>
                <w:rFonts w:hint="eastAsia" w:ascii="Times New Roman" w:hAnsi="Times New Roman" w:eastAsia="宋体" w:cs="Times New Roman"/>
                <w:snapToGrid w:val="0"/>
                <w:color w:val="auto"/>
                <w:kern w:val="0"/>
                <w:sz w:val="24"/>
                <w:highlight w:val="none"/>
                <w:lang w:val="en-US" w:eastAsia="zh-CN"/>
              </w:rPr>
              <w:t>全厂（有组织）</w:t>
            </w:r>
            <w:r>
              <w:rPr>
                <w:rFonts w:hint="eastAsia" w:cs="Times New Roman"/>
                <w:snapToGrid w:val="0"/>
                <w:color w:val="auto"/>
                <w:kern w:val="0"/>
                <w:sz w:val="24"/>
                <w:highlight w:val="none"/>
                <w:lang w:val="en-US" w:eastAsia="zh-CN"/>
              </w:rPr>
              <w:t>非甲烷总烃</w:t>
            </w:r>
            <w:r>
              <w:rPr>
                <w:rFonts w:hint="eastAsia" w:ascii="Times New Roman" w:hAnsi="Times New Roman" w:eastAsia="宋体" w:cs="Times New Roman"/>
                <w:snapToGrid w:val="0"/>
                <w:color w:val="auto"/>
                <w:kern w:val="0"/>
                <w:sz w:val="24"/>
                <w:highlight w:val="none"/>
                <w:lang w:val="en-US" w:eastAsia="zh-CN"/>
              </w:rPr>
              <w:t>≤</w:t>
            </w:r>
            <w:r>
              <w:rPr>
                <w:rFonts w:hint="eastAsia" w:cs="Times New Roman"/>
                <w:snapToGrid w:val="0"/>
                <w:color w:val="auto"/>
                <w:kern w:val="0"/>
                <w:sz w:val="24"/>
                <w:highlight w:val="none"/>
                <w:lang w:val="en-US" w:eastAsia="zh-CN"/>
              </w:rPr>
              <w:t>0.0045</w:t>
            </w:r>
            <w:r>
              <w:rPr>
                <w:rFonts w:hint="eastAsia" w:ascii="Times New Roman" w:hAnsi="Times New Roman" w:eastAsia="宋体" w:cs="Times New Roman"/>
                <w:snapToGrid w:val="0"/>
                <w:color w:val="auto"/>
                <w:kern w:val="0"/>
                <w:sz w:val="24"/>
                <w:highlight w:val="none"/>
                <w:lang w:val="en-US" w:eastAsia="zh-CN"/>
              </w:rPr>
              <w:t>吨</w:t>
            </w:r>
            <w:r>
              <w:rPr>
                <w:rFonts w:hint="eastAsia" w:ascii="Times New Roman" w:hAnsi="Times New Roman" w:eastAsia="宋体" w:cs="Times New Roman"/>
                <w:snapToGrid w:val="0"/>
                <w:color w:val="auto"/>
                <w:kern w:val="0"/>
                <w:sz w:val="24"/>
                <w:highlight w:val="none"/>
                <w:lang w:eastAsia="zh-CN"/>
              </w:rPr>
              <w:t>（</w:t>
            </w:r>
            <w:r>
              <w:rPr>
                <w:rFonts w:hint="eastAsia" w:cs="Times New Roman"/>
                <w:snapToGrid w:val="0"/>
                <w:color w:val="auto"/>
                <w:kern w:val="0"/>
                <w:sz w:val="24"/>
                <w:highlight w:val="none"/>
                <w:lang w:val="en-US" w:eastAsia="zh-CN"/>
              </w:rPr>
              <w:t>包含甲醇</w:t>
            </w:r>
            <w:r>
              <w:rPr>
                <w:rFonts w:hint="eastAsia" w:ascii="Times New Roman" w:hAnsi="Times New Roman" w:eastAsia="宋体" w:cs="Times New Roman"/>
                <w:snapToGrid w:val="0"/>
                <w:color w:val="auto"/>
                <w:kern w:val="0"/>
                <w:sz w:val="24"/>
                <w:highlight w:val="none"/>
                <w:lang w:val="en-US" w:eastAsia="zh-CN"/>
              </w:rPr>
              <w:t>≤</w:t>
            </w:r>
            <w:r>
              <w:rPr>
                <w:rFonts w:hint="eastAsia" w:cs="Times New Roman"/>
                <w:snapToGrid w:val="0"/>
                <w:color w:val="auto"/>
                <w:kern w:val="0"/>
                <w:sz w:val="24"/>
                <w:highlight w:val="none"/>
                <w:lang w:val="en-US" w:eastAsia="zh-CN"/>
              </w:rPr>
              <w:t>0.0003</w:t>
            </w:r>
            <w:r>
              <w:rPr>
                <w:rFonts w:hint="eastAsia" w:ascii="Times New Roman" w:hAnsi="Times New Roman" w:eastAsia="宋体" w:cs="Times New Roman"/>
                <w:snapToGrid w:val="0"/>
                <w:color w:val="auto"/>
                <w:kern w:val="0"/>
                <w:sz w:val="24"/>
                <w:highlight w:val="none"/>
                <w:lang w:val="en-US" w:eastAsia="zh-CN"/>
              </w:rPr>
              <w:t>吨</w:t>
            </w:r>
            <w:r>
              <w:rPr>
                <w:rFonts w:hint="eastAsia" w:cs="Times New Roman"/>
                <w:snapToGrid w:val="0"/>
                <w:color w:val="auto"/>
                <w:kern w:val="0"/>
                <w:sz w:val="24"/>
                <w:highlight w:val="none"/>
                <w:lang w:val="en-US" w:eastAsia="zh-CN"/>
              </w:rPr>
              <w:t>）</w:t>
            </w:r>
            <w:r>
              <w:rPr>
                <w:rFonts w:hint="eastAsia" w:ascii="Times New Roman" w:hAnsi="Times New Roman" w:eastAsia="宋体" w:cs="Times New Roman"/>
                <w:snapToGrid w:val="0"/>
                <w:color w:val="auto"/>
                <w:kern w:val="0"/>
                <w:sz w:val="24"/>
                <w:highlight w:val="none"/>
                <w:lang w:eastAsia="zh-CN"/>
              </w:rPr>
              <w:t>。</w:t>
            </w:r>
          </w:p>
          <w:p w14:paraId="43E43402">
            <w:pPr>
              <w:keepNext w:val="0"/>
              <w:keepLines w:val="0"/>
              <w:pageBreakBefore w:val="0"/>
              <w:widowControl w:val="0"/>
              <w:suppressLineNumbers w:val="0"/>
              <w:tabs>
                <w:tab w:val="left" w:pos="7245"/>
              </w:tabs>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0"/>
              <w:rPr>
                <w:rFonts w:hint="default" w:ascii="Times New Roman" w:hAnsi="Times New Roman" w:eastAsia="宋体" w:cs="Times New Roman"/>
                <w:b/>
                <w:bCs/>
                <w:color w:val="auto"/>
                <w:sz w:val="24"/>
                <w:szCs w:val="32"/>
                <w:highlight w:val="none"/>
                <w:lang w:val="en-US" w:eastAsia="zh-CN"/>
              </w:rPr>
            </w:pPr>
            <w:bookmarkStart w:id="10" w:name="_Toc29825"/>
            <w:r>
              <w:rPr>
                <w:rFonts w:hint="eastAsia" w:ascii="Times New Roman" w:hAnsi="Times New Roman" w:eastAsia="宋体" w:cs="Times New Roman"/>
                <w:b/>
                <w:bCs/>
                <w:color w:val="auto"/>
                <w:sz w:val="24"/>
                <w:szCs w:val="32"/>
                <w:highlight w:val="none"/>
                <w:lang w:val="en-US" w:eastAsia="zh-CN"/>
              </w:rPr>
              <w:t>废水污染物：</w:t>
            </w:r>
            <w:bookmarkEnd w:id="10"/>
            <w:r>
              <w:rPr>
                <w:rFonts w:hint="default" w:ascii="Times New Roman" w:hAnsi="Times New Roman" w:eastAsia="宋体" w:cs="Times New Roman"/>
                <w:b w:val="0"/>
                <w:bCs w:val="0"/>
                <w:snapToGrid w:val="0"/>
                <w:color w:val="auto"/>
                <w:kern w:val="0"/>
                <w:sz w:val="24"/>
                <w:highlight w:val="none"/>
                <w:lang w:val="en-US" w:eastAsia="zh-CN"/>
              </w:rPr>
              <w:t>本项目</w:t>
            </w:r>
            <w:r>
              <w:rPr>
                <w:rFonts w:hint="eastAsia" w:cs="Times New Roman"/>
                <w:b w:val="0"/>
                <w:bCs w:val="0"/>
                <w:snapToGrid w:val="0"/>
                <w:color w:val="auto"/>
                <w:kern w:val="0"/>
                <w:sz w:val="24"/>
                <w:highlight w:val="none"/>
                <w:lang w:val="en-US" w:eastAsia="zh-CN"/>
              </w:rPr>
              <w:t>废水量≤318.89吨、</w:t>
            </w:r>
            <w:r>
              <w:rPr>
                <w:rFonts w:hint="default" w:ascii="Times New Roman" w:hAnsi="Times New Roman" w:eastAsia="宋体" w:cs="Times New Roman"/>
                <w:b w:val="0"/>
                <w:bCs w:val="0"/>
                <w:snapToGrid w:val="0"/>
                <w:color w:val="auto"/>
                <w:kern w:val="0"/>
                <w:sz w:val="24"/>
                <w:highlight w:val="none"/>
                <w:lang w:val="en-US" w:eastAsia="zh-CN"/>
              </w:rPr>
              <w:t>COD≤</w:t>
            </w:r>
            <w:r>
              <w:rPr>
                <w:rFonts w:hint="eastAsia" w:cs="Times New Roman"/>
                <w:b w:val="0"/>
                <w:bCs w:val="0"/>
                <w:snapToGrid w:val="0"/>
                <w:color w:val="auto"/>
                <w:kern w:val="0"/>
                <w:sz w:val="24"/>
                <w:highlight w:val="none"/>
                <w:lang w:val="en-US" w:eastAsia="zh-CN"/>
              </w:rPr>
              <w:t>0.1355</w:t>
            </w:r>
            <w:r>
              <w:rPr>
                <w:rFonts w:hint="default" w:ascii="Times New Roman" w:hAnsi="Times New Roman" w:eastAsia="宋体" w:cs="Times New Roman"/>
                <w:b w:val="0"/>
                <w:bCs w:val="0"/>
                <w:snapToGrid w:val="0"/>
                <w:color w:val="auto"/>
                <w:kern w:val="0"/>
                <w:sz w:val="24"/>
                <w:highlight w:val="none"/>
                <w:lang w:val="en-US" w:eastAsia="zh-CN"/>
              </w:rPr>
              <w:t>t/a、SS≤</w:t>
            </w:r>
            <w:r>
              <w:rPr>
                <w:rFonts w:hint="eastAsia" w:cs="Times New Roman"/>
                <w:b w:val="0"/>
                <w:bCs w:val="0"/>
                <w:snapToGrid w:val="0"/>
                <w:color w:val="auto"/>
                <w:kern w:val="0"/>
                <w:sz w:val="24"/>
                <w:highlight w:val="none"/>
                <w:lang w:val="en-US" w:eastAsia="zh-CN"/>
              </w:rPr>
              <w:t>0.1084</w:t>
            </w:r>
            <w:r>
              <w:rPr>
                <w:rFonts w:hint="eastAsia" w:ascii="Times New Roman" w:hAnsi="Times New Roman" w:eastAsia="宋体" w:cs="Times New Roman"/>
                <w:b w:val="0"/>
                <w:bCs w:val="0"/>
                <w:snapToGrid w:val="0"/>
                <w:color w:val="auto"/>
                <w:kern w:val="0"/>
                <w:sz w:val="24"/>
                <w:highlight w:val="none"/>
                <w:lang w:val="en-US" w:eastAsia="zh-CN"/>
              </w:rPr>
              <w:t>1</w:t>
            </w:r>
            <w:r>
              <w:rPr>
                <w:rFonts w:hint="default" w:ascii="Times New Roman" w:hAnsi="Times New Roman" w:eastAsia="宋体" w:cs="Times New Roman"/>
                <w:b w:val="0"/>
                <w:bCs w:val="0"/>
                <w:snapToGrid w:val="0"/>
                <w:color w:val="auto"/>
                <w:kern w:val="0"/>
                <w:sz w:val="24"/>
                <w:highlight w:val="none"/>
                <w:lang w:val="en-US" w:eastAsia="zh-CN"/>
              </w:rPr>
              <w:t>t/a、氨氮≤</w:t>
            </w:r>
            <w:r>
              <w:rPr>
                <w:rFonts w:hint="eastAsia" w:cs="Times New Roman"/>
                <w:b w:val="0"/>
                <w:bCs w:val="0"/>
                <w:snapToGrid w:val="0"/>
                <w:color w:val="auto"/>
                <w:kern w:val="0"/>
                <w:sz w:val="24"/>
                <w:highlight w:val="none"/>
                <w:lang w:val="en-US" w:eastAsia="zh-CN"/>
              </w:rPr>
              <w:t>0.0105</w:t>
            </w:r>
            <w:r>
              <w:rPr>
                <w:rFonts w:hint="default" w:ascii="Times New Roman" w:hAnsi="Times New Roman" w:eastAsia="宋体" w:cs="Times New Roman"/>
                <w:b w:val="0"/>
                <w:bCs w:val="0"/>
                <w:snapToGrid w:val="0"/>
                <w:color w:val="auto"/>
                <w:kern w:val="0"/>
                <w:sz w:val="24"/>
                <w:highlight w:val="none"/>
                <w:lang w:val="en-US" w:eastAsia="zh-CN"/>
              </w:rPr>
              <w:t>t/a、总氮≤</w:t>
            </w:r>
            <w:r>
              <w:rPr>
                <w:rFonts w:hint="eastAsia" w:cs="Times New Roman"/>
                <w:b w:val="0"/>
                <w:bCs w:val="0"/>
                <w:snapToGrid w:val="0"/>
                <w:color w:val="auto"/>
                <w:kern w:val="0"/>
                <w:sz w:val="24"/>
                <w:highlight w:val="none"/>
                <w:lang w:val="en-US" w:eastAsia="zh-CN"/>
              </w:rPr>
              <w:t>0.0134</w:t>
            </w:r>
            <w:r>
              <w:rPr>
                <w:rFonts w:hint="default" w:ascii="Times New Roman" w:hAnsi="Times New Roman" w:eastAsia="宋体" w:cs="Times New Roman"/>
                <w:b w:val="0"/>
                <w:bCs w:val="0"/>
                <w:snapToGrid w:val="0"/>
                <w:color w:val="auto"/>
                <w:kern w:val="0"/>
                <w:sz w:val="24"/>
                <w:highlight w:val="none"/>
                <w:lang w:val="en-US" w:eastAsia="zh-CN"/>
              </w:rPr>
              <w:t>t/a，总磷≤</w:t>
            </w:r>
            <w:r>
              <w:rPr>
                <w:rFonts w:hint="eastAsia" w:cs="Times New Roman"/>
                <w:b w:val="0"/>
                <w:bCs w:val="0"/>
                <w:snapToGrid w:val="0"/>
                <w:color w:val="auto"/>
                <w:kern w:val="0"/>
                <w:sz w:val="24"/>
                <w:highlight w:val="none"/>
                <w:lang w:val="en-US" w:eastAsia="zh-CN"/>
              </w:rPr>
              <w:t>0.0016</w:t>
            </w:r>
            <w:r>
              <w:rPr>
                <w:rFonts w:hint="default" w:ascii="Times New Roman" w:hAnsi="Times New Roman" w:eastAsia="宋体" w:cs="Times New Roman"/>
                <w:b w:val="0"/>
                <w:bCs w:val="0"/>
                <w:snapToGrid w:val="0"/>
                <w:color w:val="auto"/>
                <w:kern w:val="0"/>
                <w:sz w:val="24"/>
                <w:highlight w:val="none"/>
                <w:lang w:val="en-US" w:eastAsia="zh-CN"/>
              </w:rPr>
              <w:t>t/a</w:t>
            </w:r>
            <w:r>
              <w:rPr>
                <w:rFonts w:hint="eastAsia" w:ascii="Times New Roman" w:hAnsi="Times New Roman" w:eastAsia="宋体" w:cs="Times New Roman"/>
                <w:b w:val="0"/>
                <w:bCs w:val="0"/>
                <w:snapToGrid w:val="0"/>
                <w:color w:val="auto"/>
                <w:kern w:val="0"/>
                <w:sz w:val="24"/>
                <w:highlight w:val="none"/>
                <w:lang w:val="en-US" w:eastAsia="zh-CN"/>
              </w:rPr>
              <w:t>，</w:t>
            </w:r>
            <w:r>
              <w:rPr>
                <w:rFonts w:hint="eastAsia" w:cs="Times New Roman"/>
                <w:b w:val="0"/>
                <w:bCs w:val="0"/>
                <w:snapToGrid w:val="0"/>
                <w:color w:val="auto"/>
                <w:kern w:val="0"/>
                <w:sz w:val="24"/>
                <w:highlight w:val="none"/>
                <w:lang w:val="en-US" w:eastAsia="zh-CN"/>
              </w:rPr>
              <w:t>LAS</w:t>
            </w:r>
            <w:r>
              <w:rPr>
                <w:rFonts w:hint="default" w:ascii="Times New Roman" w:hAnsi="Times New Roman" w:eastAsia="宋体" w:cs="Times New Roman"/>
                <w:b w:val="0"/>
                <w:bCs w:val="0"/>
                <w:snapToGrid w:val="0"/>
                <w:color w:val="auto"/>
                <w:kern w:val="0"/>
                <w:sz w:val="24"/>
                <w:highlight w:val="none"/>
                <w:lang w:val="en-US" w:eastAsia="zh-CN"/>
              </w:rPr>
              <w:t>≤</w:t>
            </w:r>
            <w:r>
              <w:rPr>
                <w:rFonts w:hint="eastAsia" w:cs="Times New Roman"/>
                <w:b w:val="0"/>
                <w:bCs w:val="0"/>
                <w:snapToGrid w:val="0"/>
                <w:color w:val="auto"/>
                <w:kern w:val="0"/>
                <w:sz w:val="24"/>
                <w:highlight w:val="none"/>
                <w:lang w:val="en-US" w:eastAsia="zh-CN"/>
              </w:rPr>
              <w:t>0.0003</w:t>
            </w:r>
            <w:r>
              <w:rPr>
                <w:rFonts w:hint="default" w:ascii="Times New Roman" w:hAnsi="Times New Roman" w:eastAsia="宋体" w:cs="Times New Roman"/>
                <w:b w:val="0"/>
                <w:bCs w:val="0"/>
                <w:snapToGrid w:val="0"/>
                <w:color w:val="auto"/>
                <w:kern w:val="0"/>
                <w:sz w:val="24"/>
                <w:highlight w:val="none"/>
                <w:lang w:val="en-US" w:eastAsia="zh-CN"/>
              </w:rPr>
              <w:t>t/a。；（全厂）废水量≤</w:t>
            </w:r>
            <w:r>
              <w:rPr>
                <w:rFonts w:hint="eastAsia" w:cs="Times New Roman"/>
                <w:b w:val="0"/>
                <w:bCs w:val="0"/>
                <w:snapToGrid w:val="0"/>
                <w:color w:val="auto"/>
                <w:kern w:val="0"/>
                <w:sz w:val="24"/>
                <w:highlight w:val="none"/>
                <w:lang w:val="en-US" w:eastAsia="zh-CN"/>
              </w:rPr>
              <w:t>318.89吨、</w:t>
            </w:r>
            <w:r>
              <w:rPr>
                <w:rFonts w:hint="default" w:ascii="Times New Roman" w:hAnsi="Times New Roman" w:eastAsia="宋体" w:cs="Times New Roman"/>
                <w:b w:val="0"/>
                <w:bCs w:val="0"/>
                <w:snapToGrid w:val="0"/>
                <w:color w:val="auto"/>
                <w:kern w:val="0"/>
                <w:sz w:val="24"/>
                <w:highlight w:val="none"/>
                <w:lang w:val="en-US" w:eastAsia="zh-CN"/>
              </w:rPr>
              <w:t>COD≤</w:t>
            </w:r>
            <w:r>
              <w:rPr>
                <w:rFonts w:hint="eastAsia" w:cs="Times New Roman"/>
                <w:b w:val="0"/>
                <w:bCs w:val="0"/>
                <w:snapToGrid w:val="0"/>
                <w:color w:val="auto"/>
                <w:kern w:val="0"/>
                <w:sz w:val="24"/>
                <w:highlight w:val="none"/>
                <w:lang w:val="en-US" w:eastAsia="zh-CN"/>
              </w:rPr>
              <w:t>0.1355</w:t>
            </w:r>
            <w:r>
              <w:rPr>
                <w:rFonts w:hint="default" w:ascii="Times New Roman" w:hAnsi="Times New Roman" w:eastAsia="宋体" w:cs="Times New Roman"/>
                <w:b w:val="0"/>
                <w:bCs w:val="0"/>
                <w:snapToGrid w:val="0"/>
                <w:color w:val="auto"/>
                <w:kern w:val="0"/>
                <w:sz w:val="24"/>
                <w:highlight w:val="none"/>
                <w:lang w:val="en-US" w:eastAsia="zh-CN"/>
              </w:rPr>
              <w:t>t/a、SS≤</w:t>
            </w:r>
            <w:r>
              <w:rPr>
                <w:rFonts w:hint="eastAsia" w:cs="Times New Roman"/>
                <w:b w:val="0"/>
                <w:bCs w:val="0"/>
                <w:snapToGrid w:val="0"/>
                <w:color w:val="auto"/>
                <w:kern w:val="0"/>
                <w:sz w:val="24"/>
                <w:highlight w:val="none"/>
                <w:lang w:val="en-US" w:eastAsia="zh-CN"/>
              </w:rPr>
              <w:t>0.1084</w:t>
            </w:r>
            <w:r>
              <w:rPr>
                <w:rFonts w:hint="eastAsia" w:ascii="Times New Roman" w:hAnsi="Times New Roman" w:eastAsia="宋体" w:cs="Times New Roman"/>
                <w:b w:val="0"/>
                <w:bCs w:val="0"/>
                <w:snapToGrid w:val="0"/>
                <w:color w:val="auto"/>
                <w:kern w:val="0"/>
                <w:sz w:val="24"/>
                <w:highlight w:val="none"/>
                <w:lang w:val="en-US" w:eastAsia="zh-CN"/>
              </w:rPr>
              <w:t>1</w:t>
            </w:r>
            <w:r>
              <w:rPr>
                <w:rFonts w:hint="default" w:ascii="Times New Roman" w:hAnsi="Times New Roman" w:eastAsia="宋体" w:cs="Times New Roman"/>
                <w:b w:val="0"/>
                <w:bCs w:val="0"/>
                <w:snapToGrid w:val="0"/>
                <w:color w:val="auto"/>
                <w:kern w:val="0"/>
                <w:sz w:val="24"/>
                <w:highlight w:val="none"/>
                <w:lang w:val="en-US" w:eastAsia="zh-CN"/>
              </w:rPr>
              <w:t>t/a、氨氮≤</w:t>
            </w:r>
            <w:r>
              <w:rPr>
                <w:rFonts w:hint="eastAsia" w:cs="Times New Roman"/>
                <w:b w:val="0"/>
                <w:bCs w:val="0"/>
                <w:snapToGrid w:val="0"/>
                <w:color w:val="auto"/>
                <w:kern w:val="0"/>
                <w:sz w:val="24"/>
                <w:highlight w:val="none"/>
                <w:lang w:val="en-US" w:eastAsia="zh-CN"/>
              </w:rPr>
              <w:t>0.0105</w:t>
            </w:r>
            <w:r>
              <w:rPr>
                <w:rFonts w:hint="default" w:ascii="Times New Roman" w:hAnsi="Times New Roman" w:eastAsia="宋体" w:cs="Times New Roman"/>
                <w:b w:val="0"/>
                <w:bCs w:val="0"/>
                <w:snapToGrid w:val="0"/>
                <w:color w:val="auto"/>
                <w:kern w:val="0"/>
                <w:sz w:val="24"/>
                <w:highlight w:val="none"/>
                <w:lang w:val="en-US" w:eastAsia="zh-CN"/>
              </w:rPr>
              <w:t>t/a、总氮≤</w:t>
            </w:r>
            <w:r>
              <w:rPr>
                <w:rFonts w:hint="eastAsia" w:cs="Times New Roman"/>
                <w:b w:val="0"/>
                <w:bCs w:val="0"/>
                <w:snapToGrid w:val="0"/>
                <w:color w:val="auto"/>
                <w:kern w:val="0"/>
                <w:sz w:val="24"/>
                <w:highlight w:val="none"/>
                <w:lang w:val="en-US" w:eastAsia="zh-CN"/>
              </w:rPr>
              <w:t>0.0134</w:t>
            </w:r>
            <w:r>
              <w:rPr>
                <w:rFonts w:hint="default" w:ascii="Times New Roman" w:hAnsi="Times New Roman" w:eastAsia="宋体" w:cs="Times New Roman"/>
                <w:b w:val="0"/>
                <w:bCs w:val="0"/>
                <w:snapToGrid w:val="0"/>
                <w:color w:val="auto"/>
                <w:kern w:val="0"/>
                <w:sz w:val="24"/>
                <w:highlight w:val="none"/>
                <w:lang w:val="en-US" w:eastAsia="zh-CN"/>
              </w:rPr>
              <w:t>t/a，总磷≤</w:t>
            </w:r>
            <w:r>
              <w:rPr>
                <w:rFonts w:hint="eastAsia" w:cs="Times New Roman"/>
                <w:b w:val="0"/>
                <w:bCs w:val="0"/>
                <w:snapToGrid w:val="0"/>
                <w:color w:val="auto"/>
                <w:kern w:val="0"/>
                <w:sz w:val="24"/>
                <w:highlight w:val="none"/>
                <w:lang w:val="en-US" w:eastAsia="zh-CN"/>
              </w:rPr>
              <w:t>0.0016</w:t>
            </w:r>
            <w:r>
              <w:rPr>
                <w:rFonts w:hint="default" w:ascii="Times New Roman" w:hAnsi="Times New Roman" w:eastAsia="宋体" w:cs="Times New Roman"/>
                <w:b w:val="0"/>
                <w:bCs w:val="0"/>
                <w:snapToGrid w:val="0"/>
                <w:color w:val="auto"/>
                <w:kern w:val="0"/>
                <w:sz w:val="24"/>
                <w:highlight w:val="none"/>
                <w:lang w:val="en-US" w:eastAsia="zh-CN"/>
              </w:rPr>
              <w:t>t/a</w:t>
            </w:r>
            <w:r>
              <w:rPr>
                <w:rFonts w:hint="eastAsia" w:ascii="Times New Roman" w:hAnsi="Times New Roman" w:eastAsia="宋体" w:cs="Times New Roman"/>
                <w:b w:val="0"/>
                <w:bCs w:val="0"/>
                <w:snapToGrid w:val="0"/>
                <w:color w:val="auto"/>
                <w:kern w:val="0"/>
                <w:sz w:val="24"/>
                <w:highlight w:val="none"/>
                <w:lang w:val="en-US" w:eastAsia="zh-CN"/>
              </w:rPr>
              <w:t>，</w:t>
            </w:r>
            <w:r>
              <w:rPr>
                <w:rFonts w:hint="eastAsia" w:cs="Times New Roman"/>
                <w:b w:val="0"/>
                <w:bCs w:val="0"/>
                <w:snapToGrid w:val="0"/>
                <w:color w:val="auto"/>
                <w:kern w:val="0"/>
                <w:sz w:val="24"/>
                <w:highlight w:val="none"/>
                <w:lang w:val="en-US" w:eastAsia="zh-CN"/>
              </w:rPr>
              <w:t>LAS</w:t>
            </w:r>
            <w:r>
              <w:rPr>
                <w:rFonts w:hint="default" w:ascii="Times New Roman" w:hAnsi="Times New Roman" w:eastAsia="宋体" w:cs="Times New Roman"/>
                <w:b w:val="0"/>
                <w:bCs w:val="0"/>
                <w:snapToGrid w:val="0"/>
                <w:color w:val="auto"/>
                <w:kern w:val="0"/>
                <w:sz w:val="24"/>
                <w:highlight w:val="none"/>
                <w:lang w:val="en-US" w:eastAsia="zh-CN"/>
              </w:rPr>
              <w:t>≤</w:t>
            </w:r>
            <w:r>
              <w:rPr>
                <w:rFonts w:hint="eastAsia" w:cs="Times New Roman"/>
                <w:b w:val="0"/>
                <w:bCs w:val="0"/>
                <w:snapToGrid w:val="0"/>
                <w:color w:val="auto"/>
                <w:kern w:val="0"/>
                <w:sz w:val="24"/>
                <w:highlight w:val="none"/>
                <w:lang w:val="en-US" w:eastAsia="zh-CN"/>
              </w:rPr>
              <w:t>0.0003</w:t>
            </w:r>
            <w:r>
              <w:rPr>
                <w:rFonts w:hint="default" w:ascii="Times New Roman" w:hAnsi="Times New Roman" w:eastAsia="宋体" w:cs="Times New Roman"/>
                <w:b w:val="0"/>
                <w:bCs w:val="0"/>
                <w:snapToGrid w:val="0"/>
                <w:color w:val="auto"/>
                <w:kern w:val="0"/>
                <w:sz w:val="24"/>
                <w:highlight w:val="none"/>
                <w:lang w:val="en-US" w:eastAsia="zh-CN"/>
              </w:rPr>
              <w:t>t/a。</w:t>
            </w:r>
          </w:p>
          <w:p w14:paraId="56D2EDE4">
            <w:pPr>
              <w:keepNext w:val="0"/>
              <w:keepLines w:val="0"/>
              <w:pageBreakBefore w:val="0"/>
              <w:widowControl w:val="0"/>
              <w:suppressLineNumbers w:val="0"/>
              <w:tabs>
                <w:tab w:val="left" w:pos="7245"/>
              </w:tabs>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0"/>
              <w:rPr>
                <w:rFonts w:hint="default" w:ascii="Times New Roman" w:hAnsi="Times New Roman" w:eastAsia="宋体" w:cs="Times New Roman"/>
                <w:color w:val="auto"/>
                <w:sz w:val="24"/>
                <w:szCs w:val="32"/>
                <w:highlight w:val="none"/>
              </w:rPr>
            </w:pPr>
            <w:bookmarkStart w:id="11" w:name="_Toc19402"/>
            <w:r>
              <w:rPr>
                <w:rFonts w:hint="default" w:ascii="Times New Roman" w:hAnsi="Times New Roman" w:eastAsia="宋体" w:cs="Times New Roman"/>
                <w:b/>
                <w:bCs/>
                <w:color w:val="auto"/>
                <w:sz w:val="24"/>
                <w:szCs w:val="32"/>
                <w:highlight w:val="none"/>
              </w:rPr>
              <w:t>固体废物：</w:t>
            </w:r>
            <w:r>
              <w:rPr>
                <w:rFonts w:hint="default" w:ascii="Times New Roman" w:hAnsi="Times New Roman" w:eastAsia="宋体" w:cs="Times New Roman"/>
                <w:color w:val="auto"/>
                <w:sz w:val="24"/>
                <w:szCs w:val="32"/>
                <w:highlight w:val="none"/>
              </w:rPr>
              <w:t>全部综合利用或安全处置。</w:t>
            </w:r>
            <w:bookmarkEnd w:id="11"/>
          </w:p>
          <w:p w14:paraId="3313FD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rPr>
              <w:t>本项目</w:t>
            </w:r>
            <w:r>
              <w:rPr>
                <w:rFonts w:hint="eastAsia" w:ascii="Times New Roman" w:hAnsi="Times New Roman" w:eastAsia="宋体" w:cs="Times New Roman"/>
                <w:color w:val="auto"/>
                <w:sz w:val="24"/>
                <w:szCs w:val="32"/>
                <w:highlight w:val="none"/>
                <w:lang w:val="en-US" w:eastAsia="zh-CN"/>
              </w:rPr>
              <w:t>非甲烷总</w:t>
            </w:r>
            <w:r>
              <w:rPr>
                <w:rFonts w:hint="eastAsia" w:cs="Times New Roman"/>
                <w:color w:val="auto"/>
                <w:sz w:val="24"/>
                <w:szCs w:val="32"/>
                <w:highlight w:val="none"/>
                <w:lang w:val="en-US" w:eastAsia="zh-CN"/>
              </w:rPr>
              <w:t>（包含甲醇）</w:t>
            </w:r>
            <w:r>
              <w:rPr>
                <w:rFonts w:hint="default" w:ascii="Times New Roman" w:hAnsi="Times New Roman" w:eastAsia="宋体" w:cs="Times New Roman"/>
                <w:color w:val="auto"/>
                <w:sz w:val="24"/>
                <w:szCs w:val="32"/>
                <w:highlight w:val="none"/>
              </w:rPr>
              <w:t>的排放总量在新吴区内平衡；</w:t>
            </w:r>
            <w:r>
              <w:rPr>
                <w:rFonts w:hint="eastAsia"/>
                <w:color w:val="auto"/>
                <w:sz w:val="24"/>
                <w:szCs w:val="32"/>
                <w:highlight w:val="none"/>
              </w:rPr>
              <w:t>本项目</w:t>
            </w:r>
            <w:r>
              <w:rPr>
                <w:rFonts w:hint="default"/>
                <w:color w:val="auto"/>
                <w:sz w:val="24"/>
                <w:szCs w:val="32"/>
                <w:highlight w:val="none"/>
              </w:rPr>
              <w:t>废水</w:t>
            </w:r>
            <w:r>
              <w:rPr>
                <w:rFonts w:hint="eastAsia"/>
                <w:color w:val="auto"/>
                <w:sz w:val="24"/>
                <w:szCs w:val="32"/>
                <w:highlight w:val="none"/>
              </w:rPr>
              <w:t>排放总量纳入</w:t>
            </w:r>
            <w:r>
              <w:rPr>
                <w:rFonts w:hint="eastAsia"/>
                <w:color w:val="auto"/>
                <w:sz w:val="24"/>
                <w:szCs w:val="32"/>
                <w:highlight w:val="none"/>
                <w:lang w:val="en-US" w:eastAsia="zh-CN"/>
              </w:rPr>
              <w:t>太湖新城污水处理厂</w:t>
            </w:r>
            <w:r>
              <w:rPr>
                <w:rFonts w:hint="eastAsia"/>
                <w:color w:val="auto"/>
                <w:sz w:val="24"/>
                <w:szCs w:val="32"/>
                <w:highlight w:val="none"/>
              </w:rPr>
              <w:t>排放总量中，在</w:t>
            </w:r>
            <w:r>
              <w:rPr>
                <w:rFonts w:hint="eastAsia"/>
                <w:color w:val="auto"/>
                <w:sz w:val="24"/>
                <w:szCs w:val="32"/>
                <w:highlight w:val="none"/>
                <w:lang w:val="en-US" w:eastAsia="zh-CN"/>
              </w:rPr>
              <w:t>太湖新城污水处理厂</w:t>
            </w:r>
            <w:r>
              <w:rPr>
                <w:rFonts w:hint="eastAsia"/>
                <w:color w:val="auto"/>
                <w:sz w:val="24"/>
                <w:szCs w:val="32"/>
                <w:highlight w:val="none"/>
              </w:rPr>
              <w:t>的污染物排放总量控制指标内进行平衡</w:t>
            </w:r>
            <w:r>
              <w:rPr>
                <w:rFonts w:hint="default"/>
                <w:color w:val="auto"/>
                <w:sz w:val="24"/>
                <w:szCs w:val="32"/>
                <w:highlight w:val="none"/>
              </w:rPr>
              <w:t>。</w:t>
            </w:r>
          </w:p>
          <w:p w14:paraId="5ACAA3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固废零排放。</w:t>
            </w:r>
          </w:p>
          <w:p w14:paraId="1733B1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本项目为</w:t>
            </w:r>
            <w:r>
              <w:rPr>
                <w:rFonts w:hint="eastAsia" w:cs="Times New Roman"/>
                <w:color w:val="auto"/>
                <w:sz w:val="24"/>
                <w:szCs w:val="32"/>
                <w:highlight w:val="none"/>
                <w:lang w:val="en-US" w:eastAsia="zh-CN"/>
              </w:rPr>
              <w:t>无锡奕拓医药实验室新建项目</w:t>
            </w:r>
            <w:r>
              <w:rPr>
                <w:rFonts w:hint="default" w:ascii="Times New Roman" w:hAnsi="Times New Roman" w:eastAsia="宋体" w:cs="Times New Roman"/>
                <w:color w:val="auto"/>
                <w:sz w:val="24"/>
                <w:szCs w:val="32"/>
                <w:highlight w:val="none"/>
              </w:rPr>
              <w:t>，位于</w:t>
            </w:r>
            <w:r>
              <w:rPr>
                <w:rFonts w:hint="eastAsia" w:ascii="Times New Roman" w:hAnsi="Times New Roman" w:eastAsia="宋体"/>
                <w:color w:val="auto"/>
                <w:sz w:val="24"/>
                <w:lang w:val="en-US" w:eastAsia="zh-CN"/>
              </w:rPr>
              <w:t>无锡市新吴区净慧东道196号F楼2楼</w:t>
            </w:r>
            <w:r>
              <w:rPr>
                <w:rFonts w:hint="default" w:ascii="Times New Roman" w:hAnsi="Times New Roman" w:eastAsia="宋体" w:cs="Times New Roman"/>
                <w:color w:val="auto"/>
                <w:sz w:val="24"/>
                <w:szCs w:val="32"/>
                <w:highlight w:val="none"/>
              </w:rPr>
              <w:t>，符合国家及地方产业政策，选址符合用地规划要求，符合“三线一单”要求；项目生产过程中产生的污染在采取有效的治理措施之后，对周围环境影响较小。因此，从环保的角度出发，该项目在坚持“三同时”原则并按照本报告中提出的各项环保措施治理后是可行的。</w:t>
            </w:r>
          </w:p>
          <w:p w14:paraId="337EE864">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highlight w:val="none"/>
              </w:rPr>
            </w:pPr>
          </w:p>
          <w:p w14:paraId="2802564B">
            <w:pPr>
              <w:pStyle w:val="12"/>
              <w:keepNext w:val="0"/>
              <w:keepLines w:val="0"/>
              <w:suppressLineNumbers w:val="0"/>
              <w:spacing w:beforeAutospacing="0" w:afterAutospacing="0"/>
              <w:ind w:left="0"/>
              <w:rPr>
                <w:rFonts w:hint="default" w:ascii="Times New Roman" w:hAnsi="Times New Roman" w:eastAsia="宋体" w:cs="Times New Roman"/>
                <w:color w:val="auto"/>
                <w:highlight w:val="none"/>
              </w:rPr>
            </w:pPr>
          </w:p>
          <w:p w14:paraId="197E0C88">
            <w:pPr>
              <w:pStyle w:val="13"/>
              <w:keepNext w:val="0"/>
              <w:keepLines w:val="0"/>
              <w:numPr>
                <w:ilvl w:val="0"/>
                <w:numId w:val="0"/>
              </w:numPr>
              <w:suppressLineNumbers w:val="0"/>
              <w:spacing w:before="0" w:beforeAutospacing="0" w:after="0" w:afterAutospacing="0"/>
              <w:ind w:left="360" w:right="0" w:hanging="360"/>
              <w:rPr>
                <w:rFonts w:hint="default" w:ascii="Times New Roman" w:hAnsi="Times New Roman" w:eastAsia="宋体" w:cs="Times New Roman"/>
                <w:color w:val="auto"/>
                <w:highlight w:val="none"/>
              </w:rPr>
            </w:pPr>
          </w:p>
          <w:p w14:paraId="06F9033D">
            <w:pPr>
              <w:pStyle w:val="13"/>
              <w:keepNext w:val="0"/>
              <w:keepLines w:val="0"/>
              <w:numPr>
                <w:ilvl w:val="0"/>
                <w:numId w:val="0"/>
              </w:numPr>
              <w:suppressLineNumbers w:val="0"/>
              <w:spacing w:before="0" w:beforeAutospacing="0" w:after="0" w:afterAutospacing="0"/>
              <w:ind w:left="360" w:right="0" w:hanging="360"/>
              <w:rPr>
                <w:rFonts w:hint="default" w:ascii="Times New Roman" w:hAnsi="Times New Roman" w:eastAsia="宋体" w:cs="Times New Roman"/>
                <w:color w:val="auto"/>
                <w:highlight w:val="none"/>
              </w:rPr>
            </w:pPr>
          </w:p>
          <w:p w14:paraId="65DCD310">
            <w:pPr>
              <w:pStyle w:val="13"/>
              <w:keepNext w:val="0"/>
              <w:keepLines w:val="0"/>
              <w:numPr>
                <w:ilvl w:val="0"/>
                <w:numId w:val="0"/>
              </w:numPr>
              <w:suppressLineNumbers w:val="0"/>
              <w:spacing w:before="0" w:beforeAutospacing="0" w:after="0" w:afterAutospacing="0"/>
              <w:ind w:left="360" w:right="0" w:hanging="360"/>
              <w:rPr>
                <w:rFonts w:hint="default" w:ascii="Times New Roman" w:hAnsi="Times New Roman" w:eastAsia="宋体" w:cs="Times New Roman"/>
                <w:color w:val="auto"/>
                <w:highlight w:val="none"/>
              </w:rPr>
            </w:pPr>
          </w:p>
          <w:p w14:paraId="7A6D3FBB">
            <w:pPr>
              <w:pStyle w:val="18"/>
              <w:keepNext w:val="0"/>
              <w:keepLines w:val="0"/>
              <w:suppressLineNumbers w:val="0"/>
              <w:spacing w:before="0" w:beforeAutospacing="0" w:afterAutospacing="0"/>
              <w:ind w:right="0"/>
              <w:rPr>
                <w:rFonts w:hint="default" w:ascii="Times New Roman" w:hAnsi="Times New Roman" w:eastAsia="宋体" w:cs="Times New Roman"/>
                <w:color w:val="auto"/>
                <w:highlight w:val="none"/>
              </w:rPr>
            </w:pPr>
          </w:p>
          <w:p w14:paraId="40975DCE">
            <w:pPr>
              <w:pStyle w:val="19"/>
              <w:keepNext w:val="0"/>
              <w:keepLines w:val="0"/>
              <w:suppressLineNumbers w:val="0"/>
              <w:spacing w:beforeAutospacing="0" w:afterAutospacing="0"/>
              <w:ind w:left="0" w:firstLine="0" w:firstLineChars="0"/>
              <w:rPr>
                <w:rFonts w:hint="default" w:ascii="Times New Roman" w:hAnsi="Times New Roman" w:eastAsia="宋体" w:cs="Times New Roman"/>
                <w:color w:val="auto"/>
                <w:highlight w:val="none"/>
              </w:rPr>
            </w:pPr>
          </w:p>
        </w:tc>
      </w:tr>
    </w:tbl>
    <w:p w14:paraId="1222246B">
      <w:pPr>
        <w:rPr>
          <w:rFonts w:ascii="Times New Roman" w:hAnsi="Times New Roman" w:eastAsia="宋体"/>
          <w:color w:val="auto"/>
          <w:highlight w:val="none"/>
        </w:rPr>
      </w:pPr>
      <w:r>
        <w:rPr>
          <w:rFonts w:ascii="Times New Roman" w:hAnsi="Times New Roman" w:eastAsia="宋体"/>
          <w:color w:val="auto"/>
          <w:highlight w:val="none"/>
        </w:rPr>
        <w:br w:type="page"/>
      </w:r>
    </w:p>
    <w:p w14:paraId="1052BDF3">
      <w:pPr>
        <w:pStyle w:val="13"/>
        <w:numPr>
          <w:ilvl w:val="0"/>
          <w:numId w:val="0"/>
        </w:numPr>
        <w:rPr>
          <w:rFonts w:ascii="Times New Roman" w:hAnsi="Times New Roman" w:eastAsia="宋体"/>
          <w:color w:val="auto"/>
          <w:highlight w:val="none"/>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0" w:num="1"/>
          <w:docGrid w:type="lines" w:linePitch="319" w:charSpace="0"/>
        </w:sectPr>
      </w:pPr>
    </w:p>
    <w:p w14:paraId="3EDCBC4B">
      <w:pPr>
        <w:pStyle w:val="2"/>
        <w:spacing w:before="159" w:after="159"/>
        <w:jc w:val="both"/>
        <w:rPr>
          <w:rFonts w:ascii="Times New Roman" w:hAnsi="Times New Roman" w:eastAsia="宋体"/>
          <w:snapToGrid w:val="0"/>
          <w:color w:val="auto"/>
          <w:sz w:val="32"/>
          <w:szCs w:val="32"/>
          <w:highlight w:val="none"/>
        </w:rPr>
      </w:pPr>
      <w:bookmarkStart w:id="12" w:name="_Toc18202"/>
      <w:bookmarkStart w:id="13" w:name="_Toc14761"/>
      <w:bookmarkStart w:id="14" w:name="_Toc30968"/>
      <w:bookmarkStart w:id="15" w:name="_Toc31218"/>
      <w:bookmarkStart w:id="16" w:name="_Toc6049"/>
      <w:r>
        <w:rPr>
          <w:rFonts w:ascii="Times New Roman" w:hAnsi="Times New Roman" w:eastAsia="宋体"/>
          <w:snapToGrid w:val="0"/>
          <w:color w:val="auto"/>
          <w:szCs w:val="30"/>
          <w:highlight w:val="none"/>
        </w:rPr>
        <w:t>附表</w:t>
      </w:r>
      <w:bookmarkEnd w:id="12"/>
      <w:bookmarkEnd w:id="13"/>
      <w:bookmarkEnd w:id="14"/>
      <w:bookmarkEnd w:id="15"/>
      <w:bookmarkEnd w:id="16"/>
    </w:p>
    <w:p w14:paraId="7925F8B6">
      <w:pPr>
        <w:jc w:val="center"/>
        <w:rPr>
          <w:rFonts w:ascii="Times New Roman" w:hAnsi="Times New Roman" w:eastAsia="宋体"/>
          <w:b/>
          <w:bCs/>
          <w:color w:val="auto"/>
          <w:sz w:val="38"/>
          <w:szCs w:val="38"/>
          <w:highlight w:val="none"/>
        </w:rPr>
      </w:pPr>
      <w:r>
        <w:rPr>
          <w:rFonts w:ascii="Times New Roman" w:hAnsi="Times New Roman" w:eastAsia="宋体"/>
          <w:b/>
          <w:bCs/>
          <w:color w:val="auto"/>
          <w:sz w:val="38"/>
          <w:szCs w:val="38"/>
          <w:highlight w:val="none"/>
        </w:rPr>
        <w:t>建设项目污染物排放量汇总表</w:t>
      </w:r>
    </w:p>
    <w:tbl>
      <w:tblPr>
        <w:tblStyle w:val="25"/>
        <w:tblW w:w="13788" w:type="dxa"/>
        <w:tblInd w:w="-8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7"/>
        <w:gridCol w:w="785"/>
        <w:gridCol w:w="1130"/>
        <w:gridCol w:w="1222"/>
        <w:gridCol w:w="1487"/>
        <w:gridCol w:w="1185"/>
        <w:gridCol w:w="1410"/>
        <w:gridCol w:w="1485"/>
        <w:gridCol w:w="1575"/>
        <w:gridCol w:w="1785"/>
        <w:gridCol w:w="1307"/>
      </w:tblGrid>
      <w:tr w14:paraId="4AF568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tcBorders>
              <w:tl2br w:val="single" w:color="auto" w:sz="4" w:space="0"/>
            </w:tcBorders>
            <w:tcMar>
              <w:left w:w="28" w:type="dxa"/>
              <w:right w:w="28" w:type="dxa"/>
            </w:tcMar>
            <w:vAlign w:val="center"/>
          </w:tcPr>
          <w:p w14:paraId="3D72F13B">
            <w:pPr>
              <w:pStyle w:val="42"/>
              <w:keepNext w:val="0"/>
              <w:keepLines w:val="0"/>
              <w:suppressLineNumbers w:val="0"/>
              <w:spacing w:before="0" w:beforeAutospacing="0" w:after="0" w:afterAutospacing="0"/>
              <w:ind w:left="0" w:right="0"/>
              <w:jc w:val="right"/>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项目</w:t>
            </w:r>
          </w:p>
          <w:p w14:paraId="117D0606">
            <w:pPr>
              <w:pStyle w:val="42"/>
              <w:keepNext w:val="0"/>
              <w:keepLines w:val="0"/>
              <w:suppressLineNumbers w:val="0"/>
              <w:spacing w:before="0" w:beforeAutospacing="0" w:after="0" w:afterAutospacing="0"/>
              <w:ind w:left="0" w:right="0"/>
              <w:jc w:val="left"/>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分类</w:t>
            </w:r>
          </w:p>
        </w:tc>
        <w:tc>
          <w:tcPr>
            <w:tcW w:w="2352" w:type="dxa"/>
            <w:gridSpan w:val="2"/>
            <w:tcMar>
              <w:left w:w="28" w:type="dxa"/>
              <w:right w:w="28" w:type="dxa"/>
            </w:tcMar>
            <w:vAlign w:val="center"/>
          </w:tcPr>
          <w:p w14:paraId="3087274E">
            <w:pPr>
              <w:pStyle w:val="42"/>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污染物名称</w:t>
            </w:r>
          </w:p>
        </w:tc>
        <w:tc>
          <w:tcPr>
            <w:tcW w:w="1487" w:type="dxa"/>
            <w:tcMar>
              <w:left w:w="28" w:type="dxa"/>
              <w:right w:w="28" w:type="dxa"/>
            </w:tcMar>
            <w:vAlign w:val="center"/>
          </w:tcPr>
          <w:p w14:paraId="7A22FFBE">
            <w:pPr>
              <w:pStyle w:val="42"/>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现有工程</w:t>
            </w:r>
          </w:p>
          <w:p w14:paraId="4A7DDA42">
            <w:pPr>
              <w:pStyle w:val="42"/>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sz w:val="21"/>
                <w:szCs w:val="21"/>
                <w:highlight w:val="none"/>
              </w:rPr>
              <w:t>①</w:t>
            </w:r>
            <w:r>
              <w:rPr>
                <w:rFonts w:hint="default" w:ascii="Times New Roman" w:hAnsi="Times New Roman" w:eastAsia="宋体" w:cs="Times New Roman"/>
                <w:snapToGrid w:val="0"/>
                <w:color w:val="auto"/>
                <w:spacing w:val="-6"/>
                <w:kern w:val="21"/>
                <w:sz w:val="21"/>
                <w:szCs w:val="21"/>
                <w:highlight w:val="none"/>
              </w:rPr>
              <w:fldChar w:fldCharType="end"/>
            </w:r>
          </w:p>
        </w:tc>
        <w:tc>
          <w:tcPr>
            <w:tcW w:w="1185" w:type="dxa"/>
            <w:tcMar>
              <w:left w:w="28" w:type="dxa"/>
              <w:right w:w="28" w:type="dxa"/>
            </w:tcMar>
            <w:vAlign w:val="center"/>
          </w:tcPr>
          <w:p w14:paraId="2FC0E6FC">
            <w:pPr>
              <w:pStyle w:val="42"/>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现有工程</w:t>
            </w:r>
          </w:p>
          <w:p w14:paraId="2E7680D2">
            <w:pPr>
              <w:pStyle w:val="42"/>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许可排放量</w:t>
            </w:r>
          </w:p>
          <w:p w14:paraId="4C187192">
            <w:pPr>
              <w:pStyle w:val="42"/>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2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snapToGrid w:val="0"/>
                <w:color w:val="auto"/>
                <w:spacing w:val="-6"/>
                <w:kern w:val="21"/>
                <w:sz w:val="21"/>
                <w:szCs w:val="21"/>
                <w:highlight w:val="none"/>
              </w:rPr>
              <w:t>②</w:t>
            </w:r>
            <w:r>
              <w:rPr>
                <w:rFonts w:hint="default" w:ascii="Times New Roman" w:hAnsi="Times New Roman" w:eastAsia="宋体" w:cs="Times New Roman"/>
                <w:snapToGrid w:val="0"/>
                <w:color w:val="auto"/>
                <w:spacing w:val="-6"/>
                <w:kern w:val="21"/>
                <w:sz w:val="21"/>
                <w:szCs w:val="21"/>
                <w:highlight w:val="none"/>
              </w:rPr>
              <w:fldChar w:fldCharType="end"/>
            </w:r>
          </w:p>
        </w:tc>
        <w:tc>
          <w:tcPr>
            <w:tcW w:w="1410" w:type="dxa"/>
            <w:tcMar>
              <w:left w:w="28" w:type="dxa"/>
              <w:right w:w="28" w:type="dxa"/>
            </w:tcMar>
            <w:vAlign w:val="center"/>
          </w:tcPr>
          <w:p w14:paraId="35BDFC6D">
            <w:pPr>
              <w:pStyle w:val="42"/>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在建工程</w:t>
            </w:r>
          </w:p>
          <w:p w14:paraId="490460A7">
            <w:pPr>
              <w:pStyle w:val="42"/>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snapToGrid w:val="0"/>
                <w:color w:val="auto"/>
                <w:spacing w:val="-6"/>
                <w:kern w:val="21"/>
                <w:sz w:val="21"/>
                <w:szCs w:val="21"/>
                <w:highlight w:val="none"/>
              </w:rPr>
              <w:t>③</w:t>
            </w:r>
            <w:r>
              <w:rPr>
                <w:rFonts w:hint="default" w:ascii="Times New Roman" w:hAnsi="Times New Roman" w:eastAsia="宋体" w:cs="Times New Roman"/>
                <w:snapToGrid w:val="0"/>
                <w:color w:val="auto"/>
                <w:spacing w:val="-6"/>
                <w:kern w:val="21"/>
                <w:sz w:val="21"/>
                <w:szCs w:val="21"/>
                <w:highlight w:val="none"/>
              </w:rPr>
              <w:fldChar w:fldCharType="end"/>
            </w:r>
          </w:p>
        </w:tc>
        <w:tc>
          <w:tcPr>
            <w:tcW w:w="1485" w:type="dxa"/>
            <w:tcMar>
              <w:left w:w="28" w:type="dxa"/>
              <w:right w:w="28" w:type="dxa"/>
            </w:tcMar>
            <w:vAlign w:val="center"/>
          </w:tcPr>
          <w:p w14:paraId="04F2678F">
            <w:pPr>
              <w:pStyle w:val="42"/>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本项目</w:t>
            </w:r>
          </w:p>
          <w:p w14:paraId="65A30EBC">
            <w:pPr>
              <w:pStyle w:val="42"/>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snapToGrid w:val="0"/>
                <w:color w:val="auto"/>
                <w:spacing w:val="-6"/>
                <w:kern w:val="21"/>
                <w:sz w:val="21"/>
                <w:szCs w:val="21"/>
                <w:highlight w:val="none"/>
              </w:rPr>
              <w:t>④</w:t>
            </w:r>
            <w:r>
              <w:rPr>
                <w:rFonts w:hint="default" w:ascii="Times New Roman" w:hAnsi="Times New Roman" w:eastAsia="宋体" w:cs="Times New Roman"/>
                <w:snapToGrid w:val="0"/>
                <w:color w:val="auto"/>
                <w:spacing w:val="-6"/>
                <w:kern w:val="21"/>
                <w:sz w:val="21"/>
                <w:szCs w:val="21"/>
                <w:highlight w:val="none"/>
              </w:rPr>
              <w:fldChar w:fldCharType="end"/>
            </w:r>
          </w:p>
        </w:tc>
        <w:tc>
          <w:tcPr>
            <w:tcW w:w="1575" w:type="dxa"/>
            <w:tcMar>
              <w:left w:w="28" w:type="dxa"/>
              <w:right w:w="28" w:type="dxa"/>
            </w:tcMar>
            <w:vAlign w:val="center"/>
          </w:tcPr>
          <w:p w14:paraId="688613D8">
            <w:pPr>
              <w:pStyle w:val="42"/>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以新带老削减量</w:t>
            </w:r>
          </w:p>
          <w:p w14:paraId="7CFD9B28">
            <w:pPr>
              <w:pStyle w:val="42"/>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（新建项目不填）</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5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snapToGrid w:val="0"/>
                <w:color w:val="auto"/>
                <w:spacing w:val="-6"/>
                <w:kern w:val="21"/>
                <w:sz w:val="21"/>
                <w:szCs w:val="21"/>
                <w:highlight w:val="none"/>
              </w:rPr>
              <w:t>⑤</w:t>
            </w:r>
            <w:r>
              <w:rPr>
                <w:rFonts w:hint="default" w:ascii="Times New Roman" w:hAnsi="Times New Roman" w:eastAsia="宋体" w:cs="Times New Roman"/>
                <w:snapToGrid w:val="0"/>
                <w:color w:val="auto"/>
                <w:spacing w:val="-6"/>
                <w:kern w:val="21"/>
                <w:sz w:val="21"/>
                <w:szCs w:val="21"/>
                <w:highlight w:val="none"/>
              </w:rPr>
              <w:fldChar w:fldCharType="end"/>
            </w:r>
          </w:p>
        </w:tc>
        <w:tc>
          <w:tcPr>
            <w:tcW w:w="1785" w:type="dxa"/>
            <w:tcMar>
              <w:left w:w="28" w:type="dxa"/>
              <w:right w:w="28" w:type="dxa"/>
            </w:tcMar>
            <w:vAlign w:val="center"/>
          </w:tcPr>
          <w:p w14:paraId="5334580D">
            <w:pPr>
              <w:pStyle w:val="42"/>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本项目建成后</w:t>
            </w:r>
          </w:p>
          <w:p w14:paraId="75A08B88">
            <w:pPr>
              <w:pStyle w:val="42"/>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全厂排放量（固体废物产生量）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6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snapToGrid w:val="0"/>
                <w:color w:val="auto"/>
                <w:spacing w:val="-6"/>
                <w:kern w:val="21"/>
                <w:sz w:val="21"/>
                <w:szCs w:val="21"/>
                <w:highlight w:val="none"/>
              </w:rPr>
              <w:t>⑥</w:t>
            </w:r>
            <w:r>
              <w:rPr>
                <w:rFonts w:hint="default" w:ascii="Times New Roman" w:hAnsi="Times New Roman" w:eastAsia="宋体" w:cs="Times New Roman"/>
                <w:snapToGrid w:val="0"/>
                <w:color w:val="auto"/>
                <w:spacing w:val="-6"/>
                <w:kern w:val="21"/>
                <w:sz w:val="21"/>
                <w:szCs w:val="21"/>
                <w:highlight w:val="none"/>
              </w:rPr>
              <w:fldChar w:fldCharType="end"/>
            </w:r>
          </w:p>
        </w:tc>
        <w:tc>
          <w:tcPr>
            <w:tcW w:w="1307" w:type="dxa"/>
            <w:tcMar>
              <w:left w:w="28" w:type="dxa"/>
              <w:right w:w="28" w:type="dxa"/>
            </w:tcMar>
            <w:vAlign w:val="center"/>
          </w:tcPr>
          <w:p w14:paraId="471C5329">
            <w:pPr>
              <w:pStyle w:val="42"/>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变化量</w:t>
            </w:r>
          </w:p>
          <w:p w14:paraId="429ACC05">
            <w:pPr>
              <w:pStyle w:val="42"/>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sz w:val="21"/>
                <w:szCs w:val="21"/>
                <w:highlight w:val="none"/>
              </w:rPr>
              <w:t>⑦</w:t>
            </w:r>
            <w:r>
              <w:rPr>
                <w:rFonts w:hint="default" w:ascii="Times New Roman" w:hAnsi="Times New Roman" w:eastAsia="宋体" w:cs="Times New Roman"/>
                <w:snapToGrid w:val="0"/>
                <w:color w:val="auto"/>
                <w:spacing w:val="-6"/>
                <w:kern w:val="21"/>
                <w:sz w:val="21"/>
                <w:szCs w:val="21"/>
                <w:highlight w:val="none"/>
              </w:rPr>
              <w:fldChar w:fldCharType="end"/>
            </w:r>
          </w:p>
        </w:tc>
      </w:tr>
      <w:tr w14:paraId="2F1C2A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7" w:type="dxa"/>
            <w:vMerge w:val="restart"/>
            <w:vAlign w:val="center"/>
          </w:tcPr>
          <w:p w14:paraId="609ACE5A">
            <w:pPr>
              <w:pStyle w:val="42"/>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废气</w:t>
            </w:r>
          </w:p>
        </w:tc>
        <w:tc>
          <w:tcPr>
            <w:tcW w:w="785" w:type="dxa"/>
            <w:vMerge w:val="restart"/>
            <w:vAlign w:val="center"/>
          </w:tcPr>
          <w:p w14:paraId="11DB2BD0">
            <w:pPr>
              <w:pStyle w:val="42"/>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有组织</w:t>
            </w:r>
          </w:p>
        </w:tc>
        <w:tc>
          <w:tcPr>
            <w:tcW w:w="2352" w:type="dxa"/>
            <w:gridSpan w:val="2"/>
            <w:vAlign w:val="center"/>
          </w:tcPr>
          <w:p w14:paraId="07954D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非甲烷总烃</w:t>
            </w:r>
          </w:p>
        </w:tc>
        <w:tc>
          <w:tcPr>
            <w:tcW w:w="1487" w:type="dxa"/>
            <w:vAlign w:val="center"/>
          </w:tcPr>
          <w:p w14:paraId="3339D88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snapToGrid w:val="0"/>
                <w:color w:val="auto"/>
                <w:kern w:val="21"/>
                <w:szCs w:val="21"/>
                <w:highlight w:val="none"/>
                <w:lang w:val="en-US" w:eastAsia="zh-CN"/>
              </w:rPr>
            </w:pPr>
            <w:r>
              <w:rPr>
                <w:rFonts w:hint="eastAsia" w:cs="Times New Roman"/>
                <w:b w:val="0"/>
                <w:bCs w:val="0"/>
                <w:snapToGrid w:val="0"/>
                <w:color w:val="auto"/>
                <w:kern w:val="21"/>
                <w:szCs w:val="21"/>
                <w:highlight w:val="none"/>
                <w:lang w:val="en-US" w:eastAsia="zh-CN"/>
              </w:rPr>
              <w:t>0</w:t>
            </w:r>
          </w:p>
        </w:tc>
        <w:tc>
          <w:tcPr>
            <w:tcW w:w="1185" w:type="dxa"/>
            <w:vAlign w:val="center"/>
          </w:tcPr>
          <w:p w14:paraId="3FD1456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snapToGrid w:val="0"/>
                <w:color w:val="auto"/>
                <w:kern w:val="21"/>
                <w:szCs w:val="21"/>
                <w:highlight w:val="none"/>
                <w:lang w:val="en-US" w:eastAsia="zh-CN"/>
              </w:rPr>
            </w:pPr>
            <w:r>
              <w:rPr>
                <w:rFonts w:hint="eastAsia" w:cs="Times New Roman"/>
                <w:b w:val="0"/>
                <w:bCs w:val="0"/>
                <w:snapToGrid w:val="0"/>
                <w:color w:val="auto"/>
                <w:kern w:val="21"/>
                <w:szCs w:val="21"/>
                <w:highlight w:val="none"/>
                <w:lang w:val="en-US" w:eastAsia="zh-CN"/>
              </w:rPr>
              <w:t>0</w:t>
            </w:r>
          </w:p>
        </w:tc>
        <w:tc>
          <w:tcPr>
            <w:tcW w:w="1410" w:type="dxa"/>
            <w:vAlign w:val="center"/>
          </w:tcPr>
          <w:p w14:paraId="69C3E40E">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 w:val="0"/>
                <w:bCs w:val="0"/>
                <w:snapToGrid w:val="0"/>
                <w:color w:val="auto"/>
                <w:kern w:val="21"/>
                <w:szCs w:val="21"/>
                <w:highlight w:val="none"/>
                <w:lang w:val="en-US" w:eastAsia="zh-CN"/>
              </w:rPr>
            </w:pPr>
            <w:r>
              <w:rPr>
                <w:rFonts w:hint="eastAsia" w:cs="Times New Roman"/>
                <w:b w:val="0"/>
                <w:bCs w:val="0"/>
                <w:snapToGrid w:val="0"/>
                <w:color w:val="auto"/>
                <w:kern w:val="21"/>
                <w:szCs w:val="21"/>
                <w:highlight w:val="none"/>
                <w:lang w:val="en-US" w:eastAsia="zh-CN"/>
              </w:rPr>
              <w:t>0</w:t>
            </w:r>
          </w:p>
        </w:tc>
        <w:tc>
          <w:tcPr>
            <w:tcW w:w="1485" w:type="dxa"/>
            <w:vAlign w:val="center"/>
          </w:tcPr>
          <w:p w14:paraId="28B4DF3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snapToGrid w:val="0"/>
                <w:color w:val="auto"/>
                <w:kern w:val="21"/>
                <w:szCs w:val="21"/>
                <w:highlight w:val="none"/>
                <w:lang w:val="en-US" w:eastAsia="zh-CN"/>
              </w:rPr>
            </w:pPr>
            <w:r>
              <w:rPr>
                <w:rFonts w:hint="eastAsia" w:cs="Times New Roman"/>
                <w:b w:val="0"/>
                <w:bCs w:val="0"/>
                <w:snapToGrid w:val="0"/>
                <w:color w:val="auto"/>
                <w:kern w:val="21"/>
                <w:szCs w:val="21"/>
                <w:highlight w:val="none"/>
                <w:lang w:val="en-US" w:eastAsia="zh-CN"/>
              </w:rPr>
              <w:t>0.0045</w:t>
            </w:r>
          </w:p>
        </w:tc>
        <w:tc>
          <w:tcPr>
            <w:tcW w:w="1575" w:type="dxa"/>
            <w:vAlign w:val="center"/>
          </w:tcPr>
          <w:p w14:paraId="4E04056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snapToGrid w:val="0"/>
                <w:color w:val="auto"/>
                <w:kern w:val="21"/>
                <w:szCs w:val="21"/>
                <w:highlight w:val="none"/>
                <w:lang w:val="en-US" w:eastAsia="zh-CN"/>
              </w:rPr>
            </w:pPr>
            <w:r>
              <w:rPr>
                <w:rFonts w:hint="eastAsia" w:cs="Times New Roman"/>
                <w:b w:val="0"/>
                <w:bCs w:val="0"/>
                <w:snapToGrid w:val="0"/>
                <w:color w:val="auto"/>
                <w:kern w:val="21"/>
                <w:szCs w:val="21"/>
                <w:highlight w:val="none"/>
                <w:lang w:val="en-US" w:eastAsia="zh-CN"/>
              </w:rPr>
              <w:t>0</w:t>
            </w:r>
          </w:p>
        </w:tc>
        <w:tc>
          <w:tcPr>
            <w:tcW w:w="1785" w:type="dxa"/>
            <w:vAlign w:val="center"/>
          </w:tcPr>
          <w:p w14:paraId="04F8901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snapToGrid w:val="0"/>
                <w:color w:val="auto"/>
                <w:kern w:val="21"/>
                <w:szCs w:val="21"/>
                <w:highlight w:val="none"/>
                <w:lang w:val="en-US" w:eastAsia="zh-CN"/>
              </w:rPr>
            </w:pPr>
            <w:r>
              <w:rPr>
                <w:rFonts w:hint="eastAsia" w:cs="Times New Roman"/>
                <w:b w:val="0"/>
                <w:bCs w:val="0"/>
                <w:snapToGrid w:val="0"/>
                <w:color w:val="auto"/>
                <w:kern w:val="21"/>
                <w:szCs w:val="21"/>
                <w:highlight w:val="none"/>
                <w:lang w:val="en-US" w:eastAsia="zh-CN"/>
              </w:rPr>
              <w:t>0.0045</w:t>
            </w:r>
          </w:p>
        </w:tc>
        <w:tc>
          <w:tcPr>
            <w:tcW w:w="1307" w:type="dxa"/>
            <w:vAlign w:val="center"/>
          </w:tcPr>
          <w:p w14:paraId="3D0C9EA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snapToGrid w:val="0"/>
                <w:color w:val="auto"/>
                <w:kern w:val="21"/>
                <w:szCs w:val="21"/>
                <w:highlight w:val="none"/>
                <w:lang w:val="en-US" w:eastAsia="zh-CN"/>
              </w:rPr>
            </w:pPr>
            <w:r>
              <w:rPr>
                <w:rFonts w:hint="eastAsia" w:cs="Times New Roman"/>
                <w:b w:val="0"/>
                <w:bCs w:val="0"/>
                <w:snapToGrid w:val="0"/>
                <w:color w:val="auto"/>
                <w:kern w:val="21"/>
                <w:szCs w:val="21"/>
                <w:highlight w:val="none"/>
                <w:lang w:val="en-US" w:eastAsia="zh-CN"/>
              </w:rPr>
              <w:t>+0.0045</w:t>
            </w:r>
          </w:p>
        </w:tc>
      </w:tr>
      <w:tr w14:paraId="69974C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7" w:type="dxa"/>
            <w:vMerge w:val="continue"/>
            <w:vAlign w:val="center"/>
          </w:tcPr>
          <w:p w14:paraId="187A2BC2">
            <w:pPr>
              <w:pStyle w:val="42"/>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21"/>
                <w:sz w:val="21"/>
                <w:szCs w:val="21"/>
                <w:highlight w:val="none"/>
              </w:rPr>
            </w:pPr>
          </w:p>
        </w:tc>
        <w:tc>
          <w:tcPr>
            <w:tcW w:w="785" w:type="dxa"/>
            <w:vMerge w:val="continue"/>
            <w:vAlign w:val="center"/>
          </w:tcPr>
          <w:p w14:paraId="634BA63E">
            <w:pPr>
              <w:pStyle w:val="42"/>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21"/>
                <w:sz w:val="21"/>
                <w:szCs w:val="21"/>
                <w:highlight w:val="none"/>
              </w:rPr>
            </w:pPr>
          </w:p>
        </w:tc>
        <w:tc>
          <w:tcPr>
            <w:tcW w:w="1130" w:type="dxa"/>
            <w:tcBorders>
              <w:right w:val="single" w:color="000000" w:sz="6" w:space="0"/>
            </w:tcBorders>
            <w:vAlign w:val="center"/>
          </w:tcPr>
          <w:p w14:paraId="53D79B8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包含</w:t>
            </w:r>
          </w:p>
        </w:tc>
        <w:tc>
          <w:tcPr>
            <w:tcW w:w="1222" w:type="dxa"/>
            <w:tcBorders>
              <w:left w:val="single" w:color="000000" w:sz="6" w:space="0"/>
            </w:tcBorders>
            <w:vAlign w:val="center"/>
          </w:tcPr>
          <w:p w14:paraId="6AC0E6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Cs w:val="21"/>
                <w:highlight w:val="none"/>
                <w:lang w:val="en-US" w:eastAsia="zh-CN" w:bidi="ar"/>
              </w:rPr>
            </w:pPr>
            <w:r>
              <w:rPr>
                <w:rFonts w:hint="eastAsia" w:cs="Times New Roman"/>
                <w:b w:val="0"/>
                <w:bCs w:val="0"/>
                <w:color w:val="auto"/>
                <w:kern w:val="0"/>
                <w:szCs w:val="21"/>
                <w:highlight w:val="none"/>
                <w:lang w:val="en-US" w:eastAsia="zh-CN" w:bidi="ar"/>
              </w:rPr>
              <w:t>甲醇</w:t>
            </w:r>
          </w:p>
        </w:tc>
        <w:tc>
          <w:tcPr>
            <w:tcW w:w="1487" w:type="dxa"/>
            <w:vAlign w:val="center"/>
          </w:tcPr>
          <w:p w14:paraId="65E63EE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snapToGrid w:val="0"/>
                <w:color w:val="auto"/>
                <w:kern w:val="21"/>
                <w:szCs w:val="21"/>
                <w:highlight w:val="none"/>
                <w:lang w:val="en-US" w:eastAsia="zh-CN"/>
              </w:rPr>
            </w:pPr>
            <w:r>
              <w:rPr>
                <w:rFonts w:hint="eastAsia" w:cs="Times New Roman"/>
                <w:b w:val="0"/>
                <w:bCs w:val="0"/>
                <w:snapToGrid w:val="0"/>
                <w:color w:val="auto"/>
                <w:kern w:val="21"/>
                <w:szCs w:val="21"/>
                <w:highlight w:val="none"/>
                <w:lang w:val="en-US" w:eastAsia="zh-CN"/>
              </w:rPr>
              <w:t>0</w:t>
            </w:r>
          </w:p>
        </w:tc>
        <w:tc>
          <w:tcPr>
            <w:tcW w:w="1185" w:type="dxa"/>
            <w:vAlign w:val="center"/>
          </w:tcPr>
          <w:p w14:paraId="799F113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snapToGrid w:val="0"/>
                <w:color w:val="auto"/>
                <w:kern w:val="21"/>
                <w:szCs w:val="21"/>
                <w:highlight w:val="none"/>
                <w:lang w:val="en-US" w:eastAsia="zh-CN"/>
              </w:rPr>
            </w:pPr>
            <w:r>
              <w:rPr>
                <w:rFonts w:hint="eastAsia" w:cs="Times New Roman"/>
                <w:b w:val="0"/>
                <w:bCs w:val="0"/>
                <w:snapToGrid w:val="0"/>
                <w:color w:val="auto"/>
                <w:kern w:val="21"/>
                <w:szCs w:val="21"/>
                <w:highlight w:val="none"/>
                <w:lang w:val="en-US" w:eastAsia="zh-CN"/>
              </w:rPr>
              <w:t>0</w:t>
            </w:r>
          </w:p>
        </w:tc>
        <w:tc>
          <w:tcPr>
            <w:tcW w:w="1410" w:type="dxa"/>
            <w:vAlign w:val="center"/>
          </w:tcPr>
          <w:p w14:paraId="1BC24B0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snapToGrid w:val="0"/>
                <w:color w:val="auto"/>
                <w:kern w:val="21"/>
                <w:szCs w:val="21"/>
                <w:highlight w:val="none"/>
                <w:lang w:val="en-US" w:eastAsia="zh-CN"/>
              </w:rPr>
            </w:pPr>
            <w:r>
              <w:rPr>
                <w:rFonts w:hint="eastAsia" w:cs="Times New Roman"/>
                <w:b w:val="0"/>
                <w:bCs w:val="0"/>
                <w:snapToGrid w:val="0"/>
                <w:color w:val="auto"/>
                <w:kern w:val="21"/>
                <w:szCs w:val="21"/>
                <w:highlight w:val="none"/>
                <w:lang w:val="en-US" w:eastAsia="zh-CN"/>
              </w:rPr>
              <w:t>0</w:t>
            </w:r>
          </w:p>
        </w:tc>
        <w:tc>
          <w:tcPr>
            <w:tcW w:w="1485" w:type="dxa"/>
            <w:vAlign w:val="center"/>
          </w:tcPr>
          <w:p w14:paraId="6C8B9A5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0.0003</w:t>
            </w:r>
          </w:p>
        </w:tc>
        <w:tc>
          <w:tcPr>
            <w:tcW w:w="1575" w:type="dxa"/>
            <w:vAlign w:val="center"/>
          </w:tcPr>
          <w:p w14:paraId="5D10BA2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snapToGrid w:val="0"/>
                <w:color w:val="auto"/>
                <w:kern w:val="21"/>
                <w:szCs w:val="21"/>
                <w:highlight w:val="none"/>
                <w:lang w:val="en-US" w:eastAsia="zh-CN"/>
              </w:rPr>
            </w:pPr>
            <w:r>
              <w:rPr>
                <w:rFonts w:hint="eastAsia" w:cs="Times New Roman"/>
                <w:b w:val="0"/>
                <w:bCs w:val="0"/>
                <w:snapToGrid w:val="0"/>
                <w:color w:val="auto"/>
                <w:kern w:val="21"/>
                <w:szCs w:val="21"/>
                <w:highlight w:val="none"/>
                <w:lang w:val="en-US" w:eastAsia="zh-CN"/>
              </w:rPr>
              <w:t>0</w:t>
            </w:r>
          </w:p>
        </w:tc>
        <w:tc>
          <w:tcPr>
            <w:tcW w:w="1785" w:type="dxa"/>
            <w:vAlign w:val="center"/>
          </w:tcPr>
          <w:p w14:paraId="68376F4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0.0003</w:t>
            </w:r>
          </w:p>
        </w:tc>
        <w:tc>
          <w:tcPr>
            <w:tcW w:w="1307" w:type="dxa"/>
            <w:vAlign w:val="center"/>
          </w:tcPr>
          <w:p w14:paraId="40C0F5F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+0.0003</w:t>
            </w:r>
          </w:p>
        </w:tc>
      </w:tr>
      <w:tr w14:paraId="4E894E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restart"/>
            <w:vAlign w:val="center"/>
          </w:tcPr>
          <w:p w14:paraId="73E9956A">
            <w:pPr>
              <w:pStyle w:val="42"/>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废水</w:t>
            </w:r>
          </w:p>
        </w:tc>
        <w:tc>
          <w:tcPr>
            <w:tcW w:w="2352" w:type="dxa"/>
            <w:gridSpan w:val="2"/>
            <w:vAlign w:val="center"/>
          </w:tcPr>
          <w:p w14:paraId="0E25FC2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废水量</w:t>
            </w:r>
          </w:p>
        </w:tc>
        <w:tc>
          <w:tcPr>
            <w:tcW w:w="1487" w:type="dxa"/>
            <w:vAlign w:val="center"/>
          </w:tcPr>
          <w:p w14:paraId="21E4A42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Cs w:val="21"/>
                <w:highlight w:val="none"/>
              </w:rPr>
            </w:pPr>
            <w:r>
              <w:rPr>
                <w:rFonts w:hint="eastAsia" w:cs="Times New Roman"/>
                <w:b w:val="0"/>
                <w:bCs w:val="0"/>
                <w:snapToGrid w:val="0"/>
                <w:color w:val="auto"/>
                <w:kern w:val="21"/>
                <w:szCs w:val="21"/>
                <w:highlight w:val="none"/>
                <w:lang w:val="en-US" w:eastAsia="zh-CN"/>
              </w:rPr>
              <w:t>0</w:t>
            </w:r>
          </w:p>
        </w:tc>
        <w:tc>
          <w:tcPr>
            <w:tcW w:w="1185" w:type="dxa"/>
            <w:vAlign w:val="center"/>
          </w:tcPr>
          <w:p w14:paraId="1320E56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Cs w:val="21"/>
                <w:highlight w:val="none"/>
              </w:rPr>
            </w:pPr>
            <w:r>
              <w:rPr>
                <w:rFonts w:hint="eastAsia" w:cs="Times New Roman"/>
                <w:b w:val="0"/>
                <w:bCs w:val="0"/>
                <w:snapToGrid w:val="0"/>
                <w:color w:val="auto"/>
                <w:kern w:val="21"/>
                <w:szCs w:val="21"/>
                <w:highlight w:val="none"/>
                <w:lang w:val="en-US" w:eastAsia="zh-CN"/>
              </w:rPr>
              <w:t>0</w:t>
            </w:r>
          </w:p>
        </w:tc>
        <w:tc>
          <w:tcPr>
            <w:tcW w:w="1410" w:type="dxa"/>
            <w:vAlign w:val="center"/>
          </w:tcPr>
          <w:p w14:paraId="26D8DA5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Cs w:val="21"/>
                <w:highlight w:val="none"/>
              </w:rPr>
            </w:pPr>
            <w:r>
              <w:rPr>
                <w:rFonts w:hint="eastAsia" w:cs="Times New Roman"/>
                <w:b w:val="0"/>
                <w:bCs w:val="0"/>
                <w:snapToGrid w:val="0"/>
                <w:color w:val="auto"/>
                <w:kern w:val="21"/>
                <w:szCs w:val="21"/>
                <w:highlight w:val="none"/>
                <w:lang w:val="en-US" w:eastAsia="zh-CN"/>
              </w:rPr>
              <w:t>0</w:t>
            </w:r>
          </w:p>
        </w:tc>
        <w:tc>
          <w:tcPr>
            <w:tcW w:w="1485" w:type="dxa"/>
            <w:vAlign w:val="center"/>
          </w:tcPr>
          <w:p w14:paraId="35C6F8A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snapToGrid w:val="0"/>
                <w:color w:val="auto"/>
                <w:kern w:val="21"/>
                <w:szCs w:val="21"/>
                <w:highlight w:val="none"/>
                <w:lang w:val="en-US" w:eastAsia="zh-CN"/>
              </w:rPr>
              <w:t>318.89</w:t>
            </w:r>
          </w:p>
        </w:tc>
        <w:tc>
          <w:tcPr>
            <w:tcW w:w="1575" w:type="dxa"/>
            <w:vAlign w:val="center"/>
          </w:tcPr>
          <w:p w14:paraId="6706846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Cs w:val="21"/>
                <w:highlight w:val="none"/>
              </w:rPr>
            </w:pPr>
            <w:r>
              <w:rPr>
                <w:rFonts w:hint="eastAsia" w:cs="Times New Roman"/>
                <w:b w:val="0"/>
                <w:bCs w:val="0"/>
                <w:snapToGrid w:val="0"/>
                <w:color w:val="auto"/>
                <w:kern w:val="21"/>
                <w:szCs w:val="21"/>
                <w:highlight w:val="none"/>
                <w:lang w:val="en-US" w:eastAsia="zh-CN"/>
              </w:rPr>
              <w:t>0</w:t>
            </w:r>
          </w:p>
        </w:tc>
        <w:tc>
          <w:tcPr>
            <w:tcW w:w="1785" w:type="dxa"/>
            <w:vAlign w:val="center"/>
          </w:tcPr>
          <w:p w14:paraId="341C25A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Cs w:val="21"/>
                <w:highlight w:val="none"/>
                <w:lang w:val="en-US" w:eastAsia="zh-CN"/>
              </w:rPr>
            </w:pPr>
            <w:r>
              <w:rPr>
                <w:rFonts w:hint="eastAsia" w:cs="Times New Roman"/>
                <w:snapToGrid w:val="0"/>
                <w:color w:val="auto"/>
                <w:kern w:val="21"/>
                <w:szCs w:val="21"/>
                <w:highlight w:val="none"/>
                <w:lang w:val="en-US" w:eastAsia="zh-CN"/>
              </w:rPr>
              <w:t>318.89</w:t>
            </w:r>
          </w:p>
        </w:tc>
        <w:tc>
          <w:tcPr>
            <w:tcW w:w="1307" w:type="dxa"/>
            <w:vAlign w:val="center"/>
          </w:tcPr>
          <w:p w14:paraId="2565D21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rPr>
            </w:pPr>
            <w:r>
              <w:rPr>
                <w:rFonts w:hint="eastAsia" w:cs="Times New Roman"/>
                <w:snapToGrid w:val="0"/>
                <w:color w:val="auto"/>
                <w:kern w:val="21"/>
                <w:szCs w:val="21"/>
                <w:highlight w:val="none"/>
                <w:lang w:val="en-US" w:eastAsia="zh-CN"/>
              </w:rPr>
              <w:t>+318.89</w:t>
            </w:r>
          </w:p>
        </w:tc>
      </w:tr>
      <w:tr w14:paraId="3C77A7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5F8641BE">
            <w:pPr>
              <w:pStyle w:val="42"/>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21"/>
                <w:sz w:val="21"/>
                <w:szCs w:val="21"/>
                <w:highlight w:val="none"/>
              </w:rPr>
            </w:pPr>
          </w:p>
        </w:tc>
        <w:tc>
          <w:tcPr>
            <w:tcW w:w="2352" w:type="dxa"/>
            <w:gridSpan w:val="2"/>
            <w:vAlign w:val="center"/>
          </w:tcPr>
          <w:p w14:paraId="693C1B8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napToGrid w:val="0"/>
                <w:color w:val="auto"/>
                <w:kern w:val="21"/>
                <w:szCs w:val="21"/>
                <w:highlight w:val="none"/>
              </w:rPr>
            </w:pPr>
            <w:r>
              <w:rPr>
                <w:rFonts w:hint="default" w:ascii="Times New Roman" w:hAnsi="Times New Roman" w:eastAsia="宋体" w:cs="Times New Roman"/>
                <w:color w:val="auto"/>
                <w:kern w:val="0"/>
                <w:szCs w:val="21"/>
                <w:highlight w:val="none"/>
              </w:rPr>
              <w:t>COD</w:t>
            </w:r>
          </w:p>
        </w:tc>
        <w:tc>
          <w:tcPr>
            <w:tcW w:w="1487" w:type="dxa"/>
            <w:vAlign w:val="center"/>
          </w:tcPr>
          <w:p w14:paraId="6011824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Cs w:val="21"/>
                <w:highlight w:val="none"/>
                <w:lang w:val="en-US" w:eastAsia="zh-CN"/>
              </w:rPr>
            </w:pPr>
            <w:r>
              <w:rPr>
                <w:rFonts w:hint="eastAsia" w:cs="Times New Roman"/>
                <w:b w:val="0"/>
                <w:bCs w:val="0"/>
                <w:snapToGrid w:val="0"/>
                <w:color w:val="auto"/>
                <w:kern w:val="21"/>
                <w:szCs w:val="21"/>
                <w:highlight w:val="none"/>
                <w:lang w:val="en-US" w:eastAsia="zh-CN"/>
              </w:rPr>
              <w:t>0</w:t>
            </w:r>
          </w:p>
        </w:tc>
        <w:tc>
          <w:tcPr>
            <w:tcW w:w="1185" w:type="dxa"/>
            <w:vAlign w:val="center"/>
          </w:tcPr>
          <w:p w14:paraId="1E379BD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Cs w:val="21"/>
                <w:highlight w:val="none"/>
              </w:rPr>
            </w:pPr>
            <w:r>
              <w:rPr>
                <w:rFonts w:hint="eastAsia" w:cs="Times New Roman"/>
                <w:b w:val="0"/>
                <w:bCs w:val="0"/>
                <w:snapToGrid w:val="0"/>
                <w:color w:val="auto"/>
                <w:kern w:val="21"/>
                <w:szCs w:val="21"/>
                <w:highlight w:val="none"/>
                <w:lang w:val="en-US" w:eastAsia="zh-CN"/>
              </w:rPr>
              <w:t>0</w:t>
            </w:r>
          </w:p>
        </w:tc>
        <w:tc>
          <w:tcPr>
            <w:tcW w:w="1410" w:type="dxa"/>
            <w:vAlign w:val="center"/>
          </w:tcPr>
          <w:p w14:paraId="5696A24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Cs w:val="21"/>
                <w:highlight w:val="none"/>
              </w:rPr>
            </w:pPr>
            <w:r>
              <w:rPr>
                <w:rFonts w:hint="eastAsia" w:cs="Times New Roman"/>
                <w:b w:val="0"/>
                <w:bCs w:val="0"/>
                <w:snapToGrid w:val="0"/>
                <w:color w:val="auto"/>
                <w:kern w:val="21"/>
                <w:szCs w:val="21"/>
                <w:highlight w:val="none"/>
                <w:lang w:val="en-US" w:eastAsia="zh-CN"/>
              </w:rPr>
              <w:t>0</w:t>
            </w:r>
          </w:p>
        </w:tc>
        <w:tc>
          <w:tcPr>
            <w:tcW w:w="1485" w:type="dxa"/>
            <w:vAlign w:val="center"/>
          </w:tcPr>
          <w:p w14:paraId="52AB95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等线" w:cs="Times New Roman"/>
                <w:i w:val="0"/>
                <w:iCs w:val="0"/>
                <w:color w:val="auto"/>
                <w:kern w:val="0"/>
                <w:sz w:val="21"/>
                <w:szCs w:val="21"/>
                <w:u w:val="none"/>
                <w:lang w:val="en-US" w:eastAsia="zh-CN" w:bidi="ar"/>
              </w:rPr>
              <w:t xml:space="preserve">0.1355 </w:t>
            </w:r>
          </w:p>
        </w:tc>
        <w:tc>
          <w:tcPr>
            <w:tcW w:w="1575" w:type="dxa"/>
            <w:vAlign w:val="center"/>
          </w:tcPr>
          <w:p w14:paraId="17DEB24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Cs w:val="21"/>
                <w:highlight w:val="none"/>
              </w:rPr>
            </w:pPr>
            <w:r>
              <w:rPr>
                <w:rFonts w:hint="eastAsia" w:cs="Times New Roman"/>
                <w:b w:val="0"/>
                <w:bCs w:val="0"/>
                <w:snapToGrid w:val="0"/>
                <w:color w:val="auto"/>
                <w:kern w:val="21"/>
                <w:szCs w:val="21"/>
                <w:highlight w:val="none"/>
                <w:lang w:val="en-US" w:eastAsia="zh-CN"/>
              </w:rPr>
              <w:t>0</w:t>
            </w:r>
          </w:p>
        </w:tc>
        <w:tc>
          <w:tcPr>
            <w:tcW w:w="1785" w:type="dxa"/>
            <w:vAlign w:val="center"/>
          </w:tcPr>
          <w:p w14:paraId="46653A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等线" w:cs="Times New Roman"/>
                <w:i w:val="0"/>
                <w:iCs w:val="0"/>
                <w:color w:val="auto"/>
                <w:kern w:val="0"/>
                <w:sz w:val="21"/>
                <w:szCs w:val="21"/>
                <w:u w:val="none"/>
                <w:lang w:val="en-US" w:eastAsia="zh-CN" w:bidi="ar"/>
              </w:rPr>
              <w:t xml:space="preserve">0.1355 </w:t>
            </w:r>
          </w:p>
        </w:tc>
        <w:tc>
          <w:tcPr>
            <w:tcW w:w="1307" w:type="dxa"/>
            <w:vAlign w:val="center"/>
          </w:tcPr>
          <w:p w14:paraId="3FD4EB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highlight w:val="none"/>
              </w:rPr>
            </w:pPr>
            <w:r>
              <w:rPr>
                <w:rFonts w:hint="eastAsia" w:eastAsia="等线" w:cs="Times New Roman"/>
                <w:i w:val="0"/>
                <w:iCs w:val="0"/>
                <w:color w:val="auto"/>
                <w:kern w:val="0"/>
                <w:sz w:val="21"/>
                <w:szCs w:val="21"/>
                <w:u w:val="none"/>
                <w:lang w:val="en-US" w:eastAsia="zh-CN" w:bidi="ar"/>
              </w:rPr>
              <w:t>+</w:t>
            </w:r>
            <w:r>
              <w:rPr>
                <w:rFonts w:hint="default" w:ascii="Times New Roman" w:hAnsi="Times New Roman" w:eastAsia="等线" w:cs="Times New Roman"/>
                <w:i w:val="0"/>
                <w:iCs w:val="0"/>
                <w:color w:val="auto"/>
                <w:kern w:val="0"/>
                <w:sz w:val="21"/>
                <w:szCs w:val="21"/>
                <w:u w:val="none"/>
                <w:lang w:val="en-US" w:eastAsia="zh-CN" w:bidi="ar"/>
              </w:rPr>
              <w:t xml:space="preserve">0.1355 </w:t>
            </w:r>
          </w:p>
        </w:tc>
      </w:tr>
      <w:tr w14:paraId="5DBC5B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32536445">
            <w:pPr>
              <w:pStyle w:val="42"/>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21"/>
                <w:sz w:val="21"/>
                <w:szCs w:val="21"/>
                <w:highlight w:val="none"/>
              </w:rPr>
            </w:pPr>
          </w:p>
        </w:tc>
        <w:tc>
          <w:tcPr>
            <w:tcW w:w="2352" w:type="dxa"/>
            <w:gridSpan w:val="2"/>
            <w:vAlign w:val="center"/>
          </w:tcPr>
          <w:p w14:paraId="3DB61F5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napToGrid w:val="0"/>
                <w:color w:val="auto"/>
                <w:kern w:val="21"/>
                <w:szCs w:val="21"/>
                <w:highlight w:val="none"/>
              </w:rPr>
            </w:pPr>
            <w:r>
              <w:rPr>
                <w:rFonts w:hint="default" w:ascii="Times New Roman" w:hAnsi="Times New Roman" w:eastAsia="宋体" w:cs="Times New Roman"/>
                <w:color w:val="auto"/>
                <w:kern w:val="0"/>
                <w:szCs w:val="21"/>
                <w:highlight w:val="none"/>
              </w:rPr>
              <w:t>SS</w:t>
            </w:r>
          </w:p>
        </w:tc>
        <w:tc>
          <w:tcPr>
            <w:tcW w:w="1487" w:type="dxa"/>
            <w:vAlign w:val="center"/>
          </w:tcPr>
          <w:p w14:paraId="392EE34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Cs w:val="21"/>
                <w:highlight w:val="none"/>
                <w:lang w:val="en-US" w:eastAsia="zh-CN"/>
              </w:rPr>
            </w:pPr>
            <w:r>
              <w:rPr>
                <w:rFonts w:hint="eastAsia" w:cs="Times New Roman"/>
                <w:b w:val="0"/>
                <w:bCs w:val="0"/>
                <w:snapToGrid w:val="0"/>
                <w:color w:val="auto"/>
                <w:kern w:val="21"/>
                <w:szCs w:val="21"/>
                <w:highlight w:val="none"/>
                <w:lang w:val="en-US" w:eastAsia="zh-CN"/>
              </w:rPr>
              <w:t>0</w:t>
            </w:r>
          </w:p>
        </w:tc>
        <w:tc>
          <w:tcPr>
            <w:tcW w:w="1185" w:type="dxa"/>
            <w:vAlign w:val="center"/>
          </w:tcPr>
          <w:p w14:paraId="5041BA9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Cs w:val="21"/>
                <w:highlight w:val="none"/>
              </w:rPr>
            </w:pPr>
            <w:r>
              <w:rPr>
                <w:rFonts w:hint="eastAsia" w:cs="Times New Roman"/>
                <w:b w:val="0"/>
                <w:bCs w:val="0"/>
                <w:snapToGrid w:val="0"/>
                <w:color w:val="auto"/>
                <w:kern w:val="21"/>
                <w:szCs w:val="21"/>
                <w:highlight w:val="none"/>
                <w:lang w:val="en-US" w:eastAsia="zh-CN"/>
              </w:rPr>
              <w:t>0</w:t>
            </w:r>
          </w:p>
        </w:tc>
        <w:tc>
          <w:tcPr>
            <w:tcW w:w="1410" w:type="dxa"/>
            <w:vAlign w:val="center"/>
          </w:tcPr>
          <w:p w14:paraId="50DA6AE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Cs w:val="21"/>
                <w:highlight w:val="none"/>
              </w:rPr>
            </w:pPr>
            <w:r>
              <w:rPr>
                <w:rFonts w:hint="eastAsia" w:cs="Times New Roman"/>
                <w:b w:val="0"/>
                <w:bCs w:val="0"/>
                <w:snapToGrid w:val="0"/>
                <w:color w:val="auto"/>
                <w:kern w:val="21"/>
                <w:szCs w:val="21"/>
                <w:highlight w:val="none"/>
                <w:lang w:val="en-US" w:eastAsia="zh-CN"/>
              </w:rPr>
              <w:t>0</w:t>
            </w:r>
          </w:p>
        </w:tc>
        <w:tc>
          <w:tcPr>
            <w:tcW w:w="1485" w:type="dxa"/>
            <w:vAlign w:val="center"/>
          </w:tcPr>
          <w:p w14:paraId="7C3683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等线" w:cs="Times New Roman"/>
                <w:i w:val="0"/>
                <w:iCs w:val="0"/>
                <w:color w:val="auto"/>
                <w:kern w:val="0"/>
                <w:sz w:val="21"/>
                <w:szCs w:val="21"/>
                <w:u w:val="none"/>
                <w:lang w:val="en-US" w:eastAsia="zh-CN" w:bidi="ar"/>
              </w:rPr>
              <w:t xml:space="preserve">0.1084 </w:t>
            </w:r>
          </w:p>
        </w:tc>
        <w:tc>
          <w:tcPr>
            <w:tcW w:w="1575" w:type="dxa"/>
            <w:vAlign w:val="center"/>
          </w:tcPr>
          <w:p w14:paraId="3079167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Cs w:val="21"/>
                <w:highlight w:val="none"/>
              </w:rPr>
            </w:pPr>
            <w:r>
              <w:rPr>
                <w:rFonts w:hint="eastAsia" w:cs="Times New Roman"/>
                <w:b w:val="0"/>
                <w:bCs w:val="0"/>
                <w:snapToGrid w:val="0"/>
                <w:color w:val="auto"/>
                <w:kern w:val="21"/>
                <w:szCs w:val="21"/>
                <w:highlight w:val="none"/>
                <w:lang w:val="en-US" w:eastAsia="zh-CN"/>
              </w:rPr>
              <w:t>0</w:t>
            </w:r>
          </w:p>
        </w:tc>
        <w:tc>
          <w:tcPr>
            <w:tcW w:w="1785" w:type="dxa"/>
            <w:vAlign w:val="center"/>
          </w:tcPr>
          <w:p w14:paraId="58EEB2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等线" w:cs="Times New Roman"/>
                <w:i w:val="0"/>
                <w:iCs w:val="0"/>
                <w:color w:val="auto"/>
                <w:kern w:val="0"/>
                <w:sz w:val="21"/>
                <w:szCs w:val="21"/>
                <w:u w:val="none"/>
                <w:lang w:val="en-US" w:eastAsia="zh-CN" w:bidi="ar"/>
              </w:rPr>
              <w:t xml:space="preserve">0.1084 </w:t>
            </w:r>
          </w:p>
        </w:tc>
        <w:tc>
          <w:tcPr>
            <w:tcW w:w="1307" w:type="dxa"/>
            <w:vAlign w:val="center"/>
          </w:tcPr>
          <w:p w14:paraId="04D477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highlight w:val="none"/>
              </w:rPr>
            </w:pPr>
            <w:r>
              <w:rPr>
                <w:rFonts w:hint="eastAsia" w:eastAsia="等线" w:cs="Times New Roman"/>
                <w:i w:val="0"/>
                <w:iCs w:val="0"/>
                <w:color w:val="auto"/>
                <w:kern w:val="0"/>
                <w:sz w:val="21"/>
                <w:szCs w:val="21"/>
                <w:u w:val="none"/>
                <w:lang w:val="en-US" w:eastAsia="zh-CN" w:bidi="ar"/>
              </w:rPr>
              <w:t>+</w:t>
            </w:r>
            <w:r>
              <w:rPr>
                <w:rFonts w:hint="default" w:ascii="Times New Roman" w:hAnsi="Times New Roman" w:eastAsia="等线" w:cs="Times New Roman"/>
                <w:i w:val="0"/>
                <w:iCs w:val="0"/>
                <w:color w:val="auto"/>
                <w:kern w:val="0"/>
                <w:sz w:val="21"/>
                <w:szCs w:val="21"/>
                <w:u w:val="none"/>
                <w:lang w:val="en-US" w:eastAsia="zh-CN" w:bidi="ar"/>
              </w:rPr>
              <w:t xml:space="preserve">0.1084 </w:t>
            </w:r>
          </w:p>
        </w:tc>
      </w:tr>
      <w:tr w14:paraId="5DD157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5DDDB8B7">
            <w:pPr>
              <w:pStyle w:val="42"/>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21"/>
                <w:sz w:val="21"/>
                <w:szCs w:val="21"/>
                <w:highlight w:val="none"/>
              </w:rPr>
            </w:pPr>
          </w:p>
        </w:tc>
        <w:tc>
          <w:tcPr>
            <w:tcW w:w="2352" w:type="dxa"/>
            <w:gridSpan w:val="2"/>
            <w:vAlign w:val="center"/>
          </w:tcPr>
          <w:p w14:paraId="27190A3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napToGrid w:val="0"/>
                <w:color w:val="auto"/>
                <w:kern w:val="21"/>
                <w:szCs w:val="21"/>
                <w:highlight w:val="none"/>
              </w:rPr>
            </w:pPr>
            <w:r>
              <w:rPr>
                <w:rFonts w:hint="default" w:ascii="Times New Roman" w:hAnsi="Times New Roman" w:eastAsia="宋体" w:cs="Times New Roman"/>
                <w:color w:val="auto"/>
                <w:kern w:val="0"/>
                <w:szCs w:val="21"/>
                <w:highlight w:val="none"/>
              </w:rPr>
              <w:t>氨氮</w:t>
            </w:r>
          </w:p>
        </w:tc>
        <w:tc>
          <w:tcPr>
            <w:tcW w:w="1487" w:type="dxa"/>
            <w:vAlign w:val="center"/>
          </w:tcPr>
          <w:p w14:paraId="71936B3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Cs w:val="21"/>
                <w:highlight w:val="none"/>
                <w:lang w:val="en-US" w:eastAsia="zh-CN"/>
              </w:rPr>
            </w:pPr>
            <w:r>
              <w:rPr>
                <w:rFonts w:hint="eastAsia" w:cs="Times New Roman"/>
                <w:b w:val="0"/>
                <w:bCs w:val="0"/>
                <w:snapToGrid w:val="0"/>
                <w:color w:val="auto"/>
                <w:kern w:val="21"/>
                <w:szCs w:val="21"/>
                <w:highlight w:val="none"/>
                <w:lang w:val="en-US" w:eastAsia="zh-CN"/>
              </w:rPr>
              <w:t>0</w:t>
            </w:r>
          </w:p>
        </w:tc>
        <w:tc>
          <w:tcPr>
            <w:tcW w:w="1185" w:type="dxa"/>
            <w:vAlign w:val="center"/>
          </w:tcPr>
          <w:p w14:paraId="51CB9B2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Cs w:val="21"/>
                <w:highlight w:val="none"/>
              </w:rPr>
            </w:pPr>
            <w:r>
              <w:rPr>
                <w:rFonts w:hint="eastAsia" w:cs="Times New Roman"/>
                <w:b w:val="0"/>
                <w:bCs w:val="0"/>
                <w:snapToGrid w:val="0"/>
                <w:color w:val="auto"/>
                <w:kern w:val="21"/>
                <w:szCs w:val="21"/>
                <w:highlight w:val="none"/>
                <w:lang w:val="en-US" w:eastAsia="zh-CN"/>
              </w:rPr>
              <w:t>0</w:t>
            </w:r>
          </w:p>
        </w:tc>
        <w:tc>
          <w:tcPr>
            <w:tcW w:w="1410" w:type="dxa"/>
            <w:vAlign w:val="center"/>
          </w:tcPr>
          <w:p w14:paraId="50513D6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Cs w:val="21"/>
                <w:highlight w:val="none"/>
              </w:rPr>
            </w:pPr>
            <w:r>
              <w:rPr>
                <w:rFonts w:hint="eastAsia" w:cs="Times New Roman"/>
                <w:b w:val="0"/>
                <w:bCs w:val="0"/>
                <w:snapToGrid w:val="0"/>
                <w:color w:val="auto"/>
                <w:kern w:val="21"/>
                <w:szCs w:val="21"/>
                <w:highlight w:val="none"/>
                <w:lang w:val="en-US" w:eastAsia="zh-CN"/>
              </w:rPr>
              <w:t>0</w:t>
            </w:r>
          </w:p>
        </w:tc>
        <w:tc>
          <w:tcPr>
            <w:tcW w:w="1485" w:type="dxa"/>
            <w:vAlign w:val="center"/>
          </w:tcPr>
          <w:p w14:paraId="78AA3B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highlight w:val="none"/>
              </w:rPr>
            </w:pPr>
            <w:r>
              <w:rPr>
                <w:rFonts w:hint="default" w:ascii="Times New Roman" w:hAnsi="Times New Roman" w:eastAsia="等线" w:cs="Times New Roman"/>
                <w:i w:val="0"/>
                <w:iCs w:val="0"/>
                <w:color w:val="auto"/>
                <w:kern w:val="0"/>
                <w:sz w:val="21"/>
                <w:szCs w:val="21"/>
                <w:u w:val="none"/>
                <w:lang w:val="en-US" w:eastAsia="zh-CN" w:bidi="ar"/>
              </w:rPr>
              <w:t xml:space="preserve">0.0105 </w:t>
            </w:r>
          </w:p>
        </w:tc>
        <w:tc>
          <w:tcPr>
            <w:tcW w:w="1575" w:type="dxa"/>
            <w:vAlign w:val="center"/>
          </w:tcPr>
          <w:p w14:paraId="6F85BCC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Cs w:val="21"/>
                <w:highlight w:val="none"/>
              </w:rPr>
            </w:pPr>
            <w:r>
              <w:rPr>
                <w:rFonts w:hint="eastAsia" w:cs="Times New Roman"/>
                <w:b w:val="0"/>
                <w:bCs w:val="0"/>
                <w:snapToGrid w:val="0"/>
                <w:color w:val="auto"/>
                <w:kern w:val="21"/>
                <w:szCs w:val="21"/>
                <w:highlight w:val="none"/>
                <w:lang w:val="en-US" w:eastAsia="zh-CN"/>
              </w:rPr>
              <w:t>0</w:t>
            </w:r>
          </w:p>
        </w:tc>
        <w:tc>
          <w:tcPr>
            <w:tcW w:w="1785" w:type="dxa"/>
            <w:vAlign w:val="center"/>
          </w:tcPr>
          <w:p w14:paraId="6613CA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等线" w:cs="Times New Roman"/>
                <w:i w:val="0"/>
                <w:iCs w:val="0"/>
                <w:color w:val="auto"/>
                <w:kern w:val="0"/>
                <w:sz w:val="21"/>
                <w:szCs w:val="21"/>
                <w:u w:val="none"/>
                <w:lang w:val="en-US" w:eastAsia="zh-CN" w:bidi="ar"/>
              </w:rPr>
              <w:t xml:space="preserve">0.0105 </w:t>
            </w:r>
          </w:p>
        </w:tc>
        <w:tc>
          <w:tcPr>
            <w:tcW w:w="1307" w:type="dxa"/>
            <w:vAlign w:val="center"/>
          </w:tcPr>
          <w:p w14:paraId="71BEAA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highlight w:val="none"/>
              </w:rPr>
            </w:pPr>
            <w:r>
              <w:rPr>
                <w:rFonts w:hint="eastAsia" w:eastAsia="等线" w:cs="Times New Roman"/>
                <w:i w:val="0"/>
                <w:iCs w:val="0"/>
                <w:color w:val="auto"/>
                <w:kern w:val="0"/>
                <w:sz w:val="21"/>
                <w:szCs w:val="21"/>
                <w:u w:val="none"/>
                <w:lang w:val="en-US" w:eastAsia="zh-CN" w:bidi="ar"/>
              </w:rPr>
              <w:t>+</w:t>
            </w:r>
            <w:r>
              <w:rPr>
                <w:rFonts w:hint="default" w:ascii="Times New Roman" w:hAnsi="Times New Roman" w:eastAsia="等线" w:cs="Times New Roman"/>
                <w:i w:val="0"/>
                <w:iCs w:val="0"/>
                <w:color w:val="auto"/>
                <w:kern w:val="0"/>
                <w:sz w:val="21"/>
                <w:szCs w:val="21"/>
                <w:u w:val="none"/>
                <w:lang w:val="en-US" w:eastAsia="zh-CN" w:bidi="ar"/>
              </w:rPr>
              <w:t xml:space="preserve">0.0105 </w:t>
            </w:r>
          </w:p>
        </w:tc>
      </w:tr>
      <w:tr w14:paraId="5B3EC6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2A2B67DC">
            <w:pPr>
              <w:pStyle w:val="42"/>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21"/>
                <w:sz w:val="21"/>
                <w:szCs w:val="21"/>
                <w:highlight w:val="none"/>
              </w:rPr>
            </w:pPr>
          </w:p>
        </w:tc>
        <w:tc>
          <w:tcPr>
            <w:tcW w:w="2352" w:type="dxa"/>
            <w:gridSpan w:val="2"/>
            <w:vAlign w:val="center"/>
          </w:tcPr>
          <w:p w14:paraId="74EDAA5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总氮</w:t>
            </w:r>
          </w:p>
        </w:tc>
        <w:tc>
          <w:tcPr>
            <w:tcW w:w="1487" w:type="dxa"/>
            <w:vAlign w:val="center"/>
          </w:tcPr>
          <w:p w14:paraId="0CFDAC9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Cs w:val="21"/>
                <w:highlight w:val="none"/>
                <w:lang w:val="en-US" w:eastAsia="zh-CN"/>
              </w:rPr>
            </w:pPr>
            <w:r>
              <w:rPr>
                <w:rFonts w:hint="eastAsia" w:cs="Times New Roman"/>
                <w:b w:val="0"/>
                <w:bCs w:val="0"/>
                <w:snapToGrid w:val="0"/>
                <w:color w:val="auto"/>
                <w:kern w:val="21"/>
                <w:szCs w:val="21"/>
                <w:highlight w:val="none"/>
                <w:lang w:val="en-US" w:eastAsia="zh-CN"/>
              </w:rPr>
              <w:t>0</w:t>
            </w:r>
          </w:p>
        </w:tc>
        <w:tc>
          <w:tcPr>
            <w:tcW w:w="1185" w:type="dxa"/>
            <w:vAlign w:val="center"/>
          </w:tcPr>
          <w:p w14:paraId="3EB3CA9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Cs w:val="21"/>
                <w:highlight w:val="none"/>
              </w:rPr>
            </w:pPr>
            <w:r>
              <w:rPr>
                <w:rFonts w:hint="eastAsia" w:cs="Times New Roman"/>
                <w:b w:val="0"/>
                <w:bCs w:val="0"/>
                <w:snapToGrid w:val="0"/>
                <w:color w:val="auto"/>
                <w:kern w:val="21"/>
                <w:szCs w:val="21"/>
                <w:highlight w:val="none"/>
                <w:lang w:val="en-US" w:eastAsia="zh-CN"/>
              </w:rPr>
              <w:t>0</w:t>
            </w:r>
          </w:p>
        </w:tc>
        <w:tc>
          <w:tcPr>
            <w:tcW w:w="1410" w:type="dxa"/>
            <w:vAlign w:val="center"/>
          </w:tcPr>
          <w:p w14:paraId="021665F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Cs w:val="21"/>
                <w:highlight w:val="none"/>
              </w:rPr>
            </w:pPr>
            <w:r>
              <w:rPr>
                <w:rFonts w:hint="eastAsia" w:cs="Times New Roman"/>
                <w:b w:val="0"/>
                <w:bCs w:val="0"/>
                <w:snapToGrid w:val="0"/>
                <w:color w:val="auto"/>
                <w:kern w:val="21"/>
                <w:szCs w:val="21"/>
                <w:highlight w:val="none"/>
                <w:lang w:val="en-US" w:eastAsia="zh-CN"/>
              </w:rPr>
              <w:t>0</w:t>
            </w:r>
          </w:p>
        </w:tc>
        <w:tc>
          <w:tcPr>
            <w:tcW w:w="1485" w:type="dxa"/>
            <w:vAlign w:val="center"/>
          </w:tcPr>
          <w:p w14:paraId="4ABB84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highlight w:val="none"/>
              </w:rPr>
            </w:pPr>
            <w:r>
              <w:rPr>
                <w:rFonts w:hint="default" w:ascii="Times New Roman" w:hAnsi="Times New Roman" w:eastAsia="等线" w:cs="Times New Roman"/>
                <w:i w:val="0"/>
                <w:iCs w:val="0"/>
                <w:color w:val="auto"/>
                <w:kern w:val="0"/>
                <w:sz w:val="21"/>
                <w:szCs w:val="21"/>
                <w:u w:val="none"/>
                <w:lang w:val="en-US" w:eastAsia="zh-CN" w:bidi="ar"/>
              </w:rPr>
              <w:t xml:space="preserve">0.0134 </w:t>
            </w:r>
          </w:p>
        </w:tc>
        <w:tc>
          <w:tcPr>
            <w:tcW w:w="1575" w:type="dxa"/>
            <w:vAlign w:val="center"/>
          </w:tcPr>
          <w:p w14:paraId="6E3B639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Cs w:val="21"/>
                <w:highlight w:val="none"/>
              </w:rPr>
            </w:pPr>
            <w:r>
              <w:rPr>
                <w:rFonts w:hint="eastAsia" w:cs="Times New Roman"/>
                <w:b w:val="0"/>
                <w:bCs w:val="0"/>
                <w:snapToGrid w:val="0"/>
                <w:color w:val="auto"/>
                <w:kern w:val="21"/>
                <w:szCs w:val="21"/>
                <w:highlight w:val="none"/>
                <w:lang w:val="en-US" w:eastAsia="zh-CN"/>
              </w:rPr>
              <w:t>0</w:t>
            </w:r>
          </w:p>
        </w:tc>
        <w:tc>
          <w:tcPr>
            <w:tcW w:w="1785" w:type="dxa"/>
            <w:vAlign w:val="center"/>
          </w:tcPr>
          <w:p w14:paraId="19F3A9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等线" w:cs="Times New Roman"/>
                <w:i w:val="0"/>
                <w:iCs w:val="0"/>
                <w:color w:val="auto"/>
                <w:kern w:val="0"/>
                <w:sz w:val="21"/>
                <w:szCs w:val="21"/>
                <w:u w:val="none"/>
                <w:lang w:val="en-US" w:eastAsia="zh-CN" w:bidi="ar"/>
              </w:rPr>
              <w:t xml:space="preserve">0.0134 </w:t>
            </w:r>
          </w:p>
        </w:tc>
        <w:tc>
          <w:tcPr>
            <w:tcW w:w="1307" w:type="dxa"/>
            <w:vAlign w:val="center"/>
          </w:tcPr>
          <w:p w14:paraId="41267E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highlight w:val="none"/>
              </w:rPr>
            </w:pPr>
            <w:r>
              <w:rPr>
                <w:rFonts w:hint="eastAsia" w:eastAsia="等线" w:cs="Times New Roman"/>
                <w:i w:val="0"/>
                <w:iCs w:val="0"/>
                <w:color w:val="auto"/>
                <w:kern w:val="0"/>
                <w:sz w:val="21"/>
                <w:szCs w:val="21"/>
                <w:u w:val="none"/>
                <w:lang w:val="en-US" w:eastAsia="zh-CN" w:bidi="ar"/>
              </w:rPr>
              <w:t>+</w:t>
            </w:r>
            <w:r>
              <w:rPr>
                <w:rFonts w:hint="default" w:ascii="Times New Roman" w:hAnsi="Times New Roman" w:eastAsia="等线" w:cs="Times New Roman"/>
                <w:i w:val="0"/>
                <w:iCs w:val="0"/>
                <w:color w:val="auto"/>
                <w:kern w:val="0"/>
                <w:sz w:val="21"/>
                <w:szCs w:val="21"/>
                <w:u w:val="none"/>
                <w:lang w:val="en-US" w:eastAsia="zh-CN" w:bidi="ar"/>
              </w:rPr>
              <w:t xml:space="preserve">0.0134 </w:t>
            </w:r>
          </w:p>
        </w:tc>
      </w:tr>
      <w:tr w14:paraId="7642D0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6D60BBCA">
            <w:pPr>
              <w:pStyle w:val="42"/>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21"/>
                <w:sz w:val="21"/>
                <w:szCs w:val="21"/>
                <w:highlight w:val="none"/>
              </w:rPr>
            </w:pPr>
          </w:p>
        </w:tc>
        <w:tc>
          <w:tcPr>
            <w:tcW w:w="2352" w:type="dxa"/>
            <w:gridSpan w:val="2"/>
            <w:vAlign w:val="center"/>
          </w:tcPr>
          <w:p w14:paraId="6C0E852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Cs w:val="21"/>
                <w:highlight w:val="none"/>
              </w:rPr>
              <w:t>总磷</w:t>
            </w:r>
          </w:p>
        </w:tc>
        <w:tc>
          <w:tcPr>
            <w:tcW w:w="1487" w:type="dxa"/>
            <w:vAlign w:val="center"/>
          </w:tcPr>
          <w:p w14:paraId="38578AE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b w:val="0"/>
                <w:bCs w:val="0"/>
                <w:snapToGrid w:val="0"/>
                <w:color w:val="auto"/>
                <w:kern w:val="21"/>
                <w:szCs w:val="21"/>
                <w:highlight w:val="none"/>
                <w:lang w:val="en-US" w:eastAsia="zh-CN"/>
              </w:rPr>
              <w:t>0</w:t>
            </w:r>
          </w:p>
        </w:tc>
        <w:tc>
          <w:tcPr>
            <w:tcW w:w="1185" w:type="dxa"/>
            <w:vAlign w:val="center"/>
          </w:tcPr>
          <w:p w14:paraId="208B8B3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b w:val="0"/>
                <w:bCs w:val="0"/>
                <w:snapToGrid w:val="0"/>
                <w:color w:val="auto"/>
                <w:kern w:val="21"/>
                <w:szCs w:val="21"/>
                <w:highlight w:val="none"/>
                <w:lang w:val="en-US" w:eastAsia="zh-CN"/>
              </w:rPr>
              <w:t>0</w:t>
            </w:r>
          </w:p>
        </w:tc>
        <w:tc>
          <w:tcPr>
            <w:tcW w:w="1410" w:type="dxa"/>
            <w:vAlign w:val="center"/>
          </w:tcPr>
          <w:p w14:paraId="29EA755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b w:val="0"/>
                <w:bCs w:val="0"/>
                <w:snapToGrid w:val="0"/>
                <w:color w:val="auto"/>
                <w:kern w:val="21"/>
                <w:szCs w:val="21"/>
                <w:highlight w:val="none"/>
                <w:lang w:val="en-US" w:eastAsia="zh-CN"/>
              </w:rPr>
              <w:t>0</w:t>
            </w:r>
          </w:p>
        </w:tc>
        <w:tc>
          <w:tcPr>
            <w:tcW w:w="1485" w:type="dxa"/>
            <w:vAlign w:val="center"/>
          </w:tcPr>
          <w:p w14:paraId="66FB89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等线" w:cs="Times New Roman"/>
                <w:i w:val="0"/>
                <w:iCs w:val="0"/>
                <w:color w:val="auto"/>
                <w:kern w:val="0"/>
                <w:sz w:val="21"/>
                <w:szCs w:val="21"/>
                <w:u w:val="none"/>
                <w:lang w:val="en-US" w:eastAsia="zh-CN" w:bidi="ar"/>
              </w:rPr>
              <w:t xml:space="preserve">0.0016 </w:t>
            </w:r>
          </w:p>
        </w:tc>
        <w:tc>
          <w:tcPr>
            <w:tcW w:w="1575" w:type="dxa"/>
            <w:vAlign w:val="center"/>
          </w:tcPr>
          <w:p w14:paraId="2EBFF93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b w:val="0"/>
                <w:bCs w:val="0"/>
                <w:snapToGrid w:val="0"/>
                <w:color w:val="auto"/>
                <w:kern w:val="21"/>
                <w:szCs w:val="21"/>
                <w:highlight w:val="none"/>
                <w:lang w:val="en-US" w:eastAsia="zh-CN"/>
              </w:rPr>
              <w:t>0</w:t>
            </w:r>
          </w:p>
        </w:tc>
        <w:tc>
          <w:tcPr>
            <w:tcW w:w="1785" w:type="dxa"/>
            <w:vAlign w:val="center"/>
          </w:tcPr>
          <w:p w14:paraId="50E871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等线" w:cs="Times New Roman"/>
                <w:i w:val="0"/>
                <w:iCs w:val="0"/>
                <w:color w:val="auto"/>
                <w:kern w:val="0"/>
                <w:sz w:val="21"/>
                <w:szCs w:val="21"/>
                <w:u w:val="none"/>
                <w:lang w:val="en-US" w:eastAsia="zh-CN" w:bidi="ar"/>
              </w:rPr>
              <w:t xml:space="preserve">0.0016 </w:t>
            </w:r>
          </w:p>
        </w:tc>
        <w:tc>
          <w:tcPr>
            <w:tcW w:w="1307" w:type="dxa"/>
            <w:vAlign w:val="center"/>
          </w:tcPr>
          <w:p w14:paraId="62E987E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eastAsia="等线" w:cs="Times New Roman"/>
                <w:i w:val="0"/>
                <w:iCs w:val="0"/>
                <w:color w:val="auto"/>
                <w:kern w:val="0"/>
                <w:sz w:val="21"/>
                <w:szCs w:val="21"/>
                <w:u w:val="none"/>
                <w:lang w:val="en-US" w:eastAsia="zh-CN" w:bidi="ar"/>
              </w:rPr>
              <w:t>+</w:t>
            </w:r>
            <w:r>
              <w:rPr>
                <w:rFonts w:hint="default" w:ascii="Times New Roman" w:hAnsi="Times New Roman" w:eastAsia="等线" w:cs="Times New Roman"/>
                <w:i w:val="0"/>
                <w:iCs w:val="0"/>
                <w:color w:val="auto"/>
                <w:kern w:val="0"/>
                <w:sz w:val="21"/>
                <w:szCs w:val="21"/>
                <w:u w:val="none"/>
                <w:lang w:val="en-US" w:eastAsia="zh-CN" w:bidi="ar"/>
              </w:rPr>
              <w:t xml:space="preserve">0.0016 </w:t>
            </w:r>
          </w:p>
        </w:tc>
      </w:tr>
      <w:tr w14:paraId="2F680E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012FE498">
            <w:pPr>
              <w:pStyle w:val="42"/>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21"/>
                <w:sz w:val="21"/>
                <w:szCs w:val="21"/>
                <w:highlight w:val="none"/>
              </w:rPr>
            </w:pPr>
          </w:p>
        </w:tc>
        <w:tc>
          <w:tcPr>
            <w:tcW w:w="2352" w:type="dxa"/>
            <w:gridSpan w:val="2"/>
            <w:vAlign w:val="center"/>
          </w:tcPr>
          <w:p w14:paraId="4093FC3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Cs w:val="21"/>
                <w:highlight w:val="none"/>
                <w:lang w:val="en-US" w:eastAsia="zh-CN"/>
              </w:rPr>
            </w:pPr>
            <w:r>
              <w:rPr>
                <w:rFonts w:hint="eastAsia" w:cs="Times New Roman"/>
                <w:b w:val="0"/>
                <w:bCs w:val="0"/>
                <w:color w:val="auto"/>
                <w:kern w:val="0"/>
                <w:szCs w:val="21"/>
                <w:highlight w:val="none"/>
                <w:lang w:val="en-US" w:eastAsia="zh-CN"/>
              </w:rPr>
              <w:t>LAS</w:t>
            </w:r>
          </w:p>
        </w:tc>
        <w:tc>
          <w:tcPr>
            <w:tcW w:w="1487" w:type="dxa"/>
            <w:vAlign w:val="center"/>
          </w:tcPr>
          <w:p w14:paraId="5B7F6DA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b w:val="0"/>
                <w:bCs w:val="0"/>
                <w:snapToGrid w:val="0"/>
                <w:color w:val="auto"/>
                <w:kern w:val="21"/>
                <w:szCs w:val="21"/>
                <w:highlight w:val="none"/>
                <w:lang w:val="en-US" w:eastAsia="zh-CN"/>
              </w:rPr>
              <w:t>0</w:t>
            </w:r>
          </w:p>
        </w:tc>
        <w:tc>
          <w:tcPr>
            <w:tcW w:w="1185" w:type="dxa"/>
            <w:vAlign w:val="center"/>
          </w:tcPr>
          <w:p w14:paraId="6A94B2B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eastAsia" w:cs="Times New Roman"/>
                <w:b w:val="0"/>
                <w:bCs w:val="0"/>
                <w:snapToGrid w:val="0"/>
                <w:color w:val="auto"/>
                <w:kern w:val="21"/>
                <w:szCs w:val="21"/>
                <w:highlight w:val="none"/>
                <w:lang w:val="en-US" w:eastAsia="zh-CN"/>
              </w:rPr>
              <w:t>0</w:t>
            </w:r>
          </w:p>
        </w:tc>
        <w:tc>
          <w:tcPr>
            <w:tcW w:w="1410" w:type="dxa"/>
            <w:vAlign w:val="center"/>
          </w:tcPr>
          <w:p w14:paraId="159D651F">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snapToGrid w:val="0"/>
                <w:color w:val="auto"/>
                <w:kern w:val="21"/>
                <w:szCs w:val="21"/>
                <w:highlight w:val="none"/>
                <w:lang w:val="en-US" w:eastAsia="zh-CN"/>
              </w:rPr>
            </w:pPr>
            <w:r>
              <w:rPr>
                <w:rFonts w:hint="eastAsia" w:cs="Times New Roman"/>
                <w:b w:val="0"/>
                <w:bCs w:val="0"/>
                <w:snapToGrid w:val="0"/>
                <w:color w:val="auto"/>
                <w:kern w:val="21"/>
                <w:szCs w:val="21"/>
                <w:highlight w:val="none"/>
                <w:lang w:val="en-US" w:eastAsia="zh-CN"/>
              </w:rPr>
              <w:t>0</w:t>
            </w:r>
          </w:p>
        </w:tc>
        <w:tc>
          <w:tcPr>
            <w:tcW w:w="1485" w:type="dxa"/>
            <w:vAlign w:val="center"/>
          </w:tcPr>
          <w:p w14:paraId="1573D3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等线" w:cs="Times New Roman"/>
                <w:i w:val="0"/>
                <w:iCs w:val="0"/>
                <w:color w:val="auto"/>
                <w:kern w:val="0"/>
                <w:sz w:val="21"/>
                <w:szCs w:val="21"/>
                <w:u w:val="none"/>
                <w:lang w:val="en-US" w:eastAsia="zh-CN" w:bidi="ar"/>
              </w:rPr>
              <w:t xml:space="preserve">0.0003 </w:t>
            </w:r>
          </w:p>
        </w:tc>
        <w:tc>
          <w:tcPr>
            <w:tcW w:w="1575" w:type="dxa"/>
            <w:vAlign w:val="center"/>
          </w:tcPr>
          <w:p w14:paraId="2263394D">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snapToGrid w:val="0"/>
                <w:color w:val="auto"/>
                <w:kern w:val="21"/>
                <w:szCs w:val="21"/>
                <w:highlight w:val="none"/>
                <w:lang w:val="en-US" w:eastAsia="zh-CN"/>
              </w:rPr>
            </w:pPr>
            <w:r>
              <w:rPr>
                <w:rFonts w:hint="eastAsia" w:cs="Times New Roman"/>
                <w:b w:val="0"/>
                <w:bCs w:val="0"/>
                <w:snapToGrid w:val="0"/>
                <w:color w:val="auto"/>
                <w:kern w:val="21"/>
                <w:szCs w:val="21"/>
                <w:highlight w:val="none"/>
                <w:lang w:val="en-US" w:eastAsia="zh-CN"/>
              </w:rPr>
              <w:t>0</w:t>
            </w:r>
          </w:p>
        </w:tc>
        <w:tc>
          <w:tcPr>
            <w:tcW w:w="1785" w:type="dxa"/>
            <w:vAlign w:val="center"/>
          </w:tcPr>
          <w:p w14:paraId="64A4C4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等线" w:cs="Times New Roman"/>
                <w:i w:val="0"/>
                <w:iCs w:val="0"/>
                <w:color w:val="auto"/>
                <w:kern w:val="0"/>
                <w:sz w:val="21"/>
                <w:szCs w:val="21"/>
                <w:u w:val="none"/>
                <w:lang w:val="en-US" w:eastAsia="zh-CN" w:bidi="ar"/>
              </w:rPr>
              <w:t xml:space="preserve">0.0003 </w:t>
            </w:r>
          </w:p>
        </w:tc>
        <w:tc>
          <w:tcPr>
            <w:tcW w:w="1307" w:type="dxa"/>
            <w:vAlign w:val="center"/>
          </w:tcPr>
          <w:p w14:paraId="049EC0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eastAsia="等线" w:cs="Times New Roman"/>
                <w:i w:val="0"/>
                <w:iCs w:val="0"/>
                <w:color w:val="auto"/>
                <w:kern w:val="0"/>
                <w:sz w:val="21"/>
                <w:szCs w:val="21"/>
                <w:u w:val="none"/>
                <w:lang w:val="en-US" w:eastAsia="zh-CN" w:bidi="ar"/>
              </w:rPr>
              <w:t>+</w:t>
            </w:r>
            <w:r>
              <w:rPr>
                <w:rFonts w:hint="default" w:ascii="Times New Roman" w:hAnsi="Times New Roman" w:eastAsia="等线" w:cs="Times New Roman"/>
                <w:i w:val="0"/>
                <w:iCs w:val="0"/>
                <w:color w:val="auto"/>
                <w:kern w:val="0"/>
                <w:sz w:val="21"/>
                <w:szCs w:val="21"/>
                <w:u w:val="none"/>
                <w:lang w:val="en-US" w:eastAsia="zh-CN" w:bidi="ar"/>
              </w:rPr>
              <w:t xml:space="preserve">0.0003 </w:t>
            </w:r>
          </w:p>
        </w:tc>
      </w:tr>
      <w:tr w14:paraId="52E6C6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202" w:type="dxa"/>
            <w:gridSpan w:val="2"/>
            <w:vMerge w:val="restart"/>
            <w:vAlign w:val="center"/>
          </w:tcPr>
          <w:p w14:paraId="4E44193B">
            <w:pPr>
              <w:pStyle w:val="42"/>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危险废物</w:t>
            </w:r>
          </w:p>
        </w:tc>
        <w:tc>
          <w:tcPr>
            <w:tcW w:w="2352" w:type="dxa"/>
            <w:gridSpan w:val="2"/>
            <w:vAlign w:val="center"/>
          </w:tcPr>
          <w:p w14:paraId="0FBED8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lang w:bidi="ar"/>
              </w:rPr>
            </w:pPr>
            <w:r>
              <w:rPr>
                <w:rFonts w:hint="eastAsia" w:ascii="宋体" w:hAnsi="宋体" w:eastAsia="宋体" w:cs="宋体"/>
                <w:i w:val="0"/>
                <w:iCs w:val="0"/>
                <w:color w:val="000000"/>
                <w:kern w:val="0"/>
                <w:sz w:val="21"/>
                <w:szCs w:val="21"/>
                <w:u w:val="none"/>
                <w:lang w:val="en-US" w:eastAsia="zh-CN" w:bidi="ar"/>
              </w:rPr>
              <w:t>实验废液</w:t>
            </w:r>
          </w:p>
        </w:tc>
        <w:tc>
          <w:tcPr>
            <w:tcW w:w="1487" w:type="dxa"/>
            <w:vAlign w:val="center"/>
          </w:tcPr>
          <w:p w14:paraId="455FF0D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bidi="ar"/>
              </w:rPr>
            </w:pPr>
            <w:r>
              <w:rPr>
                <w:rFonts w:hint="eastAsia" w:cs="Times New Roman"/>
                <w:b w:val="0"/>
                <w:bCs w:val="0"/>
                <w:snapToGrid w:val="0"/>
                <w:color w:val="auto"/>
                <w:kern w:val="21"/>
                <w:szCs w:val="21"/>
                <w:highlight w:val="none"/>
                <w:lang w:val="en-US" w:eastAsia="zh-CN"/>
              </w:rPr>
              <w:t>0</w:t>
            </w:r>
          </w:p>
        </w:tc>
        <w:tc>
          <w:tcPr>
            <w:tcW w:w="1185" w:type="dxa"/>
            <w:vAlign w:val="center"/>
          </w:tcPr>
          <w:p w14:paraId="6EA6B8A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lang w:val="en-US"/>
              </w:rPr>
            </w:pPr>
            <w:r>
              <w:rPr>
                <w:rFonts w:hint="eastAsia" w:cs="Times New Roman"/>
                <w:b w:val="0"/>
                <w:bCs w:val="0"/>
                <w:snapToGrid w:val="0"/>
                <w:color w:val="auto"/>
                <w:kern w:val="21"/>
                <w:szCs w:val="21"/>
                <w:highlight w:val="none"/>
                <w:lang w:val="en-US" w:eastAsia="zh-CN"/>
              </w:rPr>
              <w:t>0</w:t>
            </w:r>
          </w:p>
        </w:tc>
        <w:tc>
          <w:tcPr>
            <w:tcW w:w="1410" w:type="dxa"/>
            <w:vAlign w:val="center"/>
          </w:tcPr>
          <w:p w14:paraId="1173507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b w:val="0"/>
                <w:bCs w:val="0"/>
                <w:snapToGrid w:val="0"/>
                <w:color w:val="auto"/>
                <w:kern w:val="21"/>
                <w:szCs w:val="21"/>
                <w:highlight w:val="none"/>
                <w:lang w:val="en-US" w:eastAsia="zh-CN"/>
              </w:rPr>
              <w:t>0</w:t>
            </w:r>
          </w:p>
        </w:tc>
        <w:tc>
          <w:tcPr>
            <w:tcW w:w="1485" w:type="dxa"/>
            <w:vAlign w:val="center"/>
          </w:tcPr>
          <w:p w14:paraId="36765D8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575" w:type="dxa"/>
            <w:vAlign w:val="center"/>
          </w:tcPr>
          <w:p w14:paraId="1AD1803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b w:val="0"/>
                <w:bCs w:val="0"/>
                <w:snapToGrid w:val="0"/>
                <w:color w:val="auto"/>
                <w:kern w:val="21"/>
                <w:szCs w:val="21"/>
                <w:highlight w:val="none"/>
                <w:lang w:val="en-US" w:eastAsia="zh-CN"/>
              </w:rPr>
              <w:t>0</w:t>
            </w:r>
          </w:p>
        </w:tc>
        <w:tc>
          <w:tcPr>
            <w:tcW w:w="1785" w:type="dxa"/>
            <w:vAlign w:val="center"/>
          </w:tcPr>
          <w:p w14:paraId="38C2F8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307" w:type="dxa"/>
            <w:vAlign w:val="center"/>
          </w:tcPr>
          <w:p w14:paraId="3C8503E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r>
      <w:tr w14:paraId="7FED55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4EBF9448">
            <w:pPr>
              <w:pStyle w:val="42"/>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1"/>
                <w:highlight w:val="none"/>
              </w:rPr>
            </w:pPr>
          </w:p>
        </w:tc>
        <w:tc>
          <w:tcPr>
            <w:tcW w:w="2352" w:type="dxa"/>
            <w:gridSpan w:val="2"/>
            <w:vAlign w:val="center"/>
          </w:tcPr>
          <w:p w14:paraId="5A624D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rPr>
            </w:pPr>
            <w:r>
              <w:rPr>
                <w:rFonts w:hint="eastAsia" w:ascii="宋体" w:hAnsi="宋体" w:eastAsia="宋体" w:cs="宋体"/>
                <w:i w:val="0"/>
                <w:iCs w:val="0"/>
                <w:color w:val="000000"/>
                <w:kern w:val="0"/>
                <w:sz w:val="21"/>
                <w:szCs w:val="21"/>
                <w:u w:val="none"/>
                <w:lang w:val="en-US" w:eastAsia="zh-CN" w:bidi="ar"/>
              </w:rPr>
              <w:t>废化学品包装</w:t>
            </w:r>
          </w:p>
        </w:tc>
        <w:tc>
          <w:tcPr>
            <w:tcW w:w="1487" w:type="dxa"/>
            <w:vAlign w:val="center"/>
          </w:tcPr>
          <w:p w14:paraId="585082C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snapToGrid w:val="0"/>
                <w:color w:val="auto"/>
                <w:kern w:val="21"/>
                <w:sz w:val="21"/>
                <w:szCs w:val="21"/>
                <w:highlight w:val="none"/>
              </w:rPr>
            </w:pPr>
            <w:r>
              <w:rPr>
                <w:rFonts w:hint="eastAsia" w:cs="Times New Roman"/>
                <w:b w:val="0"/>
                <w:bCs w:val="0"/>
                <w:snapToGrid w:val="0"/>
                <w:color w:val="auto"/>
                <w:kern w:val="21"/>
                <w:szCs w:val="21"/>
                <w:highlight w:val="none"/>
                <w:lang w:val="en-US" w:eastAsia="zh-CN"/>
              </w:rPr>
              <w:t>0</w:t>
            </w:r>
          </w:p>
        </w:tc>
        <w:tc>
          <w:tcPr>
            <w:tcW w:w="1185" w:type="dxa"/>
            <w:vAlign w:val="center"/>
          </w:tcPr>
          <w:p w14:paraId="5B3C007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snapToGrid w:val="0"/>
                <w:color w:val="auto"/>
                <w:kern w:val="21"/>
                <w:sz w:val="21"/>
                <w:szCs w:val="21"/>
                <w:highlight w:val="none"/>
              </w:rPr>
            </w:pPr>
            <w:r>
              <w:rPr>
                <w:rFonts w:hint="eastAsia" w:cs="Times New Roman"/>
                <w:b w:val="0"/>
                <w:bCs w:val="0"/>
                <w:snapToGrid w:val="0"/>
                <w:color w:val="auto"/>
                <w:kern w:val="21"/>
                <w:szCs w:val="21"/>
                <w:highlight w:val="none"/>
                <w:lang w:val="en-US" w:eastAsia="zh-CN"/>
              </w:rPr>
              <w:t>0</w:t>
            </w:r>
          </w:p>
        </w:tc>
        <w:tc>
          <w:tcPr>
            <w:tcW w:w="1410" w:type="dxa"/>
            <w:vAlign w:val="center"/>
          </w:tcPr>
          <w:p w14:paraId="5E8961A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snapToGrid w:val="0"/>
                <w:color w:val="auto"/>
                <w:kern w:val="21"/>
                <w:sz w:val="21"/>
                <w:szCs w:val="21"/>
                <w:highlight w:val="none"/>
              </w:rPr>
            </w:pPr>
            <w:r>
              <w:rPr>
                <w:rFonts w:hint="eastAsia" w:cs="Times New Roman"/>
                <w:b w:val="0"/>
                <w:bCs w:val="0"/>
                <w:snapToGrid w:val="0"/>
                <w:color w:val="auto"/>
                <w:kern w:val="21"/>
                <w:szCs w:val="21"/>
                <w:highlight w:val="none"/>
                <w:lang w:val="en-US" w:eastAsia="zh-CN"/>
              </w:rPr>
              <w:t>0</w:t>
            </w:r>
          </w:p>
        </w:tc>
        <w:tc>
          <w:tcPr>
            <w:tcW w:w="1485" w:type="dxa"/>
            <w:vAlign w:val="center"/>
          </w:tcPr>
          <w:p w14:paraId="5245728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snapToGrid w:val="0"/>
                <w:color w:val="auto"/>
                <w:kern w:val="21"/>
                <w:sz w:val="21"/>
                <w:szCs w:val="21"/>
                <w:highlight w:val="none"/>
                <w:lang w:val="en-US" w:eastAsia="zh-CN"/>
              </w:rPr>
            </w:pPr>
          </w:p>
        </w:tc>
        <w:tc>
          <w:tcPr>
            <w:tcW w:w="1575" w:type="dxa"/>
            <w:vAlign w:val="center"/>
          </w:tcPr>
          <w:p w14:paraId="11C3EB7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snapToGrid w:val="0"/>
                <w:color w:val="auto"/>
                <w:kern w:val="21"/>
                <w:sz w:val="21"/>
                <w:szCs w:val="21"/>
                <w:highlight w:val="none"/>
                <w:lang w:val="en-US" w:eastAsia="zh-CN"/>
              </w:rPr>
            </w:pPr>
            <w:r>
              <w:rPr>
                <w:rFonts w:hint="eastAsia" w:cs="Times New Roman"/>
                <w:b w:val="0"/>
                <w:bCs w:val="0"/>
                <w:snapToGrid w:val="0"/>
                <w:color w:val="auto"/>
                <w:kern w:val="21"/>
                <w:szCs w:val="21"/>
                <w:highlight w:val="none"/>
                <w:lang w:val="en-US" w:eastAsia="zh-CN"/>
              </w:rPr>
              <w:t>0</w:t>
            </w:r>
          </w:p>
        </w:tc>
        <w:tc>
          <w:tcPr>
            <w:tcW w:w="1785" w:type="dxa"/>
            <w:vAlign w:val="center"/>
          </w:tcPr>
          <w:p w14:paraId="726605C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snapToGrid w:val="0"/>
                <w:color w:val="auto"/>
                <w:kern w:val="21"/>
                <w:sz w:val="21"/>
                <w:szCs w:val="21"/>
                <w:highlight w:val="none"/>
              </w:rPr>
            </w:pPr>
          </w:p>
        </w:tc>
        <w:tc>
          <w:tcPr>
            <w:tcW w:w="1307" w:type="dxa"/>
            <w:vAlign w:val="center"/>
          </w:tcPr>
          <w:p w14:paraId="6FF5A5D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snapToGrid w:val="0"/>
                <w:color w:val="auto"/>
                <w:kern w:val="21"/>
                <w:sz w:val="21"/>
                <w:szCs w:val="21"/>
                <w:highlight w:val="none"/>
                <w:lang w:val="en-US" w:eastAsia="zh-CN"/>
              </w:rPr>
            </w:pPr>
          </w:p>
        </w:tc>
      </w:tr>
      <w:tr w14:paraId="00513D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202" w:type="dxa"/>
            <w:gridSpan w:val="2"/>
            <w:vMerge w:val="continue"/>
            <w:vAlign w:val="center"/>
          </w:tcPr>
          <w:p w14:paraId="2AF7C755">
            <w:pPr>
              <w:pStyle w:val="42"/>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1"/>
                <w:highlight w:val="none"/>
              </w:rPr>
            </w:pPr>
          </w:p>
        </w:tc>
        <w:tc>
          <w:tcPr>
            <w:tcW w:w="2352" w:type="dxa"/>
            <w:gridSpan w:val="2"/>
            <w:vAlign w:val="center"/>
          </w:tcPr>
          <w:p w14:paraId="17CB4F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rPr>
            </w:pPr>
            <w:r>
              <w:rPr>
                <w:rFonts w:hint="eastAsia" w:ascii="宋体" w:hAnsi="宋体" w:eastAsia="宋体" w:cs="宋体"/>
                <w:i w:val="0"/>
                <w:iCs w:val="0"/>
                <w:color w:val="000000"/>
                <w:kern w:val="0"/>
                <w:sz w:val="21"/>
                <w:szCs w:val="21"/>
                <w:u w:val="none"/>
                <w:lang w:val="en-US" w:eastAsia="zh-CN" w:bidi="ar"/>
              </w:rPr>
              <w:t>废实验耗材</w:t>
            </w:r>
          </w:p>
        </w:tc>
        <w:tc>
          <w:tcPr>
            <w:tcW w:w="1487" w:type="dxa"/>
            <w:vAlign w:val="center"/>
          </w:tcPr>
          <w:p w14:paraId="4D66860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cs="Times New Roman"/>
                <w:b w:val="0"/>
                <w:bCs w:val="0"/>
                <w:snapToGrid w:val="0"/>
                <w:color w:val="auto"/>
                <w:kern w:val="21"/>
                <w:szCs w:val="21"/>
                <w:highlight w:val="none"/>
                <w:lang w:val="en-US" w:eastAsia="zh-CN"/>
              </w:rPr>
              <w:t>0</w:t>
            </w:r>
          </w:p>
        </w:tc>
        <w:tc>
          <w:tcPr>
            <w:tcW w:w="1185" w:type="dxa"/>
            <w:vAlign w:val="center"/>
          </w:tcPr>
          <w:p w14:paraId="248BE6E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cs="Times New Roman"/>
                <w:b w:val="0"/>
                <w:bCs w:val="0"/>
                <w:snapToGrid w:val="0"/>
                <w:color w:val="auto"/>
                <w:kern w:val="21"/>
                <w:szCs w:val="21"/>
                <w:highlight w:val="none"/>
                <w:lang w:val="en-US" w:eastAsia="zh-CN"/>
              </w:rPr>
              <w:t>0</w:t>
            </w:r>
          </w:p>
        </w:tc>
        <w:tc>
          <w:tcPr>
            <w:tcW w:w="1410" w:type="dxa"/>
            <w:vAlign w:val="center"/>
          </w:tcPr>
          <w:p w14:paraId="2CCF5CF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cs="Times New Roman"/>
                <w:b w:val="0"/>
                <w:bCs w:val="0"/>
                <w:snapToGrid w:val="0"/>
                <w:color w:val="auto"/>
                <w:kern w:val="21"/>
                <w:szCs w:val="21"/>
                <w:highlight w:val="none"/>
                <w:lang w:val="en-US" w:eastAsia="zh-CN"/>
              </w:rPr>
              <w:t>0</w:t>
            </w:r>
          </w:p>
        </w:tc>
        <w:tc>
          <w:tcPr>
            <w:tcW w:w="1485" w:type="dxa"/>
            <w:vAlign w:val="center"/>
          </w:tcPr>
          <w:p w14:paraId="29F120F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p>
        </w:tc>
        <w:tc>
          <w:tcPr>
            <w:tcW w:w="1575" w:type="dxa"/>
            <w:vAlign w:val="center"/>
          </w:tcPr>
          <w:p w14:paraId="487097F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cs="Times New Roman"/>
                <w:b w:val="0"/>
                <w:bCs w:val="0"/>
                <w:snapToGrid w:val="0"/>
                <w:color w:val="auto"/>
                <w:kern w:val="21"/>
                <w:szCs w:val="21"/>
                <w:highlight w:val="none"/>
                <w:lang w:val="en-US" w:eastAsia="zh-CN"/>
              </w:rPr>
              <w:t>0</w:t>
            </w:r>
          </w:p>
        </w:tc>
        <w:tc>
          <w:tcPr>
            <w:tcW w:w="1785" w:type="dxa"/>
            <w:vAlign w:val="center"/>
          </w:tcPr>
          <w:p w14:paraId="07DD6D2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lang w:val="en-US"/>
              </w:rPr>
            </w:pPr>
          </w:p>
        </w:tc>
        <w:tc>
          <w:tcPr>
            <w:tcW w:w="1307" w:type="dxa"/>
            <w:vAlign w:val="center"/>
          </w:tcPr>
          <w:p w14:paraId="7D2F4EC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lang w:val="en-US"/>
              </w:rPr>
            </w:pPr>
          </w:p>
        </w:tc>
      </w:tr>
      <w:tr w14:paraId="7E574F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105125C6">
            <w:pPr>
              <w:pStyle w:val="42"/>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1"/>
                <w:highlight w:val="none"/>
              </w:rPr>
            </w:pPr>
          </w:p>
        </w:tc>
        <w:tc>
          <w:tcPr>
            <w:tcW w:w="2352" w:type="dxa"/>
            <w:gridSpan w:val="2"/>
            <w:vAlign w:val="center"/>
          </w:tcPr>
          <w:p w14:paraId="25BF2A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rPr>
            </w:pPr>
            <w:r>
              <w:rPr>
                <w:rFonts w:hint="eastAsia" w:ascii="宋体" w:hAnsi="宋体" w:eastAsia="宋体" w:cs="宋体"/>
                <w:i w:val="0"/>
                <w:iCs w:val="0"/>
                <w:color w:val="000000"/>
                <w:kern w:val="0"/>
                <w:sz w:val="21"/>
                <w:szCs w:val="21"/>
                <w:u w:val="none"/>
                <w:lang w:val="en-US" w:eastAsia="zh-CN" w:bidi="ar"/>
              </w:rPr>
              <w:t>废生物材料</w:t>
            </w:r>
          </w:p>
        </w:tc>
        <w:tc>
          <w:tcPr>
            <w:tcW w:w="1487" w:type="dxa"/>
            <w:vAlign w:val="center"/>
          </w:tcPr>
          <w:p w14:paraId="5BC5BC4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cs="Times New Roman"/>
                <w:b w:val="0"/>
                <w:bCs w:val="0"/>
                <w:snapToGrid w:val="0"/>
                <w:color w:val="auto"/>
                <w:kern w:val="21"/>
                <w:szCs w:val="21"/>
                <w:highlight w:val="none"/>
                <w:lang w:val="en-US" w:eastAsia="zh-CN"/>
              </w:rPr>
              <w:t>0</w:t>
            </w:r>
          </w:p>
        </w:tc>
        <w:tc>
          <w:tcPr>
            <w:tcW w:w="1185" w:type="dxa"/>
            <w:vAlign w:val="center"/>
          </w:tcPr>
          <w:p w14:paraId="716C0EE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cs="Times New Roman"/>
                <w:b w:val="0"/>
                <w:bCs w:val="0"/>
                <w:snapToGrid w:val="0"/>
                <w:color w:val="auto"/>
                <w:kern w:val="21"/>
                <w:szCs w:val="21"/>
                <w:highlight w:val="none"/>
                <w:lang w:val="en-US" w:eastAsia="zh-CN"/>
              </w:rPr>
              <w:t>0</w:t>
            </w:r>
          </w:p>
        </w:tc>
        <w:tc>
          <w:tcPr>
            <w:tcW w:w="1410" w:type="dxa"/>
            <w:vAlign w:val="center"/>
          </w:tcPr>
          <w:p w14:paraId="7B82EA9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cs="Times New Roman"/>
                <w:b w:val="0"/>
                <w:bCs w:val="0"/>
                <w:snapToGrid w:val="0"/>
                <w:color w:val="auto"/>
                <w:kern w:val="21"/>
                <w:szCs w:val="21"/>
                <w:highlight w:val="none"/>
                <w:lang w:val="en-US" w:eastAsia="zh-CN"/>
              </w:rPr>
              <w:t>0</w:t>
            </w:r>
          </w:p>
        </w:tc>
        <w:tc>
          <w:tcPr>
            <w:tcW w:w="1485" w:type="dxa"/>
            <w:vAlign w:val="center"/>
          </w:tcPr>
          <w:p w14:paraId="0CF3E94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p>
        </w:tc>
        <w:tc>
          <w:tcPr>
            <w:tcW w:w="1575" w:type="dxa"/>
            <w:vAlign w:val="center"/>
          </w:tcPr>
          <w:p w14:paraId="2079942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cs="Times New Roman"/>
                <w:b w:val="0"/>
                <w:bCs w:val="0"/>
                <w:snapToGrid w:val="0"/>
                <w:color w:val="auto"/>
                <w:kern w:val="21"/>
                <w:szCs w:val="21"/>
                <w:highlight w:val="none"/>
                <w:lang w:val="en-US" w:eastAsia="zh-CN"/>
              </w:rPr>
              <w:t>0</w:t>
            </w:r>
          </w:p>
        </w:tc>
        <w:tc>
          <w:tcPr>
            <w:tcW w:w="1785" w:type="dxa"/>
            <w:vAlign w:val="center"/>
          </w:tcPr>
          <w:p w14:paraId="66BE285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lang w:val="en-US"/>
              </w:rPr>
            </w:pPr>
          </w:p>
        </w:tc>
        <w:tc>
          <w:tcPr>
            <w:tcW w:w="1307" w:type="dxa"/>
            <w:vAlign w:val="center"/>
          </w:tcPr>
          <w:p w14:paraId="21754F3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lang w:val="en-US"/>
              </w:rPr>
            </w:pPr>
          </w:p>
        </w:tc>
      </w:tr>
      <w:tr w14:paraId="0CB97F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2C34F9D0">
            <w:pPr>
              <w:pStyle w:val="42"/>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1"/>
                <w:highlight w:val="none"/>
              </w:rPr>
            </w:pPr>
          </w:p>
        </w:tc>
        <w:tc>
          <w:tcPr>
            <w:tcW w:w="2352" w:type="dxa"/>
            <w:gridSpan w:val="2"/>
            <w:vAlign w:val="center"/>
          </w:tcPr>
          <w:p w14:paraId="45D508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rPr>
            </w:pPr>
            <w:r>
              <w:rPr>
                <w:rFonts w:hint="eastAsia" w:ascii="宋体" w:hAnsi="宋体" w:eastAsia="宋体" w:cs="宋体"/>
                <w:i w:val="0"/>
                <w:iCs w:val="0"/>
                <w:color w:val="000000"/>
                <w:kern w:val="0"/>
                <w:sz w:val="21"/>
                <w:szCs w:val="21"/>
                <w:u w:val="none"/>
                <w:lang w:val="en-US" w:eastAsia="zh-CN" w:bidi="ar"/>
              </w:rPr>
              <w:t>纯水制备废滤芯</w:t>
            </w:r>
          </w:p>
        </w:tc>
        <w:tc>
          <w:tcPr>
            <w:tcW w:w="1487" w:type="dxa"/>
            <w:vAlign w:val="center"/>
          </w:tcPr>
          <w:p w14:paraId="3661719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cs="Times New Roman"/>
                <w:b w:val="0"/>
                <w:bCs w:val="0"/>
                <w:snapToGrid w:val="0"/>
                <w:color w:val="auto"/>
                <w:kern w:val="21"/>
                <w:szCs w:val="21"/>
                <w:highlight w:val="none"/>
                <w:lang w:val="en-US" w:eastAsia="zh-CN"/>
              </w:rPr>
              <w:t>0</w:t>
            </w:r>
          </w:p>
        </w:tc>
        <w:tc>
          <w:tcPr>
            <w:tcW w:w="1185" w:type="dxa"/>
            <w:vAlign w:val="center"/>
          </w:tcPr>
          <w:p w14:paraId="5237F71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cs="Times New Roman"/>
                <w:b w:val="0"/>
                <w:bCs w:val="0"/>
                <w:snapToGrid w:val="0"/>
                <w:color w:val="auto"/>
                <w:kern w:val="21"/>
                <w:szCs w:val="21"/>
                <w:highlight w:val="none"/>
                <w:lang w:val="en-US" w:eastAsia="zh-CN"/>
              </w:rPr>
              <w:t>0</w:t>
            </w:r>
          </w:p>
        </w:tc>
        <w:tc>
          <w:tcPr>
            <w:tcW w:w="1410" w:type="dxa"/>
            <w:vAlign w:val="center"/>
          </w:tcPr>
          <w:p w14:paraId="5254564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cs="Times New Roman"/>
                <w:b w:val="0"/>
                <w:bCs w:val="0"/>
                <w:snapToGrid w:val="0"/>
                <w:color w:val="auto"/>
                <w:kern w:val="21"/>
                <w:szCs w:val="21"/>
                <w:highlight w:val="none"/>
                <w:lang w:val="en-US" w:eastAsia="zh-CN"/>
              </w:rPr>
              <w:t>0</w:t>
            </w:r>
          </w:p>
        </w:tc>
        <w:tc>
          <w:tcPr>
            <w:tcW w:w="1485" w:type="dxa"/>
            <w:vAlign w:val="center"/>
          </w:tcPr>
          <w:p w14:paraId="23F09DC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p>
        </w:tc>
        <w:tc>
          <w:tcPr>
            <w:tcW w:w="1575" w:type="dxa"/>
            <w:vAlign w:val="center"/>
          </w:tcPr>
          <w:p w14:paraId="2BCDC5D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cs="Times New Roman"/>
                <w:b w:val="0"/>
                <w:bCs w:val="0"/>
                <w:snapToGrid w:val="0"/>
                <w:color w:val="auto"/>
                <w:kern w:val="21"/>
                <w:szCs w:val="21"/>
                <w:highlight w:val="none"/>
                <w:lang w:val="en-US" w:eastAsia="zh-CN"/>
              </w:rPr>
              <w:t>0</w:t>
            </w:r>
          </w:p>
        </w:tc>
        <w:tc>
          <w:tcPr>
            <w:tcW w:w="1785" w:type="dxa"/>
            <w:vAlign w:val="center"/>
          </w:tcPr>
          <w:p w14:paraId="1121460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p>
        </w:tc>
        <w:tc>
          <w:tcPr>
            <w:tcW w:w="1307" w:type="dxa"/>
            <w:vAlign w:val="center"/>
          </w:tcPr>
          <w:p w14:paraId="069D9F0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rPr>
            </w:pPr>
          </w:p>
        </w:tc>
      </w:tr>
      <w:tr w14:paraId="18AAEA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077260BB">
            <w:pPr>
              <w:pStyle w:val="42"/>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1"/>
                <w:highlight w:val="none"/>
              </w:rPr>
            </w:pPr>
          </w:p>
        </w:tc>
        <w:tc>
          <w:tcPr>
            <w:tcW w:w="2352" w:type="dxa"/>
            <w:gridSpan w:val="2"/>
            <w:vAlign w:val="center"/>
          </w:tcPr>
          <w:p w14:paraId="7BF889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rPr>
            </w:pPr>
            <w:r>
              <w:rPr>
                <w:rFonts w:hint="eastAsia" w:ascii="宋体" w:hAnsi="宋体" w:eastAsia="宋体" w:cs="宋体"/>
                <w:i w:val="0"/>
                <w:iCs w:val="0"/>
                <w:color w:val="000000"/>
                <w:kern w:val="0"/>
                <w:sz w:val="21"/>
                <w:szCs w:val="21"/>
                <w:u w:val="none"/>
                <w:lang w:val="en-US" w:eastAsia="zh-CN" w:bidi="ar"/>
              </w:rPr>
              <w:t>生物安全柜废滤芯</w:t>
            </w:r>
          </w:p>
        </w:tc>
        <w:tc>
          <w:tcPr>
            <w:tcW w:w="1487" w:type="dxa"/>
            <w:vAlign w:val="center"/>
          </w:tcPr>
          <w:p w14:paraId="4859707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cs="Times New Roman"/>
                <w:b w:val="0"/>
                <w:bCs w:val="0"/>
                <w:snapToGrid w:val="0"/>
                <w:color w:val="auto"/>
                <w:kern w:val="21"/>
                <w:szCs w:val="21"/>
                <w:highlight w:val="none"/>
                <w:lang w:val="en-US" w:eastAsia="zh-CN"/>
              </w:rPr>
              <w:t>0</w:t>
            </w:r>
          </w:p>
        </w:tc>
        <w:tc>
          <w:tcPr>
            <w:tcW w:w="1185" w:type="dxa"/>
            <w:vAlign w:val="center"/>
          </w:tcPr>
          <w:p w14:paraId="1690D28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cs="Times New Roman"/>
                <w:b w:val="0"/>
                <w:bCs w:val="0"/>
                <w:snapToGrid w:val="0"/>
                <w:color w:val="auto"/>
                <w:kern w:val="21"/>
                <w:szCs w:val="21"/>
                <w:highlight w:val="none"/>
                <w:lang w:val="en-US" w:eastAsia="zh-CN"/>
              </w:rPr>
              <w:t>0</w:t>
            </w:r>
          </w:p>
        </w:tc>
        <w:tc>
          <w:tcPr>
            <w:tcW w:w="1410" w:type="dxa"/>
            <w:vAlign w:val="center"/>
          </w:tcPr>
          <w:p w14:paraId="2F787AA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cs="Times New Roman"/>
                <w:b w:val="0"/>
                <w:bCs w:val="0"/>
                <w:snapToGrid w:val="0"/>
                <w:color w:val="auto"/>
                <w:kern w:val="21"/>
                <w:szCs w:val="21"/>
                <w:highlight w:val="none"/>
                <w:lang w:val="en-US" w:eastAsia="zh-CN"/>
              </w:rPr>
              <w:t>0</w:t>
            </w:r>
          </w:p>
        </w:tc>
        <w:tc>
          <w:tcPr>
            <w:tcW w:w="1485" w:type="dxa"/>
            <w:vAlign w:val="center"/>
          </w:tcPr>
          <w:p w14:paraId="7D5475A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p>
        </w:tc>
        <w:tc>
          <w:tcPr>
            <w:tcW w:w="1575" w:type="dxa"/>
            <w:vAlign w:val="center"/>
          </w:tcPr>
          <w:p w14:paraId="0CDA47A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b w:val="0"/>
                <w:bCs w:val="0"/>
                <w:snapToGrid w:val="0"/>
                <w:color w:val="auto"/>
                <w:kern w:val="21"/>
                <w:szCs w:val="21"/>
                <w:highlight w:val="none"/>
                <w:lang w:val="en-US" w:eastAsia="zh-CN"/>
              </w:rPr>
              <w:t>0</w:t>
            </w:r>
          </w:p>
        </w:tc>
        <w:tc>
          <w:tcPr>
            <w:tcW w:w="1785" w:type="dxa"/>
            <w:vAlign w:val="center"/>
          </w:tcPr>
          <w:p w14:paraId="32A1121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p>
        </w:tc>
        <w:tc>
          <w:tcPr>
            <w:tcW w:w="1307" w:type="dxa"/>
            <w:vAlign w:val="center"/>
          </w:tcPr>
          <w:p w14:paraId="01D0870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lang w:val="en-US"/>
              </w:rPr>
            </w:pPr>
          </w:p>
        </w:tc>
      </w:tr>
      <w:tr w14:paraId="0E40AC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3BD2AB94">
            <w:pPr>
              <w:pStyle w:val="42"/>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1"/>
                <w:highlight w:val="none"/>
              </w:rPr>
            </w:pPr>
          </w:p>
        </w:tc>
        <w:tc>
          <w:tcPr>
            <w:tcW w:w="2352" w:type="dxa"/>
            <w:gridSpan w:val="2"/>
            <w:vAlign w:val="center"/>
          </w:tcPr>
          <w:p w14:paraId="3CF0D9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rPr>
            </w:pPr>
            <w:r>
              <w:rPr>
                <w:rFonts w:hint="eastAsia" w:ascii="宋体" w:hAnsi="宋体" w:eastAsia="宋体" w:cs="宋体"/>
                <w:i w:val="0"/>
                <w:iCs w:val="0"/>
                <w:color w:val="000000"/>
                <w:kern w:val="0"/>
                <w:sz w:val="21"/>
                <w:szCs w:val="21"/>
                <w:u w:val="none"/>
                <w:lang w:val="en-US" w:eastAsia="zh-CN" w:bidi="ar"/>
              </w:rPr>
              <w:t>蛋白纯化废滤芯</w:t>
            </w:r>
          </w:p>
        </w:tc>
        <w:tc>
          <w:tcPr>
            <w:tcW w:w="1487" w:type="dxa"/>
            <w:vAlign w:val="center"/>
          </w:tcPr>
          <w:p w14:paraId="4CE50D4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snapToGrid w:val="0"/>
                <w:color w:val="auto"/>
                <w:kern w:val="21"/>
                <w:sz w:val="21"/>
                <w:szCs w:val="21"/>
                <w:highlight w:val="none"/>
                <w:lang w:val="en-US"/>
              </w:rPr>
            </w:pPr>
            <w:r>
              <w:rPr>
                <w:rFonts w:hint="eastAsia" w:cs="Times New Roman"/>
                <w:b w:val="0"/>
                <w:bCs w:val="0"/>
                <w:snapToGrid w:val="0"/>
                <w:color w:val="auto"/>
                <w:kern w:val="21"/>
                <w:szCs w:val="21"/>
                <w:highlight w:val="none"/>
                <w:lang w:val="en-US" w:eastAsia="zh-CN"/>
              </w:rPr>
              <w:t>0</w:t>
            </w:r>
          </w:p>
        </w:tc>
        <w:tc>
          <w:tcPr>
            <w:tcW w:w="1185" w:type="dxa"/>
            <w:vAlign w:val="center"/>
          </w:tcPr>
          <w:p w14:paraId="1AB09B9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snapToGrid w:val="0"/>
                <w:color w:val="auto"/>
                <w:kern w:val="21"/>
                <w:sz w:val="21"/>
                <w:szCs w:val="21"/>
                <w:highlight w:val="none"/>
                <w:lang w:val="en-US"/>
              </w:rPr>
            </w:pPr>
            <w:r>
              <w:rPr>
                <w:rFonts w:hint="eastAsia" w:cs="Times New Roman"/>
                <w:b w:val="0"/>
                <w:bCs w:val="0"/>
                <w:snapToGrid w:val="0"/>
                <w:color w:val="auto"/>
                <w:kern w:val="21"/>
                <w:szCs w:val="21"/>
                <w:highlight w:val="none"/>
                <w:lang w:val="en-US" w:eastAsia="zh-CN"/>
              </w:rPr>
              <w:t>0</w:t>
            </w:r>
          </w:p>
        </w:tc>
        <w:tc>
          <w:tcPr>
            <w:tcW w:w="1410" w:type="dxa"/>
            <w:vAlign w:val="center"/>
          </w:tcPr>
          <w:p w14:paraId="1C4D86C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snapToGrid w:val="0"/>
                <w:color w:val="auto"/>
                <w:kern w:val="21"/>
                <w:sz w:val="21"/>
                <w:szCs w:val="21"/>
                <w:highlight w:val="none"/>
                <w:lang w:val="en-US" w:eastAsia="zh-CN"/>
              </w:rPr>
            </w:pPr>
            <w:r>
              <w:rPr>
                <w:rFonts w:hint="eastAsia" w:cs="Times New Roman"/>
                <w:b w:val="0"/>
                <w:bCs w:val="0"/>
                <w:snapToGrid w:val="0"/>
                <w:color w:val="auto"/>
                <w:kern w:val="21"/>
                <w:szCs w:val="21"/>
                <w:highlight w:val="none"/>
                <w:lang w:val="en-US" w:eastAsia="zh-CN"/>
              </w:rPr>
              <w:t>0</w:t>
            </w:r>
          </w:p>
        </w:tc>
        <w:tc>
          <w:tcPr>
            <w:tcW w:w="1485" w:type="dxa"/>
            <w:vAlign w:val="center"/>
          </w:tcPr>
          <w:p w14:paraId="20912CE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snapToGrid w:val="0"/>
                <w:color w:val="auto"/>
                <w:kern w:val="21"/>
                <w:sz w:val="21"/>
                <w:szCs w:val="21"/>
                <w:highlight w:val="none"/>
                <w:lang w:val="en-US" w:eastAsia="zh-CN"/>
              </w:rPr>
            </w:pPr>
          </w:p>
        </w:tc>
        <w:tc>
          <w:tcPr>
            <w:tcW w:w="1575" w:type="dxa"/>
            <w:vAlign w:val="center"/>
          </w:tcPr>
          <w:p w14:paraId="1AA04B7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snapToGrid w:val="0"/>
                <w:color w:val="auto"/>
                <w:kern w:val="21"/>
                <w:sz w:val="21"/>
                <w:szCs w:val="21"/>
                <w:highlight w:val="none"/>
                <w:lang w:val="en-US" w:eastAsia="zh-CN"/>
              </w:rPr>
            </w:pPr>
            <w:r>
              <w:rPr>
                <w:rFonts w:hint="eastAsia" w:cs="Times New Roman"/>
                <w:b w:val="0"/>
                <w:bCs w:val="0"/>
                <w:snapToGrid w:val="0"/>
                <w:color w:val="auto"/>
                <w:kern w:val="21"/>
                <w:szCs w:val="21"/>
                <w:highlight w:val="none"/>
                <w:lang w:val="en-US" w:eastAsia="zh-CN"/>
              </w:rPr>
              <w:t>0</w:t>
            </w:r>
          </w:p>
        </w:tc>
        <w:tc>
          <w:tcPr>
            <w:tcW w:w="1785" w:type="dxa"/>
            <w:vAlign w:val="center"/>
          </w:tcPr>
          <w:p w14:paraId="058500B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snapToGrid w:val="0"/>
                <w:color w:val="auto"/>
                <w:kern w:val="21"/>
                <w:sz w:val="21"/>
                <w:szCs w:val="21"/>
                <w:highlight w:val="none"/>
                <w:lang w:val="en-US" w:eastAsia="zh-CN"/>
              </w:rPr>
            </w:pPr>
          </w:p>
        </w:tc>
        <w:tc>
          <w:tcPr>
            <w:tcW w:w="1307" w:type="dxa"/>
            <w:vAlign w:val="center"/>
          </w:tcPr>
          <w:p w14:paraId="0F60B1A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snapToGrid w:val="0"/>
                <w:color w:val="auto"/>
                <w:kern w:val="21"/>
                <w:sz w:val="21"/>
                <w:szCs w:val="21"/>
                <w:highlight w:val="none"/>
                <w:lang w:val="en-US"/>
              </w:rPr>
            </w:pPr>
          </w:p>
        </w:tc>
      </w:tr>
      <w:tr w14:paraId="411100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18D03545">
            <w:pPr>
              <w:pStyle w:val="42"/>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1"/>
                <w:highlight w:val="none"/>
              </w:rPr>
            </w:pPr>
          </w:p>
        </w:tc>
        <w:tc>
          <w:tcPr>
            <w:tcW w:w="2352" w:type="dxa"/>
            <w:gridSpan w:val="2"/>
            <w:vAlign w:val="center"/>
          </w:tcPr>
          <w:p w14:paraId="21837E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rPr>
            </w:pPr>
            <w:r>
              <w:rPr>
                <w:rFonts w:hint="eastAsia" w:ascii="宋体" w:hAnsi="宋体" w:eastAsia="宋体" w:cs="宋体"/>
                <w:i w:val="0"/>
                <w:iCs w:val="0"/>
                <w:color w:val="000000"/>
                <w:kern w:val="0"/>
                <w:sz w:val="21"/>
                <w:szCs w:val="21"/>
                <w:u w:val="none"/>
                <w:lang w:val="en-US" w:eastAsia="zh-CN" w:bidi="ar"/>
              </w:rPr>
              <w:t>废活性炭</w:t>
            </w:r>
          </w:p>
        </w:tc>
        <w:tc>
          <w:tcPr>
            <w:tcW w:w="1487" w:type="dxa"/>
            <w:vAlign w:val="center"/>
          </w:tcPr>
          <w:p w14:paraId="4DFA114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cs="Times New Roman"/>
                <w:b w:val="0"/>
                <w:bCs w:val="0"/>
                <w:snapToGrid w:val="0"/>
                <w:color w:val="auto"/>
                <w:kern w:val="21"/>
                <w:szCs w:val="21"/>
                <w:highlight w:val="none"/>
                <w:lang w:val="en-US" w:eastAsia="zh-CN"/>
              </w:rPr>
              <w:t>0</w:t>
            </w:r>
          </w:p>
        </w:tc>
        <w:tc>
          <w:tcPr>
            <w:tcW w:w="1185" w:type="dxa"/>
            <w:vAlign w:val="center"/>
          </w:tcPr>
          <w:p w14:paraId="667B9BD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cs="Times New Roman"/>
                <w:b w:val="0"/>
                <w:bCs w:val="0"/>
                <w:snapToGrid w:val="0"/>
                <w:color w:val="auto"/>
                <w:kern w:val="21"/>
                <w:szCs w:val="21"/>
                <w:highlight w:val="none"/>
                <w:lang w:val="en-US" w:eastAsia="zh-CN"/>
              </w:rPr>
              <w:t>0</w:t>
            </w:r>
          </w:p>
        </w:tc>
        <w:tc>
          <w:tcPr>
            <w:tcW w:w="1410" w:type="dxa"/>
            <w:vAlign w:val="center"/>
          </w:tcPr>
          <w:p w14:paraId="3C7029C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rPr>
            </w:pPr>
            <w:r>
              <w:rPr>
                <w:rFonts w:hint="eastAsia" w:cs="Times New Roman"/>
                <w:b w:val="0"/>
                <w:bCs w:val="0"/>
                <w:snapToGrid w:val="0"/>
                <w:color w:val="auto"/>
                <w:kern w:val="21"/>
                <w:szCs w:val="21"/>
                <w:highlight w:val="none"/>
                <w:lang w:val="en-US" w:eastAsia="zh-CN"/>
              </w:rPr>
              <w:t>0</w:t>
            </w:r>
          </w:p>
        </w:tc>
        <w:tc>
          <w:tcPr>
            <w:tcW w:w="1485" w:type="dxa"/>
            <w:vAlign w:val="center"/>
          </w:tcPr>
          <w:p w14:paraId="43D587C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1.841</w:t>
            </w:r>
          </w:p>
        </w:tc>
        <w:tc>
          <w:tcPr>
            <w:tcW w:w="1575" w:type="dxa"/>
            <w:vAlign w:val="center"/>
          </w:tcPr>
          <w:p w14:paraId="61EA449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b w:val="0"/>
                <w:bCs w:val="0"/>
                <w:snapToGrid w:val="0"/>
                <w:color w:val="auto"/>
                <w:kern w:val="21"/>
                <w:szCs w:val="21"/>
                <w:highlight w:val="none"/>
                <w:lang w:val="en-US" w:eastAsia="zh-CN"/>
              </w:rPr>
              <w:t>0</w:t>
            </w:r>
          </w:p>
        </w:tc>
        <w:tc>
          <w:tcPr>
            <w:tcW w:w="1785" w:type="dxa"/>
            <w:vAlign w:val="center"/>
          </w:tcPr>
          <w:p w14:paraId="5562D63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1.841</w:t>
            </w:r>
          </w:p>
        </w:tc>
        <w:tc>
          <w:tcPr>
            <w:tcW w:w="1307" w:type="dxa"/>
            <w:vAlign w:val="center"/>
          </w:tcPr>
          <w:p w14:paraId="5A60E6C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 w:val="21"/>
                <w:szCs w:val="21"/>
                <w:highlight w:val="none"/>
                <w:lang w:val="en-US"/>
              </w:rPr>
            </w:pPr>
            <w:r>
              <w:rPr>
                <w:rFonts w:hint="eastAsia" w:cs="Times New Roman"/>
                <w:snapToGrid w:val="0"/>
                <w:color w:val="auto"/>
                <w:kern w:val="21"/>
                <w:sz w:val="21"/>
                <w:szCs w:val="21"/>
                <w:highlight w:val="none"/>
                <w:lang w:val="en-US" w:eastAsia="zh-CN"/>
              </w:rPr>
              <w:t>+1.841</w:t>
            </w:r>
          </w:p>
        </w:tc>
      </w:tr>
      <w:tr w14:paraId="017048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Align w:val="center"/>
          </w:tcPr>
          <w:p w14:paraId="641109EF">
            <w:pPr>
              <w:pStyle w:val="4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eastAsia" w:cs="Times New Roman"/>
                <w:b w:val="0"/>
                <w:bCs w:val="0"/>
                <w:snapToGrid w:val="0"/>
                <w:color w:val="auto"/>
                <w:kern w:val="21"/>
                <w:sz w:val="21"/>
                <w:szCs w:val="21"/>
                <w:highlight w:val="none"/>
                <w:lang w:val="en-US" w:eastAsia="zh-CN"/>
              </w:rPr>
              <w:t>生活垃圾</w:t>
            </w:r>
          </w:p>
        </w:tc>
        <w:tc>
          <w:tcPr>
            <w:tcW w:w="2352" w:type="dxa"/>
            <w:gridSpan w:val="2"/>
            <w:vAlign w:val="bottom"/>
          </w:tcPr>
          <w:p w14:paraId="3497C1BC">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生活垃圾</w:t>
            </w:r>
          </w:p>
        </w:tc>
        <w:tc>
          <w:tcPr>
            <w:tcW w:w="1487" w:type="dxa"/>
            <w:vAlign w:val="center"/>
          </w:tcPr>
          <w:p w14:paraId="4A5B5A2D">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snapToGrid w:val="0"/>
                <w:color w:val="auto"/>
                <w:kern w:val="21"/>
                <w:szCs w:val="21"/>
                <w:highlight w:val="none"/>
                <w:lang w:val="en-US" w:eastAsia="zh-CN"/>
              </w:rPr>
              <w:t>0</w:t>
            </w:r>
          </w:p>
        </w:tc>
        <w:tc>
          <w:tcPr>
            <w:tcW w:w="1185" w:type="dxa"/>
            <w:vAlign w:val="center"/>
          </w:tcPr>
          <w:p w14:paraId="2FEC61D0">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snapToGrid w:val="0"/>
                <w:color w:val="auto"/>
                <w:kern w:val="21"/>
                <w:szCs w:val="21"/>
                <w:highlight w:val="none"/>
                <w:lang w:val="en-US" w:eastAsia="zh-CN"/>
              </w:rPr>
              <w:t>0</w:t>
            </w:r>
          </w:p>
        </w:tc>
        <w:tc>
          <w:tcPr>
            <w:tcW w:w="1410" w:type="dxa"/>
            <w:vAlign w:val="center"/>
          </w:tcPr>
          <w:p w14:paraId="7DD6DBF7">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 w:val="0"/>
                <w:bCs w:val="0"/>
                <w:snapToGrid w:val="0"/>
                <w:color w:val="auto"/>
                <w:kern w:val="21"/>
                <w:sz w:val="21"/>
                <w:szCs w:val="21"/>
                <w:highlight w:val="none"/>
                <w:lang w:val="en-US" w:eastAsia="zh-CN"/>
              </w:rPr>
            </w:pPr>
            <w:r>
              <w:rPr>
                <w:rFonts w:hint="eastAsia" w:cs="Times New Roman"/>
                <w:b w:val="0"/>
                <w:bCs w:val="0"/>
                <w:snapToGrid w:val="0"/>
                <w:color w:val="auto"/>
                <w:kern w:val="21"/>
                <w:szCs w:val="21"/>
                <w:highlight w:val="none"/>
                <w:lang w:val="en-US" w:eastAsia="zh-CN"/>
              </w:rPr>
              <w:t>0</w:t>
            </w:r>
          </w:p>
        </w:tc>
        <w:tc>
          <w:tcPr>
            <w:tcW w:w="1485" w:type="dxa"/>
            <w:vAlign w:val="center"/>
          </w:tcPr>
          <w:p w14:paraId="25713D80">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i w:val="0"/>
                <w:iCs w:val="0"/>
                <w:color w:val="auto"/>
                <w:kern w:val="0"/>
                <w:sz w:val="21"/>
                <w:szCs w:val="21"/>
                <w:highlight w:val="none"/>
                <w:u w:val="none"/>
                <w:lang w:val="en-US" w:eastAsia="zh-CN" w:bidi="ar"/>
              </w:rPr>
              <w:t>3.075</w:t>
            </w:r>
          </w:p>
        </w:tc>
        <w:tc>
          <w:tcPr>
            <w:tcW w:w="1575" w:type="dxa"/>
            <w:vAlign w:val="center"/>
          </w:tcPr>
          <w:p w14:paraId="5AECFC04">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 w:val="0"/>
                <w:bCs w:val="0"/>
                <w:snapToGrid w:val="0"/>
                <w:color w:val="auto"/>
                <w:kern w:val="21"/>
                <w:sz w:val="21"/>
                <w:szCs w:val="21"/>
                <w:highlight w:val="none"/>
                <w:lang w:val="en-US" w:eastAsia="zh-CN"/>
              </w:rPr>
            </w:pPr>
            <w:r>
              <w:rPr>
                <w:rFonts w:hint="eastAsia" w:cs="Times New Roman"/>
                <w:b w:val="0"/>
                <w:bCs w:val="0"/>
                <w:snapToGrid w:val="0"/>
                <w:color w:val="auto"/>
                <w:kern w:val="21"/>
                <w:szCs w:val="21"/>
                <w:highlight w:val="none"/>
                <w:lang w:val="en-US" w:eastAsia="zh-CN"/>
              </w:rPr>
              <w:t>0</w:t>
            </w:r>
          </w:p>
        </w:tc>
        <w:tc>
          <w:tcPr>
            <w:tcW w:w="1785" w:type="dxa"/>
            <w:vAlign w:val="center"/>
          </w:tcPr>
          <w:p w14:paraId="226D630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3.075</w:t>
            </w:r>
          </w:p>
        </w:tc>
        <w:tc>
          <w:tcPr>
            <w:tcW w:w="1307" w:type="dxa"/>
            <w:vAlign w:val="center"/>
          </w:tcPr>
          <w:p w14:paraId="0A553EBE">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+3.075</w:t>
            </w:r>
          </w:p>
        </w:tc>
      </w:tr>
    </w:tbl>
    <w:p w14:paraId="18AF18BD">
      <w:pPr>
        <w:pStyle w:val="42"/>
        <w:spacing w:before="255" w:beforeLines="80" w:after="24"/>
        <w:jc w:val="left"/>
        <w:rPr>
          <w:rFonts w:ascii="Times New Roman" w:hAnsi="Times New Roman" w:eastAsia="宋体"/>
          <w:color w:val="auto"/>
          <w:highlight w:val="none"/>
        </w:rPr>
        <w:sectPr>
          <w:footerReference r:id="rId6" w:type="default"/>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0" w:num="1"/>
          <w:docGrid w:type="linesAndChars" w:linePitch="319" w:charSpace="0"/>
        </w:sectPr>
      </w:pPr>
      <w:r>
        <w:rPr>
          <w:rFonts w:ascii="Times New Roman" w:hAnsi="Times New Roman" w:eastAsia="宋体"/>
          <w:snapToGrid w:val="0"/>
          <w:color w:val="auto"/>
          <w:kern w:val="21"/>
          <w:szCs w:val="21"/>
          <w:highlight w:val="none"/>
        </w:rPr>
        <w:t>注：</w:t>
      </w:r>
      <w:r>
        <w:rPr>
          <w:rFonts w:ascii="Times New Roman" w:hAnsi="Times New Roman" w:eastAsia="宋体"/>
          <w:snapToGrid w:val="0"/>
          <w:color w:val="auto"/>
          <w:spacing w:val="-16"/>
          <w:kern w:val="21"/>
          <w:szCs w:val="21"/>
          <w:highlight w:val="none"/>
        </w:rPr>
        <w:fldChar w:fldCharType="begin"/>
      </w:r>
      <w:r>
        <w:rPr>
          <w:rFonts w:ascii="Times New Roman" w:hAnsi="Times New Roman" w:eastAsia="宋体"/>
          <w:snapToGrid w:val="0"/>
          <w:color w:val="auto"/>
          <w:spacing w:val="-16"/>
          <w:kern w:val="21"/>
          <w:szCs w:val="21"/>
          <w:highlight w:val="none"/>
        </w:rPr>
        <w:instrText xml:space="preserve"> = 6 \* GB3 \* MERGEFORMAT </w:instrText>
      </w:r>
      <w:r>
        <w:rPr>
          <w:rFonts w:ascii="Times New Roman" w:hAnsi="Times New Roman" w:eastAsia="宋体"/>
          <w:snapToGrid w:val="0"/>
          <w:color w:val="auto"/>
          <w:spacing w:val="-16"/>
          <w:kern w:val="21"/>
          <w:szCs w:val="21"/>
          <w:highlight w:val="none"/>
        </w:rPr>
        <w:fldChar w:fldCharType="separate"/>
      </w:r>
      <w:r>
        <w:rPr>
          <w:rFonts w:ascii="Times New Roman" w:hAnsi="Times New Roman" w:eastAsia="宋体"/>
          <w:color w:val="auto"/>
          <w:szCs w:val="21"/>
          <w:highlight w:val="none"/>
        </w:rPr>
        <w:t>⑥</w:t>
      </w:r>
      <w:r>
        <w:rPr>
          <w:rFonts w:ascii="Times New Roman" w:hAnsi="Times New Roman" w:eastAsia="宋体"/>
          <w:snapToGrid w:val="0"/>
          <w:color w:val="auto"/>
          <w:spacing w:val="-16"/>
          <w:kern w:val="21"/>
          <w:szCs w:val="21"/>
          <w:highlight w:val="none"/>
        </w:rPr>
        <w:fldChar w:fldCharType="end"/>
      </w:r>
      <w:r>
        <w:rPr>
          <w:rFonts w:ascii="Times New Roman" w:hAnsi="Times New Roman" w:eastAsia="宋体"/>
          <w:snapToGrid w:val="0"/>
          <w:color w:val="auto"/>
          <w:spacing w:val="-16"/>
          <w:kern w:val="21"/>
          <w:szCs w:val="21"/>
          <w:highlight w:val="none"/>
        </w:rPr>
        <w:t>=</w:t>
      </w:r>
      <w:r>
        <w:rPr>
          <w:rFonts w:ascii="Times New Roman" w:hAnsi="Times New Roman" w:eastAsia="宋体"/>
          <w:snapToGrid w:val="0"/>
          <w:color w:val="auto"/>
          <w:spacing w:val="-6"/>
          <w:kern w:val="21"/>
          <w:szCs w:val="21"/>
          <w:highlight w:val="none"/>
        </w:rPr>
        <w:fldChar w:fldCharType="begin"/>
      </w:r>
      <w:r>
        <w:rPr>
          <w:rFonts w:ascii="Times New Roman" w:hAnsi="Times New Roman" w:eastAsia="宋体"/>
          <w:snapToGrid w:val="0"/>
          <w:color w:val="auto"/>
          <w:spacing w:val="-6"/>
          <w:kern w:val="21"/>
          <w:szCs w:val="21"/>
          <w:highlight w:val="none"/>
        </w:rPr>
        <w:instrText xml:space="preserve"> = 1 \* GB3 \* MERGEFORMAT </w:instrText>
      </w:r>
      <w:r>
        <w:rPr>
          <w:rFonts w:ascii="Times New Roman" w:hAnsi="Times New Roman" w:eastAsia="宋体"/>
          <w:snapToGrid w:val="0"/>
          <w:color w:val="auto"/>
          <w:spacing w:val="-6"/>
          <w:kern w:val="21"/>
          <w:szCs w:val="21"/>
          <w:highlight w:val="none"/>
        </w:rPr>
        <w:fldChar w:fldCharType="separate"/>
      </w:r>
      <w:r>
        <w:rPr>
          <w:rFonts w:ascii="Times New Roman" w:hAnsi="Times New Roman" w:eastAsia="宋体"/>
          <w:color w:val="auto"/>
          <w:szCs w:val="21"/>
          <w:highlight w:val="none"/>
        </w:rPr>
        <w:t>①</w:t>
      </w:r>
      <w:r>
        <w:rPr>
          <w:rFonts w:ascii="Times New Roman" w:hAnsi="Times New Roman" w:eastAsia="宋体"/>
          <w:snapToGrid w:val="0"/>
          <w:color w:val="auto"/>
          <w:spacing w:val="-6"/>
          <w:kern w:val="21"/>
          <w:szCs w:val="21"/>
          <w:highlight w:val="none"/>
        </w:rPr>
        <w:fldChar w:fldCharType="end"/>
      </w:r>
      <w:r>
        <w:rPr>
          <w:rFonts w:ascii="Times New Roman" w:hAnsi="Times New Roman" w:eastAsia="宋体"/>
          <w:snapToGrid w:val="0"/>
          <w:color w:val="auto"/>
          <w:spacing w:val="-6"/>
          <w:kern w:val="21"/>
          <w:szCs w:val="21"/>
          <w:highlight w:val="none"/>
        </w:rPr>
        <w:t>+</w:t>
      </w:r>
      <w:r>
        <w:rPr>
          <w:rFonts w:ascii="Times New Roman" w:hAnsi="Times New Roman" w:eastAsia="宋体"/>
          <w:snapToGrid w:val="0"/>
          <w:color w:val="auto"/>
          <w:spacing w:val="-6"/>
          <w:kern w:val="21"/>
          <w:szCs w:val="21"/>
          <w:highlight w:val="none"/>
        </w:rPr>
        <w:fldChar w:fldCharType="begin"/>
      </w:r>
      <w:r>
        <w:rPr>
          <w:rFonts w:ascii="Times New Roman" w:hAnsi="Times New Roman" w:eastAsia="宋体"/>
          <w:snapToGrid w:val="0"/>
          <w:color w:val="auto"/>
          <w:spacing w:val="-6"/>
          <w:kern w:val="21"/>
          <w:szCs w:val="21"/>
          <w:highlight w:val="none"/>
        </w:rPr>
        <w:instrText xml:space="preserve"> = 3 \* GB3 \* MERGEFORMAT </w:instrText>
      </w:r>
      <w:r>
        <w:rPr>
          <w:rFonts w:ascii="Times New Roman" w:hAnsi="Times New Roman" w:eastAsia="宋体"/>
          <w:snapToGrid w:val="0"/>
          <w:color w:val="auto"/>
          <w:spacing w:val="-6"/>
          <w:kern w:val="21"/>
          <w:szCs w:val="21"/>
          <w:highlight w:val="none"/>
        </w:rPr>
        <w:fldChar w:fldCharType="separate"/>
      </w:r>
      <w:r>
        <w:rPr>
          <w:rFonts w:ascii="Times New Roman" w:hAnsi="Times New Roman" w:eastAsia="宋体"/>
          <w:color w:val="auto"/>
          <w:szCs w:val="21"/>
          <w:highlight w:val="none"/>
        </w:rPr>
        <w:t>③</w:t>
      </w:r>
      <w:r>
        <w:rPr>
          <w:rFonts w:ascii="Times New Roman" w:hAnsi="Times New Roman" w:eastAsia="宋体"/>
          <w:snapToGrid w:val="0"/>
          <w:color w:val="auto"/>
          <w:spacing w:val="-6"/>
          <w:kern w:val="21"/>
          <w:szCs w:val="21"/>
          <w:highlight w:val="none"/>
        </w:rPr>
        <w:fldChar w:fldCharType="end"/>
      </w:r>
      <w:r>
        <w:rPr>
          <w:rFonts w:ascii="Times New Roman" w:hAnsi="Times New Roman" w:eastAsia="宋体"/>
          <w:snapToGrid w:val="0"/>
          <w:color w:val="auto"/>
          <w:spacing w:val="-6"/>
          <w:kern w:val="21"/>
          <w:szCs w:val="21"/>
          <w:highlight w:val="none"/>
        </w:rPr>
        <w:t>+</w:t>
      </w:r>
      <w:r>
        <w:rPr>
          <w:rFonts w:ascii="Times New Roman" w:hAnsi="Times New Roman" w:eastAsia="宋体"/>
          <w:snapToGrid w:val="0"/>
          <w:color w:val="auto"/>
          <w:spacing w:val="-6"/>
          <w:kern w:val="21"/>
          <w:szCs w:val="21"/>
          <w:highlight w:val="none"/>
        </w:rPr>
        <w:fldChar w:fldCharType="begin"/>
      </w:r>
      <w:r>
        <w:rPr>
          <w:rFonts w:ascii="Times New Roman" w:hAnsi="Times New Roman" w:eastAsia="宋体"/>
          <w:snapToGrid w:val="0"/>
          <w:color w:val="auto"/>
          <w:spacing w:val="-6"/>
          <w:kern w:val="21"/>
          <w:szCs w:val="21"/>
          <w:highlight w:val="none"/>
        </w:rPr>
        <w:instrText xml:space="preserve"> = 4 \* GB3 \* MERGEFORMAT </w:instrText>
      </w:r>
      <w:r>
        <w:rPr>
          <w:rFonts w:ascii="Times New Roman" w:hAnsi="Times New Roman" w:eastAsia="宋体"/>
          <w:snapToGrid w:val="0"/>
          <w:color w:val="auto"/>
          <w:spacing w:val="-6"/>
          <w:kern w:val="21"/>
          <w:szCs w:val="21"/>
          <w:highlight w:val="none"/>
        </w:rPr>
        <w:fldChar w:fldCharType="separate"/>
      </w:r>
      <w:r>
        <w:rPr>
          <w:rFonts w:ascii="Times New Roman" w:hAnsi="Times New Roman" w:eastAsia="宋体"/>
          <w:color w:val="auto"/>
          <w:szCs w:val="21"/>
          <w:highlight w:val="none"/>
        </w:rPr>
        <w:t>④</w:t>
      </w:r>
      <w:r>
        <w:rPr>
          <w:rFonts w:ascii="Times New Roman" w:hAnsi="Times New Roman" w:eastAsia="宋体"/>
          <w:snapToGrid w:val="0"/>
          <w:color w:val="auto"/>
          <w:spacing w:val="-6"/>
          <w:kern w:val="21"/>
          <w:szCs w:val="21"/>
          <w:highlight w:val="none"/>
        </w:rPr>
        <w:fldChar w:fldCharType="end"/>
      </w:r>
      <w:r>
        <w:rPr>
          <w:rFonts w:ascii="Times New Roman" w:hAnsi="Times New Roman" w:eastAsia="宋体"/>
          <w:snapToGrid w:val="0"/>
          <w:color w:val="auto"/>
          <w:spacing w:val="-6"/>
          <w:kern w:val="21"/>
          <w:szCs w:val="21"/>
          <w:highlight w:val="none"/>
        </w:rPr>
        <w:t>-</w:t>
      </w:r>
      <w:r>
        <w:rPr>
          <w:rFonts w:ascii="Times New Roman" w:hAnsi="Times New Roman" w:eastAsia="宋体"/>
          <w:snapToGrid w:val="0"/>
          <w:color w:val="auto"/>
          <w:spacing w:val="-16"/>
          <w:kern w:val="21"/>
          <w:szCs w:val="21"/>
          <w:highlight w:val="none"/>
        </w:rPr>
        <w:fldChar w:fldCharType="begin"/>
      </w:r>
      <w:r>
        <w:rPr>
          <w:rFonts w:ascii="Times New Roman" w:hAnsi="Times New Roman" w:eastAsia="宋体"/>
          <w:snapToGrid w:val="0"/>
          <w:color w:val="auto"/>
          <w:spacing w:val="-16"/>
          <w:kern w:val="21"/>
          <w:szCs w:val="21"/>
          <w:highlight w:val="none"/>
        </w:rPr>
        <w:instrText xml:space="preserve"> = 5 \* GB3 \* MERGEFORMAT </w:instrText>
      </w:r>
      <w:r>
        <w:rPr>
          <w:rFonts w:ascii="Times New Roman" w:hAnsi="Times New Roman" w:eastAsia="宋体"/>
          <w:snapToGrid w:val="0"/>
          <w:color w:val="auto"/>
          <w:spacing w:val="-16"/>
          <w:kern w:val="21"/>
          <w:szCs w:val="21"/>
          <w:highlight w:val="none"/>
        </w:rPr>
        <w:fldChar w:fldCharType="separate"/>
      </w:r>
      <w:r>
        <w:rPr>
          <w:rFonts w:ascii="Times New Roman" w:hAnsi="Times New Roman" w:eastAsia="宋体"/>
          <w:color w:val="auto"/>
          <w:szCs w:val="21"/>
          <w:highlight w:val="none"/>
        </w:rPr>
        <w:t>⑤</w:t>
      </w:r>
      <w:r>
        <w:rPr>
          <w:rFonts w:ascii="Times New Roman" w:hAnsi="Times New Roman" w:eastAsia="宋体"/>
          <w:snapToGrid w:val="0"/>
          <w:color w:val="auto"/>
          <w:spacing w:val="-16"/>
          <w:kern w:val="21"/>
          <w:szCs w:val="21"/>
          <w:highlight w:val="none"/>
        </w:rPr>
        <w:fldChar w:fldCharType="end"/>
      </w:r>
      <w:r>
        <w:rPr>
          <w:rFonts w:ascii="Times New Roman" w:hAnsi="Times New Roman" w:eastAsia="宋体"/>
          <w:snapToGrid w:val="0"/>
          <w:color w:val="auto"/>
          <w:spacing w:val="-16"/>
          <w:kern w:val="21"/>
          <w:szCs w:val="21"/>
          <w:highlight w:val="none"/>
        </w:rPr>
        <w:t>；</w:t>
      </w:r>
      <w:r>
        <w:rPr>
          <w:rFonts w:ascii="Times New Roman" w:hAnsi="Times New Roman" w:eastAsia="宋体"/>
          <w:snapToGrid w:val="0"/>
          <w:color w:val="auto"/>
          <w:spacing w:val="-6"/>
          <w:kern w:val="21"/>
          <w:szCs w:val="21"/>
          <w:highlight w:val="none"/>
        </w:rPr>
        <w:fldChar w:fldCharType="begin"/>
      </w:r>
      <w:r>
        <w:rPr>
          <w:rFonts w:ascii="Times New Roman" w:hAnsi="Times New Roman" w:eastAsia="宋体"/>
          <w:snapToGrid w:val="0"/>
          <w:color w:val="auto"/>
          <w:spacing w:val="-6"/>
          <w:kern w:val="21"/>
          <w:szCs w:val="21"/>
          <w:highlight w:val="none"/>
        </w:rPr>
        <w:instrText xml:space="preserve"> = 7 \* GB3 \* MERGEFORMAT </w:instrText>
      </w:r>
      <w:r>
        <w:rPr>
          <w:rFonts w:ascii="Times New Roman" w:hAnsi="Times New Roman" w:eastAsia="宋体"/>
          <w:snapToGrid w:val="0"/>
          <w:color w:val="auto"/>
          <w:spacing w:val="-6"/>
          <w:kern w:val="21"/>
          <w:szCs w:val="21"/>
          <w:highlight w:val="none"/>
        </w:rPr>
        <w:fldChar w:fldCharType="separate"/>
      </w:r>
      <w:r>
        <w:rPr>
          <w:rFonts w:ascii="Times New Roman" w:hAnsi="Times New Roman" w:eastAsia="宋体"/>
          <w:color w:val="auto"/>
          <w:szCs w:val="21"/>
          <w:highlight w:val="none"/>
        </w:rPr>
        <w:t>⑦</w:t>
      </w:r>
      <w:r>
        <w:rPr>
          <w:rFonts w:ascii="Times New Roman" w:hAnsi="Times New Roman" w:eastAsia="宋体"/>
          <w:snapToGrid w:val="0"/>
          <w:color w:val="auto"/>
          <w:spacing w:val="-6"/>
          <w:kern w:val="21"/>
          <w:szCs w:val="21"/>
          <w:highlight w:val="none"/>
        </w:rPr>
        <w:fldChar w:fldCharType="end"/>
      </w:r>
      <w:r>
        <w:rPr>
          <w:rFonts w:ascii="Times New Roman" w:hAnsi="Times New Roman" w:eastAsia="宋体"/>
          <w:snapToGrid w:val="0"/>
          <w:color w:val="auto"/>
          <w:spacing w:val="-6"/>
          <w:kern w:val="21"/>
          <w:szCs w:val="21"/>
          <w:highlight w:val="none"/>
        </w:rPr>
        <w:t>=</w:t>
      </w:r>
      <w:r>
        <w:rPr>
          <w:rFonts w:ascii="Times New Roman" w:hAnsi="Times New Roman" w:eastAsia="宋体"/>
          <w:snapToGrid w:val="0"/>
          <w:color w:val="auto"/>
          <w:spacing w:val="-16"/>
          <w:kern w:val="21"/>
          <w:szCs w:val="21"/>
          <w:highlight w:val="none"/>
        </w:rPr>
        <w:fldChar w:fldCharType="begin"/>
      </w:r>
      <w:r>
        <w:rPr>
          <w:rFonts w:ascii="Times New Roman" w:hAnsi="Times New Roman" w:eastAsia="宋体"/>
          <w:snapToGrid w:val="0"/>
          <w:color w:val="auto"/>
          <w:spacing w:val="-16"/>
          <w:kern w:val="21"/>
          <w:szCs w:val="21"/>
          <w:highlight w:val="none"/>
        </w:rPr>
        <w:instrText xml:space="preserve"> = 6 \* GB3 \* MERGEFORMAT </w:instrText>
      </w:r>
      <w:r>
        <w:rPr>
          <w:rFonts w:ascii="Times New Roman" w:hAnsi="Times New Roman" w:eastAsia="宋体"/>
          <w:snapToGrid w:val="0"/>
          <w:color w:val="auto"/>
          <w:spacing w:val="-16"/>
          <w:kern w:val="21"/>
          <w:szCs w:val="21"/>
          <w:highlight w:val="none"/>
        </w:rPr>
        <w:fldChar w:fldCharType="separate"/>
      </w:r>
      <w:r>
        <w:rPr>
          <w:rFonts w:ascii="Times New Roman" w:hAnsi="Times New Roman" w:eastAsia="宋体"/>
          <w:color w:val="auto"/>
          <w:szCs w:val="21"/>
          <w:highlight w:val="none"/>
        </w:rPr>
        <w:t>⑥</w:t>
      </w:r>
      <w:r>
        <w:rPr>
          <w:rFonts w:ascii="Times New Roman" w:hAnsi="Times New Roman" w:eastAsia="宋体"/>
          <w:snapToGrid w:val="0"/>
          <w:color w:val="auto"/>
          <w:spacing w:val="-16"/>
          <w:kern w:val="21"/>
          <w:szCs w:val="21"/>
          <w:highlight w:val="none"/>
        </w:rPr>
        <w:fldChar w:fldCharType="end"/>
      </w:r>
      <w:r>
        <w:rPr>
          <w:rFonts w:ascii="Times New Roman" w:hAnsi="Times New Roman" w:eastAsia="宋体"/>
          <w:snapToGrid w:val="0"/>
          <w:color w:val="auto"/>
          <w:spacing w:val="-16"/>
          <w:kern w:val="21"/>
          <w:szCs w:val="21"/>
          <w:highlight w:val="none"/>
        </w:rPr>
        <w:t>-</w:t>
      </w:r>
      <w:r>
        <w:rPr>
          <w:rFonts w:ascii="Times New Roman" w:hAnsi="Times New Roman" w:eastAsia="宋体"/>
          <w:snapToGrid w:val="0"/>
          <w:color w:val="auto"/>
          <w:spacing w:val="-6"/>
          <w:kern w:val="21"/>
          <w:szCs w:val="21"/>
          <w:highlight w:val="none"/>
        </w:rPr>
        <w:fldChar w:fldCharType="begin"/>
      </w:r>
      <w:r>
        <w:rPr>
          <w:rFonts w:ascii="Times New Roman" w:hAnsi="Times New Roman" w:eastAsia="宋体"/>
          <w:snapToGrid w:val="0"/>
          <w:color w:val="auto"/>
          <w:spacing w:val="-6"/>
          <w:kern w:val="21"/>
          <w:szCs w:val="21"/>
          <w:highlight w:val="none"/>
        </w:rPr>
        <w:instrText xml:space="preserve"> = 1 \* GB3 \* MERGEFORMAT </w:instrText>
      </w:r>
      <w:r>
        <w:rPr>
          <w:rFonts w:ascii="Times New Roman" w:hAnsi="Times New Roman" w:eastAsia="宋体"/>
          <w:snapToGrid w:val="0"/>
          <w:color w:val="auto"/>
          <w:spacing w:val="-6"/>
          <w:kern w:val="21"/>
          <w:szCs w:val="21"/>
          <w:highlight w:val="none"/>
        </w:rPr>
        <w:fldChar w:fldCharType="separate"/>
      </w:r>
      <w:r>
        <w:rPr>
          <w:rFonts w:ascii="Times New Roman" w:hAnsi="Times New Roman" w:eastAsia="宋体"/>
          <w:color w:val="auto"/>
          <w:szCs w:val="21"/>
          <w:highlight w:val="none"/>
        </w:rPr>
        <w:t>①</w:t>
      </w:r>
      <w:r>
        <w:rPr>
          <w:rFonts w:ascii="Times New Roman" w:hAnsi="Times New Roman" w:eastAsia="宋体"/>
          <w:snapToGrid w:val="0"/>
          <w:color w:val="auto"/>
          <w:spacing w:val="-6"/>
          <w:kern w:val="21"/>
          <w:szCs w:val="21"/>
          <w:highlight w:val="none"/>
        </w:rPr>
        <w:fldChar w:fldCharType="end"/>
      </w:r>
    </w:p>
    <w:p w14:paraId="70582436">
      <w:pPr>
        <w:pStyle w:val="12"/>
        <w:keepNext w:val="0"/>
        <w:keepLines w:val="0"/>
        <w:pageBreakBefore w:val="0"/>
        <w:widowControl/>
        <w:kinsoku/>
        <w:wordWrap/>
        <w:overflowPunct/>
        <w:topLinePunct w:val="0"/>
        <w:autoSpaceDE/>
        <w:autoSpaceDN/>
        <w:bidi w:val="0"/>
        <w:adjustRightInd/>
        <w:snapToGrid w:val="0"/>
        <w:spacing w:before="120" w:after="0" w:line="260" w:lineRule="auto"/>
        <w:ind w:right="113"/>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bCs/>
          <w:color w:val="auto"/>
          <w:kern w:val="2"/>
          <w:sz w:val="28"/>
          <w:szCs w:val="28"/>
          <w:highlight w:val="none"/>
          <w:lang w:val="en-US" w:eastAsia="zh-CN" w:bidi="ar-SA"/>
        </w:rPr>
        <w:t>附图目录</w:t>
      </w:r>
    </w:p>
    <w:p w14:paraId="737F4A02">
      <w:pPr>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附图1 无锡（太湖）国际科技园科创区</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孵化区管理单元土地利用规划图</w:t>
      </w:r>
    </w:p>
    <w:p w14:paraId="7DBC2380">
      <w:pPr>
        <w:bidi w:val="0"/>
        <w:spacing w:line="360" w:lineRule="auto"/>
        <w:ind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 xml:space="preserve">附图2 </w:t>
      </w:r>
      <w:r>
        <w:rPr>
          <w:rFonts w:hint="default" w:ascii="Times New Roman" w:hAnsi="Times New Roman" w:eastAsia="宋体" w:cs="Times New Roman"/>
          <w:color w:val="auto"/>
          <w:sz w:val="24"/>
          <w:szCs w:val="24"/>
          <w:highlight w:val="none"/>
        </w:rPr>
        <w:t>江苏省生态空间保护区域分布图</w:t>
      </w:r>
    </w:p>
    <w:p w14:paraId="0B324104">
      <w:pPr>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附图3江苏省无锡市环境管控单元图</w:t>
      </w:r>
    </w:p>
    <w:p w14:paraId="7ECF7513">
      <w:pPr>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附图</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 xml:space="preserve"> 项目地理位置图</w:t>
      </w:r>
    </w:p>
    <w:p w14:paraId="769CD9C2">
      <w:pPr>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附图</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 xml:space="preserve"> 建设项目周围500m范围环境状况图</w:t>
      </w:r>
    </w:p>
    <w:p w14:paraId="24613C56">
      <w:pPr>
        <w:adjustRightInd w:val="0"/>
        <w:snapToGrid w:val="0"/>
        <w:spacing w:line="360" w:lineRule="auto"/>
        <w:ind w:firstLine="484" w:firstLineChars="202"/>
        <w:rPr>
          <w:rFonts w:hint="default" w:ascii="Times New Roman" w:hAnsi="Times New Roman" w:eastAsia="宋体"/>
          <w:color w:val="auto"/>
          <w:sz w:val="24"/>
          <w:highlight w:val="none"/>
          <w:lang w:val="en-US" w:eastAsia="zh-CN"/>
        </w:rPr>
      </w:pPr>
      <w:r>
        <w:rPr>
          <w:rFonts w:hint="default" w:ascii="Times New Roman" w:hAnsi="Times New Roman" w:eastAsia="宋体" w:cs="Times New Roman"/>
          <w:color w:val="auto"/>
          <w:sz w:val="24"/>
          <w:szCs w:val="24"/>
          <w:highlight w:val="none"/>
        </w:rPr>
        <w:t>附图</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 xml:space="preserve"> </w:t>
      </w:r>
      <w:r>
        <w:rPr>
          <w:rFonts w:hint="eastAsia" w:ascii="Times New Roman" w:hAnsi="Times New Roman" w:eastAsia="宋体"/>
          <w:color w:val="auto"/>
          <w:sz w:val="24"/>
          <w:highlight w:val="none"/>
          <w:lang w:val="en-US" w:eastAsia="zh-CN"/>
        </w:rPr>
        <w:t>厂区平面布局图</w:t>
      </w:r>
    </w:p>
    <w:p w14:paraId="77F2AA90">
      <w:pPr>
        <w:adjustRightInd w:val="0"/>
        <w:snapToGrid w:val="0"/>
        <w:spacing w:line="360" w:lineRule="auto"/>
        <w:ind w:firstLine="484" w:firstLineChars="202"/>
        <w:rPr>
          <w:rFonts w:hint="default"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附图7  车间平面布局图</w:t>
      </w:r>
    </w:p>
    <w:p w14:paraId="066B7362">
      <w:pPr>
        <w:bidi w:val="0"/>
        <w:spacing w:line="360" w:lineRule="auto"/>
        <w:ind w:firstLine="480" w:firstLineChars="200"/>
        <w:rPr>
          <w:rFonts w:hint="default" w:ascii="Times New Roman" w:hAnsi="Times New Roman" w:eastAsia="宋体" w:cs="Times New Roman"/>
          <w:color w:val="auto"/>
          <w:sz w:val="24"/>
          <w:szCs w:val="24"/>
          <w:highlight w:val="none"/>
        </w:rPr>
      </w:pPr>
    </w:p>
    <w:p w14:paraId="5E69796B">
      <w:pPr>
        <w:adjustRightInd w:val="0"/>
        <w:snapToGrid w:val="0"/>
        <w:spacing w:line="360" w:lineRule="auto"/>
        <w:jc w:val="center"/>
        <w:rPr>
          <w:rFonts w:ascii="Times New Roman" w:hAnsi="Times New Roman" w:eastAsia="宋体"/>
          <w:b/>
          <w:bCs/>
          <w:color w:val="auto"/>
          <w:sz w:val="28"/>
          <w:szCs w:val="28"/>
          <w:highlight w:val="none"/>
        </w:rPr>
      </w:pPr>
    </w:p>
    <w:p w14:paraId="759247B1">
      <w:pPr>
        <w:adjustRightInd w:val="0"/>
        <w:snapToGrid w:val="0"/>
        <w:spacing w:line="360" w:lineRule="auto"/>
        <w:jc w:val="center"/>
        <w:rPr>
          <w:rFonts w:ascii="Times New Roman" w:hAnsi="Times New Roman" w:eastAsia="宋体"/>
          <w:b/>
          <w:bCs/>
          <w:color w:val="auto"/>
          <w:sz w:val="28"/>
          <w:szCs w:val="28"/>
          <w:highlight w:val="none"/>
        </w:rPr>
      </w:pPr>
      <w:r>
        <w:rPr>
          <w:rFonts w:hint="eastAsia" w:ascii="Times New Roman" w:hAnsi="Times New Roman" w:eastAsia="宋体"/>
          <w:b/>
          <w:bCs/>
          <w:color w:val="auto"/>
          <w:sz w:val="28"/>
          <w:szCs w:val="28"/>
          <w:highlight w:val="none"/>
          <w:lang w:val="en-US" w:eastAsia="zh-CN"/>
        </w:rPr>
        <w:t>图件</w:t>
      </w:r>
      <w:r>
        <w:rPr>
          <w:rFonts w:ascii="Times New Roman" w:hAnsi="Times New Roman" w:eastAsia="宋体"/>
          <w:b/>
          <w:bCs/>
          <w:color w:val="auto"/>
          <w:sz w:val="28"/>
          <w:szCs w:val="28"/>
          <w:highlight w:val="none"/>
        </w:rPr>
        <w:t>目录</w:t>
      </w:r>
    </w:p>
    <w:p w14:paraId="4DD5147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olor w:val="auto"/>
          <w:sz w:val="24"/>
          <w:highlight w:val="red"/>
          <w:lang w:val="en-US" w:eastAsia="zh-CN"/>
        </w:rPr>
      </w:pPr>
      <w:r>
        <w:rPr>
          <w:rFonts w:ascii="Times New Roman" w:hAnsi="Times New Roman" w:eastAsia="宋体"/>
          <w:color w:val="auto"/>
          <w:sz w:val="24"/>
          <w:highlight w:val="none"/>
        </w:rPr>
        <w:t>附件1</w:t>
      </w:r>
      <w:r>
        <w:rPr>
          <w:rFonts w:hint="eastAsia" w:ascii="Times New Roman" w:hAnsi="Times New Roman" w:eastAsia="宋体"/>
          <w:color w:val="auto"/>
          <w:sz w:val="24"/>
          <w:highlight w:val="none"/>
          <w:lang w:eastAsia="zh-CN"/>
        </w:rPr>
        <w:t>、</w:t>
      </w:r>
      <w:r>
        <w:rPr>
          <w:rFonts w:hint="eastAsia" w:ascii="Times New Roman" w:hAnsi="Times New Roman" w:eastAsia="宋体"/>
          <w:color w:val="auto"/>
          <w:sz w:val="24"/>
          <w:highlight w:val="none"/>
        </w:rPr>
        <w:t>企业投资项目登记信息单及备案证</w:t>
      </w:r>
    </w:p>
    <w:p w14:paraId="2FAFDFA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auto"/>
          <w:sz w:val="24"/>
          <w:highlight w:val="none"/>
        </w:rPr>
      </w:pPr>
      <w:r>
        <w:rPr>
          <w:rFonts w:ascii="Times New Roman" w:hAnsi="Times New Roman" w:eastAsia="宋体"/>
          <w:color w:val="auto"/>
          <w:sz w:val="24"/>
          <w:highlight w:val="none"/>
        </w:rPr>
        <w:t>附件2、营业执照</w:t>
      </w:r>
    </w:p>
    <w:p w14:paraId="168901B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auto"/>
          <w:sz w:val="24"/>
          <w:highlight w:val="none"/>
        </w:rPr>
      </w:pPr>
      <w:r>
        <w:rPr>
          <w:rFonts w:ascii="Times New Roman" w:hAnsi="Times New Roman" w:eastAsia="宋体"/>
          <w:color w:val="auto"/>
          <w:sz w:val="24"/>
          <w:highlight w:val="none"/>
        </w:rPr>
        <w:t>附件</w:t>
      </w:r>
      <w:r>
        <w:rPr>
          <w:rFonts w:hint="eastAsia" w:ascii="Times New Roman" w:hAnsi="Times New Roman" w:eastAsia="宋体"/>
          <w:color w:val="auto"/>
          <w:sz w:val="24"/>
          <w:highlight w:val="none"/>
          <w:lang w:val="en-US" w:eastAsia="zh-CN"/>
        </w:rPr>
        <w:t>3</w:t>
      </w:r>
      <w:r>
        <w:rPr>
          <w:rFonts w:ascii="Times New Roman" w:hAnsi="Times New Roman" w:eastAsia="宋体"/>
          <w:color w:val="auto"/>
          <w:sz w:val="24"/>
          <w:highlight w:val="none"/>
        </w:rPr>
        <w:t>、</w:t>
      </w:r>
      <w:r>
        <w:rPr>
          <w:rFonts w:hint="eastAsia" w:ascii="Times New Roman" w:hAnsi="Times New Roman" w:eastAsia="宋体"/>
          <w:color w:val="auto"/>
          <w:sz w:val="24"/>
          <w:highlight w:val="none"/>
          <w:lang w:val="en-US" w:eastAsia="zh-CN"/>
        </w:rPr>
        <w:t>土地证</w:t>
      </w:r>
    </w:p>
    <w:p w14:paraId="35C3675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olor w:val="auto"/>
          <w:sz w:val="24"/>
        </w:rPr>
        <w:t>附件4、</w:t>
      </w:r>
      <w:r>
        <w:rPr>
          <w:rFonts w:hint="eastAsia" w:ascii="Times New Roman" w:hAnsi="Times New Roman" w:eastAsia="宋体" w:cs="Times New Roman"/>
          <w:color w:val="auto"/>
          <w:sz w:val="24"/>
          <w:szCs w:val="32"/>
        </w:rPr>
        <w:t>现有项目环保手续</w:t>
      </w:r>
    </w:p>
    <w:p w14:paraId="668DEDA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olor w:val="auto"/>
          <w:sz w:val="24"/>
          <w:highlight w:val="red"/>
          <w:lang w:val="en-US" w:eastAsia="zh-CN"/>
        </w:rPr>
      </w:pPr>
      <w:r>
        <w:rPr>
          <w:rFonts w:ascii="Times New Roman" w:hAnsi="Times New Roman" w:eastAsia="宋体"/>
          <w:color w:val="auto"/>
          <w:sz w:val="24"/>
          <w:highlight w:val="none"/>
        </w:rPr>
        <w:t>附件</w:t>
      </w:r>
      <w:r>
        <w:rPr>
          <w:rFonts w:hint="eastAsia" w:ascii="Times New Roman" w:hAnsi="Times New Roman" w:eastAsia="宋体"/>
          <w:color w:val="auto"/>
          <w:sz w:val="24"/>
          <w:highlight w:val="none"/>
          <w:lang w:val="en-US" w:eastAsia="zh-CN"/>
        </w:rPr>
        <w:t>5</w:t>
      </w:r>
      <w:r>
        <w:rPr>
          <w:rFonts w:ascii="Times New Roman" w:hAnsi="Times New Roman" w:eastAsia="宋体"/>
          <w:color w:val="auto"/>
          <w:sz w:val="24"/>
          <w:highlight w:val="none"/>
        </w:rPr>
        <w:t>、</w:t>
      </w:r>
      <w:r>
        <w:rPr>
          <w:rFonts w:hint="eastAsia" w:ascii="Times New Roman" w:hAnsi="Times New Roman" w:eastAsia="宋体" w:cs="Times New Roman"/>
          <w:color w:val="auto"/>
          <w:sz w:val="24"/>
          <w:szCs w:val="32"/>
        </w:rPr>
        <w:t>排污许可许可登记回执</w:t>
      </w:r>
    </w:p>
    <w:p w14:paraId="4829E64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auto"/>
          <w:sz w:val="24"/>
          <w:highlight w:val="none"/>
        </w:rPr>
      </w:pPr>
      <w:r>
        <w:rPr>
          <w:rFonts w:ascii="Times New Roman" w:hAnsi="Times New Roman" w:eastAsia="宋体"/>
          <w:color w:val="auto"/>
          <w:sz w:val="24"/>
          <w:highlight w:val="none"/>
        </w:rPr>
        <w:t>附件</w:t>
      </w:r>
      <w:r>
        <w:rPr>
          <w:rFonts w:hint="eastAsia" w:ascii="Times New Roman" w:hAnsi="Times New Roman" w:eastAsia="宋体"/>
          <w:color w:val="auto"/>
          <w:sz w:val="24"/>
          <w:highlight w:val="none"/>
          <w:lang w:val="en-US" w:eastAsia="zh-CN"/>
        </w:rPr>
        <w:t>6</w:t>
      </w:r>
      <w:r>
        <w:rPr>
          <w:rFonts w:ascii="Times New Roman" w:hAnsi="Times New Roman" w:eastAsia="宋体"/>
          <w:color w:val="auto"/>
          <w:sz w:val="24"/>
          <w:highlight w:val="none"/>
        </w:rPr>
        <w:t>、</w:t>
      </w:r>
      <w:r>
        <w:rPr>
          <w:rFonts w:hint="eastAsia" w:ascii="Times New Roman" w:hAnsi="Times New Roman" w:eastAsia="宋体"/>
          <w:color w:val="auto"/>
          <w:sz w:val="24"/>
          <w:szCs w:val="32"/>
          <w:highlight w:val="none"/>
        </w:rPr>
        <w:t>危废处置</w:t>
      </w:r>
      <w:r>
        <w:rPr>
          <w:rFonts w:hint="eastAsia" w:ascii="Times New Roman" w:hAnsi="Times New Roman" w:eastAsia="宋体"/>
          <w:color w:val="auto"/>
          <w:sz w:val="24"/>
          <w:szCs w:val="32"/>
          <w:highlight w:val="none"/>
          <w:lang w:eastAsia="zh-CN"/>
        </w:rPr>
        <w:t>协议及危废处置</w:t>
      </w:r>
      <w:r>
        <w:rPr>
          <w:rFonts w:hint="eastAsia" w:ascii="Times New Roman" w:hAnsi="Times New Roman" w:eastAsia="宋体"/>
          <w:color w:val="auto"/>
          <w:sz w:val="24"/>
          <w:szCs w:val="32"/>
          <w:highlight w:val="none"/>
        </w:rPr>
        <w:t>承诺书</w:t>
      </w:r>
    </w:p>
    <w:p w14:paraId="432B53F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olor w:val="auto"/>
          <w:sz w:val="24"/>
          <w:highlight w:val="none"/>
          <w:lang w:eastAsia="zh-CN"/>
        </w:rPr>
      </w:pPr>
      <w:r>
        <w:rPr>
          <w:rFonts w:ascii="Times New Roman" w:hAnsi="Times New Roman" w:eastAsia="宋体"/>
          <w:color w:val="auto"/>
          <w:sz w:val="24"/>
          <w:highlight w:val="none"/>
        </w:rPr>
        <w:t>附件</w:t>
      </w:r>
      <w:r>
        <w:rPr>
          <w:rFonts w:hint="eastAsia" w:ascii="Times New Roman" w:hAnsi="Times New Roman" w:eastAsia="宋体"/>
          <w:color w:val="auto"/>
          <w:sz w:val="24"/>
          <w:highlight w:val="none"/>
          <w:lang w:val="en-US" w:eastAsia="zh-CN"/>
        </w:rPr>
        <w:t>7</w:t>
      </w:r>
      <w:r>
        <w:rPr>
          <w:rFonts w:ascii="Times New Roman" w:hAnsi="Times New Roman" w:eastAsia="宋体"/>
          <w:color w:val="auto"/>
          <w:sz w:val="24"/>
          <w:highlight w:val="none"/>
        </w:rPr>
        <w:t>、</w:t>
      </w:r>
      <w:r>
        <w:rPr>
          <w:rFonts w:hint="eastAsia" w:ascii="Times New Roman" w:hAnsi="Times New Roman" w:eastAsia="宋体" w:cs="Times New Roman"/>
          <w:color w:val="auto"/>
          <w:sz w:val="24"/>
          <w:szCs w:val="32"/>
        </w:rPr>
        <w:t>建设项目排放污染物指标申请表</w:t>
      </w:r>
    </w:p>
    <w:p w14:paraId="78F199C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auto"/>
          <w:sz w:val="24"/>
          <w:highlight w:val="none"/>
        </w:rPr>
      </w:pPr>
      <w:r>
        <w:rPr>
          <w:rFonts w:ascii="Times New Roman" w:hAnsi="Times New Roman" w:eastAsia="宋体"/>
          <w:color w:val="auto"/>
          <w:sz w:val="24"/>
          <w:szCs w:val="22"/>
          <w:highlight w:val="none"/>
        </w:rPr>
        <w:t>附件</w:t>
      </w:r>
      <w:r>
        <w:rPr>
          <w:rFonts w:hint="eastAsia" w:ascii="Times New Roman" w:hAnsi="Times New Roman" w:eastAsia="宋体"/>
          <w:color w:val="auto"/>
          <w:sz w:val="24"/>
          <w:szCs w:val="22"/>
          <w:highlight w:val="none"/>
          <w:lang w:val="en-US" w:eastAsia="zh-CN"/>
        </w:rPr>
        <w:t>8</w:t>
      </w:r>
      <w:r>
        <w:rPr>
          <w:rFonts w:ascii="Times New Roman" w:hAnsi="Times New Roman" w:eastAsia="宋体"/>
          <w:color w:val="auto"/>
          <w:sz w:val="24"/>
          <w:szCs w:val="22"/>
          <w:highlight w:val="none"/>
        </w:rPr>
        <w:t>、</w:t>
      </w:r>
      <w:r>
        <w:rPr>
          <w:rFonts w:hint="eastAsia" w:ascii="Times New Roman" w:hAnsi="Times New Roman" w:eastAsia="宋体" w:cs="Times New Roman"/>
          <w:color w:val="auto"/>
          <w:sz w:val="24"/>
          <w:szCs w:val="32"/>
          <w:lang w:eastAsia="zh-CN"/>
        </w:rPr>
        <w:t>重点项目证明材料</w:t>
      </w:r>
    </w:p>
    <w:p w14:paraId="045014F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auto"/>
          <w:sz w:val="24"/>
          <w:highlight w:val="none"/>
        </w:rPr>
      </w:pPr>
      <w:r>
        <w:rPr>
          <w:rFonts w:ascii="Times New Roman" w:hAnsi="Times New Roman" w:eastAsia="宋体"/>
          <w:color w:val="auto"/>
          <w:sz w:val="24"/>
          <w:highlight w:val="none"/>
        </w:rPr>
        <w:t>附件</w:t>
      </w:r>
      <w:r>
        <w:rPr>
          <w:rFonts w:hint="eastAsia" w:ascii="Times New Roman" w:hAnsi="Times New Roman" w:eastAsia="宋体"/>
          <w:color w:val="auto"/>
          <w:sz w:val="24"/>
          <w:highlight w:val="none"/>
          <w:lang w:val="en-US" w:eastAsia="zh-CN"/>
        </w:rPr>
        <w:t>9</w:t>
      </w:r>
      <w:r>
        <w:rPr>
          <w:rFonts w:ascii="Times New Roman" w:hAnsi="Times New Roman" w:eastAsia="宋体"/>
          <w:color w:val="auto"/>
          <w:sz w:val="24"/>
          <w:highlight w:val="none"/>
        </w:rPr>
        <w:t>、</w:t>
      </w:r>
      <w:r>
        <w:rPr>
          <w:rFonts w:hint="eastAsia" w:ascii="Times New Roman" w:hAnsi="Times New Roman" w:eastAsia="宋体" w:cs="Times New Roman"/>
          <w:color w:val="auto"/>
          <w:sz w:val="24"/>
          <w:szCs w:val="32"/>
          <w:lang w:eastAsia="zh-CN"/>
        </w:rPr>
        <w:t>总量指标使用凭证</w:t>
      </w:r>
    </w:p>
    <w:p w14:paraId="2225934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auto"/>
          <w:sz w:val="24"/>
          <w:highlight w:val="none"/>
        </w:rPr>
      </w:pPr>
      <w:r>
        <w:rPr>
          <w:rFonts w:ascii="Times New Roman" w:hAnsi="Times New Roman" w:eastAsia="宋体"/>
          <w:color w:val="auto"/>
          <w:sz w:val="24"/>
          <w:highlight w:val="none"/>
        </w:rPr>
        <w:t>附件</w:t>
      </w:r>
      <w:r>
        <w:rPr>
          <w:rFonts w:hint="eastAsia" w:ascii="Times New Roman" w:hAnsi="Times New Roman" w:eastAsia="宋体"/>
          <w:color w:val="auto"/>
          <w:sz w:val="24"/>
          <w:highlight w:val="none"/>
          <w:lang w:val="en-US" w:eastAsia="zh-CN"/>
        </w:rPr>
        <w:t>10</w:t>
      </w:r>
      <w:r>
        <w:rPr>
          <w:rFonts w:ascii="Times New Roman" w:hAnsi="Times New Roman" w:eastAsia="宋体"/>
          <w:color w:val="auto"/>
          <w:sz w:val="24"/>
          <w:highlight w:val="none"/>
        </w:rPr>
        <w:t>、环评委托书</w:t>
      </w:r>
    </w:p>
    <w:p w14:paraId="5301794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olor w:val="auto"/>
          <w:sz w:val="24"/>
          <w:highlight w:val="none"/>
          <w:lang w:eastAsia="zh-CN"/>
        </w:rPr>
      </w:pPr>
      <w:r>
        <w:rPr>
          <w:rFonts w:ascii="Times New Roman" w:hAnsi="Times New Roman" w:eastAsia="宋体"/>
          <w:color w:val="auto"/>
          <w:sz w:val="24"/>
          <w:highlight w:val="none"/>
        </w:rPr>
        <w:t>附件</w:t>
      </w:r>
      <w:r>
        <w:rPr>
          <w:rFonts w:hint="eastAsia" w:ascii="Times New Roman" w:hAnsi="Times New Roman" w:eastAsia="宋体"/>
          <w:color w:val="auto"/>
          <w:sz w:val="24"/>
          <w:highlight w:val="none"/>
          <w:lang w:val="en-US" w:eastAsia="zh-CN"/>
        </w:rPr>
        <w:t>11</w:t>
      </w:r>
      <w:r>
        <w:rPr>
          <w:rFonts w:ascii="Times New Roman" w:hAnsi="Times New Roman" w:eastAsia="宋体"/>
          <w:color w:val="auto"/>
          <w:sz w:val="24"/>
          <w:highlight w:val="none"/>
        </w:rPr>
        <w:t>、</w:t>
      </w:r>
      <w:r>
        <w:rPr>
          <w:rFonts w:hint="eastAsia" w:ascii="Times New Roman" w:hAnsi="Times New Roman" w:eastAsia="宋体" w:cs="Times New Roman"/>
          <w:color w:val="auto"/>
          <w:sz w:val="24"/>
          <w:highlight w:val="none"/>
          <w:lang w:val="en-US" w:eastAsia="zh-CN"/>
        </w:rPr>
        <w:t>环评编制合同（企业尚未提供）</w:t>
      </w:r>
    </w:p>
    <w:p w14:paraId="747D8C3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auto"/>
          <w:sz w:val="24"/>
          <w:highlight w:val="none"/>
        </w:rPr>
      </w:pPr>
      <w:r>
        <w:rPr>
          <w:rFonts w:hint="eastAsia" w:ascii="Times New Roman" w:hAnsi="Times New Roman" w:eastAsia="宋体"/>
          <w:color w:val="auto"/>
          <w:sz w:val="24"/>
          <w:highlight w:val="none"/>
        </w:rPr>
        <w:t>附件</w:t>
      </w:r>
      <w:r>
        <w:rPr>
          <w:rFonts w:hint="eastAsia" w:ascii="Times New Roman" w:hAnsi="Times New Roman" w:eastAsia="宋体"/>
          <w:color w:val="auto"/>
          <w:sz w:val="24"/>
          <w:highlight w:val="none"/>
          <w:lang w:val="en-US" w:eastAsia="zh-CN"/>
        </w:rPr>
        <w:t>12</w:t>
      </w:r>
      <w:r>
        <w:rPr>
          <w:rFonts w:hint="eastAsia" w:ascii="Times New Roman" w:hAnsi="Times New Roman" w:eastAsia="宋体"/>
          <w:color w:val="auto"/>
          <w:sz w:val="24"/>
          <w:highlight w:val="none"/>
        </w:rPr>
        <w:t>、</w:t>
      </w:r>
      <w:r>
        <w:rPr>
          <w:rFonts w:hint="eastAsia" w:ascii="Times New Roman" w:hAnsi="Times New Roman" w:eastAsia="宋体" w:cs="Times New Roman"/>
          <w:color w:val="auto"/>
          <w:sz w:val="24"/>
          <w:highlight w:val="none"/>
          <w:lang w:val="en-US" w:eastAsia="zh-CN"/>
        </w:rPr>
        <w:t>环评</w:t>
      </w:r>
      <w:r>
        <w:rPr>
          <w:rFonts w:hint="eastAsia" w:ascii="Times New Roman" w:hAnsi="Times New Roman" w:eastAsia="宋体" w:cs="Times New Roman"/>
          <w:color w:val="auto"/>
          <w:sz w:val="24"/>
          <w:highlight w:val="none"/>
        </w:rPr>
        <w:t>确认单</w:t>
      </w:r>
    </w:p>
    <w:p w14:paraId="0FE7568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auto"/>
          <w:sz w:val="24"/>
          <w:highlight w:val="none"/>
        </w:rPr>
      </w:pPr>
      <w:r>
        <w:rPr>
          <w:rFonts w:ascii="Times New Roman" w:hAnsi="Times New Roman" w:eastAsia="宋体"/>
          <w:color w:val="auto"/>
          <w:sz w:val="24"/>
          <w:highlight w:val="none"/>
        </w:rPr>
        <w:t>附件</w:t>
      </w:r>
      <w:r>
        <w:rPr>
          <w:rFonts w:hint="eastAsia" w:ascii="Times New Roman" w:hAnsi="Times New Roman" w:eastAsia="宋体"/>
          <w:color w:val="auto"/>
          <w:sz w:val="24"/>
          <w:highlight w:val="none"/>
          <w:lang w:val="en-US" w:eastAsia="zh-CN"/>
        </w:rPr>
        <w:t>13</w:t>
      </w:r>
      <w:r>
        <w:rPr>
          <w:rFonts w:ascii="Times New Roman" w:hAnsi="Times New Roman" w:eastAsia="宋体"/>
          <w:color w:val="auto"/>
          <w:sz w:val="24"/>
          <w:highlight w:val="none"/>
        </w:rPr>
        <w:t>、</w:t>
      </w:r>
      <w:r>
        <w:rPr>
          <w:rFonts w:hint="eastAsia" w:ascii="Times New Roman" w:hAnsi="Times New Roman" w:eastAsia="宋体" w:cs="Times New Roman"/>
          <w:color w:val="auto"/>
          <w:sz w:val="24"/>
          <w:highlight w:val="none"/>
          <w:lang w:val="en-US" w:eastAsia="zh-CN"/>
        </w:rPr>
        <w:t>环评单位承诺书</w:t>
      </w:r>
    </w:p>
    <w:p w14:paraId="64538AF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olor w:val="auto"/>
          <w:sz w:val="24"/>
          <w:highlight w:val="none"/>
          <w:lang w:val="en-US" w:eastAsia="zh-CN"/>
        </w:rPr>
      </w:pPr>
      <w:r>
        <w:rPr>
          <w:rFonts w:ascii="Times New Roman" w:hAnsi="Times New Roman" w:eastAsia="宋体"/>
          <w:color w:val="auto"/>
          <w:sz w:val="24"/>
          <w:highlight w:val="none"/>
        </w:rPr>
        <w:t>附件</w:t>
      </w:r>
      <w:r>
        <w:rPr>
          <w:rFonts w:hint="eastAsia" w:ascii="Times New Roman" w:hAnsi="Times New Roman" w:eastAsia="宋体"/>
          <w:color w:val="auto"/>
          <w:sz w:val="24"/>
          <w:highlight w:val="none"/>
          <w:lang w:val="en-US" w:eastAsia="zh-CN"/>
        </w:rPr>
        <w:t>14</w:t>
      </w:r>
      <w:r>
        <w:rPr>
          <w:rFonts w:ascii="Times New Roman" w:hAnsi="Times New Roman" w:eastAsia="宋体"/>
          <w:color w:val="auto"/>
          <w:sz w:val="24"/>
          <w:highlight w:val="none"/>
        </w:rPr>
        <w:t>、全本公示截图</w:t>
      </w:r>
    </w:p>
    <w:p w14:paraId="6C6B4AF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olor w:val="auto"/>
          <w:sz w:val="24"/>
          <w:szCs w:val="22"/>
          <w:highlight w:val="none"/>
          <w:lang w:val="en-US" w:eastAsia="zh-CN"/>
        </w:rPr>
      </w:pPr>
      <w:r>
        <w:rPr>
          <w:rFonts w:hint="default" w:ascii="Times New Roman" w:hAnsi="Times New Roman" w:eastAsia="宋体" w:cs="Times New Roman"/>
          <w:color w:val="auto"/>
          <w:sz w:val="24"/>
          <w:szCs w:val="24"/>
          <w:highlight w:val="none"/>
        </w:rPr>
        <w:t>附件1</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编制主持人现场踏勘照片</w:t>
      </w:r>
    </w:p>
    <w:p w14:paraId="2CACC9F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olor w:val="auto"/>
          <w:sz w:val="24"/>
          <w:szCs w:val="22"/>
          <w:highlight w:val="none"/>
          <w:lang w:val="en-US" w:eastAsia="zh-CN"/>
        </w:rPr>
      </w:pPr>
      <w:r>
        <w:rPr>
          <w:rFonts w:hint="default" w:ascii="Times New Roman" w:hAnsi="Times New Roman" w:eastAsia="宋体" w:cs="Times New Roman"/>
          <w:color w:val="auto"/>
          <w:sz w:val="24"/>
          <w:szCs w:val="24"/>
          <w:highlight w:val="none"/>
        </w:rPr>
        <w:t>附件1</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江苏省生态环境分区管控综合查询报告</w:t>
      </w:r>
    </w:p>
    <w:p w14:paraId="7F76135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olor w:val="auto"/>
          <w:highlight w:val="none"/>
          <w:lang w:val="en-US"/>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eastAsia="宋体"/>
          <w:color w:val="auto"/>
          <w:sz w:val="24"/>
          <w:szCs w:val="22"/>
          <w:highlight w:val="none"/>
          <w:lang w:val="en-US" w:eastAsia="zh-CN"/>
        </w:rPr>
        <w:t>附件17、其他</w:t>
      </w:r>
    </w:p>
    <w:p w14:paraId="3C807109">
      <w:pPr>
        <w:pStyle w:val="13"/>
        <w:numPr>
          <w:ilvl w:val="0"/>
          <w:numId w:val="0"/>
        </w:numPr>
        <w:tabs>
          <w:tab w:val="clear" w:pos="2040"/>
        </w:tabs>
        <w:rPr>
          <w:rFonts w:ascii="Times New Roman" w:hAnsi="Times New Roman" w:eastAsia="宋体"/>
          <w:color w:val="auto"/>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Arial Black">
    <w:panose1 w:val="020B0A04020102020204"/>
    <w:charset w:val="00"/>
    <w:family w:val="swiss"/>
    <w:pitch w:val="default"/>
    <w:sig w:usb0="A00002AF" w:usb1="400078FB" w:usb2="00000000" w:usb3="00000000" w:csb0="6000009F" w:csb1="DFD70000"/>
  </w:font>
  <w:font w:name="等线">
    <w:panose1 w:val="02010600030101010101"/>
    <w:charset w:val="86"/>
    <w:family w:val="auto"/>
    <w:pitch w:val="default"/>
    <w:sig w:usb0="A00002BF" w:usb1="38CF7CFA" w:usb2="00000016" w:usb3="00000000" w:csb0="0004000F" w:csb1="00000000"/>
  </w:font>
  <w:font w:name="Segoe UI">
    <w:panose1 w:val="020B0502040204020203"/>
    <w:charset w:val="00"/>
    <w:family w:val="auto"/>
    <w:pitch w:val="default"/>
    <w:sig w:usb0="E4002EFF" w:usb1="C000E47F"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imesNewRomanPS-ItalicMT">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6EE3E">
    <w:pPr>
      <w:pStyle w:val="20"/>
      <w:ind w:right="36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65694">
    <w:pPr>
      <w:pStyle w:val="20"/>
      <w:framePr w:wrap="around" w:vAnchor="text" w:hAnchor="margin" w:xAlign="center" w:y="1"/>
      <w:rPr>
        <w:rStyle w:val="29"/>
      </w:rPr>
    </w:pPr>
    <w:r>
      <w:fldChar w:fldCharType="begin"/>
    </w:r>
    <w:r>
      <w:rPr>
        <w:rStyle w:val="29"/>
      </w:rPr>
      <w:instrText xml:space="preserve">PAGE  </w:instrText>
    </w:r>
    <w:r>
      <w:fldChar w:fldCharType="end"/>
    </w:r>
  </w:p>
  <w:p w14:paraId="7C6F255C">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EFDC6">
    <w:pPr>
      <w:pStyle w:val="20"/>
      <w:ind w:right="360"/>
      <w:jc w:val="both"/>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B1884E">
                          <w:pPr>
                            <w:pStyle w:val="20"/>
                          </w:pPr>
                          <w:r>
                            <w:t xml:space="preserve">— </w:t>
                          </w:r>
                          <w:r>
                            <w:fldChar w:fldCharType="begin"/>
                          </w:r>
                          <w:r>
                            <w:instrText xml:space="preserve"> PAGE  \* MERGEFORMAT </w:instrText>
                          </w:r>
                          <w:r>
                            <w:fldChar w:fldCharType="separate"/>
                          </w:r>
                          <w:r>
                            <w:t>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DB1884E">
                    <w:pPr>
                      <w:pStyle w:val="20"/>
                    </w:pPr>
                    <w:r>
                      <w:t xml:space="preserve">— </w:t>
                    </w:r>
                    <w:r>
                      <w:fldChar w:fldCharType="begin"/>
                    </w:r>
                    <w:r>
                      <w:instrText xml:space="preserve"> PAGE  \* MERGEFORMAT </w:instrText>
                    </w:r>
                    <w:r>
                      <w:fldChar w:fldCharType="separate"/>
                    </w:r>
                    <w:r>
                      <w:t>4</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1138F">
    <w:pPr>
      <w:pStyle w:val="20"/>
      <w:ind w:right="360" w:firstLine="360"/>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6A26FB">
                          <w:pPr>
                            <w:pStyle w:val="20"/>
                          </w:pPr>
                          <w:r>
                            <w:fldChar w:fldCharType="begin"/>
                          </w:r>
                          <w:r>
                            <w:instrText xml:space="preserve"> PAGE  \* MERGEFORMAT </w:instrText>
                          </w:r>
                          <w:r>
                            <w:fldChar w:fldCharType="separate"/>
                          </w:r>
                          <w:r>
                            <w:t>226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4A6A26FB">
                    <w:pPr>
                      <w:pStyle w:val="20"/>
                    </w:pPr>
                    <w:r>
                      <w:fldChar w:fldCharType="begin"/>
                    </w:r>
                    <w:r>
                      <w:instrText xml:space="preserve"> PAGE  \* MERGEFORMAT </w:instrText>
                    </w:r>
                    <w:r>
                      <w:fldChar w:fldCharType="separate"/>
                    </w:r>
                    <w:r>
                      <w:t>226</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BDA861"/>
    <w:multiLevelType w:val="singleLevel"/>
    <w:tmpl w:val="99BDA861"/>
    <w:lvl w:ilvl="0" w:tentative="0">
      <w:start w:val="1"/>
      <w:numFmt w:val="upperLetter"/>
      <w:lvlText w:val="%1."/>
      <w:lvlJc w:val="left"/>
      <w:pPr>
        <w:tabs>
          <w:tab w:val="left" w:pos="312"/>
        </w:tabs>
      </w:pPr>
    </w:lvl>
  </w:abstractNum>
  <w:abstractNum w:abstractNumId="1">
    <w:nsid w:val="C3B28F52"/>
    <w:multiLevelType w:val="singleLevel"/>
    <w:tmpl w:val="C3B28F52"/>
    <w:lvl w:ilvl="0" w:tentative="0">
      <w:start w:val="1"/>
      <w:numFmt w:val="bullet"/>
      <w:pStyle w:val="13"/>
      <w:lvlText w:val=""/>
      <w:lvlJc w:val="left"/>
      <w:pPr>
        <w:tabs>
          <w:tab w:val="left" w:pos="2040"/>
        </w:tabs>
        <w:ind w:left="2040" w:hanging="360"/>
      </w:pPr>
      <w:rPr>
        <w:rFonts w:hint="default" w:ascii="Wingdings" w:hAnsi="Wingdings"/>
      </w:rPr>
    </w:lvl>
  </w:abstractNum>
  <w:abstractNum w:abstractNumId="2">
    <w:nsid w:val="D8528875"/>
    <w:multiLevelType w:val="singleLevel"/>
    <w:tmpl w:val="D8528875"/>
    <w:lvl w:ilvl="0" w:tentative="0">
      <w:start w:val="1"/>
      <w:numFmt w:val="decimal"/>
      <w:lvlText w:val="表3-%1"/>
      <w:lvlJc w:val="left"/>
      <w:pPr>
        <w:tabs>
          <w:tab w:val="left" w:pos="420"/>
        </w:tabs>
        <w:ind w:left="425" w:hanging="425"/>
      </w:pPr>
      <w:rPr>
        <w:rFonts w:hint="default" w:ascii="Times New Roman" w:hAnsi="Times New Roman" w:cs="Times New Roman"/>
        <w:b/>
        <w:bCs/>
        <w:sz w:val="24"/>
        <w:szCs w:val="24"/>
      </w:rPr>
    </w:lvl>
  </w:abstractNum>
  <w:abstractNum w:abstractNumId="3">
    <w:nsid w:val="FB30586E"/>
    <w:multiLevelType w:val="singleLevel"/>
    <w:tmpl w:val="FB30586E"/>
    <w:lvl w:ilvl="0" w:tentative="0">
      <w:start w:val="1"/>
      <w:numFmt w:val="chineseCounting"/>
      <w:suff w:val="nothing"/>
      <w:lvlText w:val="（%1）"/>
      <w:lvlJc w:val="left"/>
      <w:rPr>
        <w:rFonts w:hint="eastAsia"/>
      </w:rPr>
    </w:lvl>
  </w:abstractNum>
  <w:abstractNum w:abstractNumId="4">
    <w:nsid w:val="1A7F3F5B"/>
    <w:multiLevelType w:val="singleLevel"/>
    <w:tmpl w:val="1A7F3F5B"/>
    <w:lvl w:ilvl="0" w:tentative="0">
      <w:start w:val="1"/>
      <w:numFmt w:val="decimal"/>
      <w:suff w:val="nothing"/>
      <w:lvlText w:val="%1、"/>
      <w:lvlJc w:val="left"/>
      <w:rPr>
        <w:rFonts w:hint="default"/>
        <w:b w:val="0"/>
        <w:bCs w:val="0"/>
      </w:rPr>
    </w:lvl>
  </w:abstractNum>
  <w:abstractNum w:abstractNumId="5">
    <w:nsid w:val="1B059E61"/>
    <w:multiLevelType w:val="singleLevel"/>
    <w:tmpl w:val="1B059E61"/>
    <w:lvl w:ilvl="0" w:tentative="0">
      <w:start w:val="3"/>
      <w:numFmt w:val="decimal"/>
      <w:suff w:val="nothing"/>
      <w:lvlText w:val="（%1）"/>
      <w:lvlJc w:val="left"/>
    </w:lvl>
  </w:abstractNum>
  <w:abstractNum w:abstractNumId="6">
    <w:nsid w:val="35CD4A3E"/>
    <w:multiLevelType w:val="singleLevel"/>
    <w:tmpl w:val="35CD4A3E"/>
    <w:lvl w:ilvl="0" w:tentative="0">
      <w:start w:val="3"/>
      <w:numFmt w:val="decimal"/>
      <w:suff w:val="nothing"/>
      <w:lvlText w:val="%1、"/>
      <w:lvlJc w:val="left"/>
    </w:lvl>
  </w:abstractNum>
  <w:abstractNum w:abstractNumId="7">
    <w:nsid w:val="397AA2D8"/>
    <w:multiLevelType w:val="singleLevel"/>
    <w:tmpl w:val="397AA2D8"/>
    <w:lvl w:ilvl="0" w:tentative="0">
      <w:start w:val="1"/>
      <w:numFmt w:val="decimal"/>
      <w:lvlText w:val="表4-%1"/>
      <w:lvlJc w:val="left"/>
      <w:pPr>
        <w:tabs>
          <w:tab w:val="left" w:pos="420"/>
        </w:tabs>
        <w:ind w:left="425" w:leftChars="0" w:hanging="425" w:firstLineChars="0"/>
      </w:pPr>
      <w:rPr>
        <w:rFonts w:hint="default" w:ascii="Times New Roman" w:hAnsi="Times New Roman" w:eastAsia="宋体" w:cs="Times New Roman"/>
        <w:b/>
        <w:bCs/>
        <w:sz w:val="24"/>
        <w:szCs w:val="24"/>
      </w:rPr>
    </w:lvl>
  </w:abstractNum>
  <w:abstractNum w:abstractNumId="8">
    <w:nsid w:val="3C432AAD"/>
    <w:multiLevelType w:val="singleLevel"/>
    <w:tmpl w:val="3C432AAD"/>
    <w:lvl w:ilvl="0" w:tentative="0">
      <w:start w:val="1"/>
      <w:numFmt w:val="chineseCounting"/>
      <w:suff w:val="nothing"/>
      <w:lvlText w:val="（%1）"/>
      <w:lvlJc w:val="left"/>
      <w:rPr>
        <w:rFonts w:hint="eastAsia"/>
      </w:rPr>
    </w:lvl>
  </w:abstractNum>
  <w:num w:numId="1">
    <w:abstractNumId w:val="1"/>
  </w:num>
  <w:num w:numId="2">
    <w:abstractNumId w:val="5"/>
  </w:num>
  <w:num w:numId="3">
    <w:abstractNumId w:val="8"/>
  </w:num>
  <w:num w:numId="4">
    <w:abstractNumId w:val="3"/>
  </w:num>
  <w:num w:numId="5">
    <w:abstractNumId w:val="6"/>
  </w:num>
  <w:num w:numId="6">
    <w:abstractNumId w:val="2"/>
  </w:num>
  <w:num w:numId="7">
    <w:abstractNumId w:val="7"/>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342D4"/>
    <w:rsid w:val="001B0E3A"/>
    <w:rsid w:val="001F3ADA"/>
    <w:rsid w:val="002B6923"/>
    <w:rsid w:val="002C683F"/>
    <w:rsid w:val="00384B9C"/>
    <w:rsid w:val="00460425"/>
    <w:rsid w:val="00471250"/>
    <w:rsid w:val="004B4CF1"/>
    <w:rsid w:val="004D5131"/>
    <w:rsid w:val="005574FC"/>
    <w:rsid w:val="005C27B9"/>
    <w:rsid w:val="005C4D2E"/>
    <w:rsid w:val="0063714C"/>
    <w:rsid w:val="006836D3"/>
    <w:rsid w:val="006F69AF"/>
    <w:rsid w:val="00831AAB"/>
    <w:rsid w:val="008D6FFB"/>
    <w:rsid w:val="00951821"/>
    <w:rsid w:val="00A432B3"/>
    <w:rsid w:val="00C01385"/>
    <w:rsid w:val="00C14B91"/>
    <w:rsid w:val="00C56800"/>
    <w:rsid w:val="00CB3C62"/>
    <w:rsid w:val="00D168D6"/>
    <w:rsid w:val="00EA40E8"/>
    <w:rsid w:val="00EE420C"/>
    <w:rsid w:val="00FC0D5E"/>
    <w:rsid w:val="00FE0429"/>
    <w:rsid w:val="00FE0BA9"/>
    <w:rsid w:val="01057174"/>
    <w:rsid w:val="01066A48"/>
    <w:rsid w:val="010F1ED5"/>
    <w:rsid w:val="011C44BE"/>
    <w:rsid w:val="011D10D8"/>
    <w:rsid w:val="01213882"/>
    <w:rsid w:val="0122438A"/>
    <w:rsid w:val="01340E74"/>
    <w:rsid w:val="01347A59"/>
    <w:rsid w:val="013B2063"/>
    <w:rsid w:val="013C1221"/>
    <w:rsid w:val="013D4C4F"/>
    <w:rsid w:val="013E6A70"/>
    <w:rsid w:val="014C4DA3"/>
    <w:rsid w:val="015008B2"/>
    <w:rsid w:val="01601A8E"/>
    <w:rsid w:val="016025FC"/>
    <w:rsid w:val="01675739"/>
    <w:rsid w:val="017936BE"/>
    <w:rsid w:val="01802C81"/>
    <w:rsid w:val="01891B53"/>
    <w:rsid w:val="018D077E"/>
    <w:rsid w:val="018E4567"/>
    <w:rsid w:val="01947056"/>
    <w:rsid w:val="019D115B"/>
    <w:rsid w:val="01AC75F0"/>
    <w:rsid w:val="01AE64A8"/>
    <w:rsid w:val="01AF1DAC"/>
    <w:rsid w:val="01B01200"/>
    <w:rsid w:val="01B52FB9"/>
    <w:rsid w:val="01BB1483"/>
    <w:rsid w:val="01C2043A"/>
    <w:rsid w:val="01C81F50"/>
    <w:rsid w:val="01CB597A"/>
    <w:rsid w:val="01DB2C49"/>
    <w:rsid w:val="01E3785C"/>
    <w:rsid w:val="01FC240C"/>
    <w:rsid w:val="01FC6A11"/>
    <w:rsid w:val="02003C25"/>
    <w:rsid w:val="02012E78"/>
    <w:rsid w:val="0205497B"/>
    <w:rsid w:val="020E2058"/>
    <w:rsid w:val="02117D9A"/>
    <w:rsid w:val="02142FC1"/>
    <w:rsid w:val="021D229B"/>
    <w:rsid w:val="02226277"/>
    <w:rsid w:val="02283016"/>
    <w:rsid w:val="022C260F"/>
    <w:rsid w:val="022C5A34"/>
    <w:rsid w:val="02337D11"/>
    <w:rsid w:val="024535A0"/>
    <w:rsid w:val="024A0BB7"/>
    <w:rsid w:val="02555ED9"/>
    <w:rsid w:val="025C0760"/>
    <w:rsid w:val="025E3926"/>
    <w:rsid w:val="02781BC8"/>
    <w:rsid w:val="02786099"/>
    <w:rsid w:val="02847F05"/>
    <w:rsid w:val="02876264"/>
    <w:rsid w:val="028904FC"/>
    <w:rsid w:val="0289085D"/>
    <w:rsid w:val="028C7C69"/>
    <w:rsid w:val="02906F11"/>
    <w:rsid w:val="02923DFE"/>
    <w:rsid w:val="029274C2"/>
    <w:rsid w:val="02946B13"/>
    <w:rsid w:val="02985DC6"/>
    <w:rsid w:val="02991BD7"/>
    <w:rsid w:val="02A913EC"/>
    <w:rsid w:val="02AD7AC3"/>
    <w:rsid w:val="02B637D2"/>
    <w:rsid w:val="02B951A6"/>
    <w:rsid w:val="02BF04D5"/>
    <w:rsid w:val="02C02DD6"/>
    <w:rsid w:val="02C24BF1"/>
    <w:rsid w:val="02C92423"/>
    <w:rsid w:val="02C977DF"/>
    <w:rsid w:val="02CB103F"/>
    <w:rsid w:val="02CE17E8"/>
    <w:rsid w:val="02DA05CB"/>
    <w:rsid w:val="02E132C9"/>
    <w:rsid w:val="02E54B73"/>
    <w:rsid w:val="02E828A9"/>
    <w:rsid w:val="02E84657"/>
    <w:rsid w:val="02E95F47"/>
    <w:rsid w:val="03035935"/>
    <w:rsid w:val="030A0A72"/>
    <w:rsid w:val="0316683E"/>
    <w:rsid w:val="03192A63"/>
    <w:rsid w:val="03194B7A"/>
    <w:rsid w:val="032338E1"/>
    <w:rsid w:val="03292A9D"/>
    <w:rsid w:val="032A1114"/>
    <w:rsid w:val="032A5089"/>
    <w:rsid w:val="033279B8"/>
    <w:rsid w:val="033B73A9"/>
    <w:rsid w:val="03416159"/>
    <w:rsid w:val="034A3564"/>
    <w:rsid w:val="035C6226"/>
    <w:rsid w:val="036A59B4"/>
    <w:rsid w:val="036C15D7"/>
    <w:rsid w:val="036D480B"/>
    <w:rsid w:val="03710AF1"/>
    <w:rsid w:val="03773401"/>
    <w:rsid w:val="03777925"/>
    <w:rsid w:val="037A40C6"/>
    <w:rsid w:val="03883137"/>
    <w:rsid w:val="03A57F3B"/>
    <w:rsid w:val="03B91C06"/>
    <w:rsid w:val="03BC4D98"/>
    <w:rsid w:val="03BE360A"/>
    <w:rsid w:val="03BE6311"/>
    <w:rsid w:val="03C265F6"/>
    <w:rsid w:val="03D41080"/>
    <w:rsid w:val="03D97BA9"/>
    <w:rsid w:val="03E91499"/>
    <w:rsid w:val="03F00E94"/>
    <w:rsid w:val="04001432"/>
    <w:rsid w:val="04074FB1"/>
    <w:rsid w:val="040D5F94"/>
    <w:rsid w:val="04114082"/>
    <w:rsid w:val="041E22FB"/>
    <w:rsid w:val="042C0EBC"/>
    <w:rsid w:val="043F523C"/>
    <w:rsid w:val="044A30F0"/>
    <w:rsid w:val="044E2BE0"/>
    <w:rsid w:val="04507DFB"/>
    <w:rsid w:val="045D1075"/>
    <w:rsid w:val="04604E57"/>
    <w:rsid w:val="04644B57"/>
    <w:rsid w:val="04671F7C"/>
    <w:rsid w:val="047F2F94"/>
    <w:rsid w:val="049006D3"/>
    <w:rsid w:val="04993118"/>
    <w:rsid w:val="049D76C3"/>
    <w:rsid w:val="04AE367F"/>
    <w:rsid w:val="04B2316F"/>
    <w:rsid w:val="04B8789D"/>
    <w:rsid w:val="04B968FF"/>
    <w:rsid w:val="04BA38D0"/>
    <w:rsid w:val="04C94873"/>
    <w:rsid w:val="04C9670A"/>
    <w:rsid w:val="04D01847"/>
    <w:rsid w:val="04D85410"/>
    <w:rsid w:val="04DF5F2E"/>
    <w:rsid w:val="04E13A54"/>
    <w:rsid w:val="04EB6681"/>
    <w:rsid w:val="04ED064B"/>
    <w:rsid w:val="04ED2F59"/>
    <w:rsid w:val="04F853C7"/>
    <w:rsid w:val="05045994"/>
    <w:rsid w:val="050D40FB"/>
    <w:rsid w:val="0512093A"/>
    <w:rsid w:val="05143E2A"/>
    <w:rsid w:val="05184F9C"/>
    <w:rsid w:val="0519526F"/>
    <w:rsid w:val="051A66FF"/>
    <w:rsid w:val="051C4A8C"/>
    <w:rsid w:val="05221C94"/>
    <w:rsid w:val="052E47BF"/>
    <w:rsid w:val="053D043C"/>
    <w:rsid w:val="05404C1F"/>
    <w:rsid w:val="054319F0"/>
    <w:rsid w:val="0547596F"/>
    <w:rsid w:val="054B25D4"/>
    <w:rsid w:val="054E467A"/>
    <w:rsid w:val="05516791"/>
    <w:rsid w:val="05526700"/>
    <w:rsid w:val="055677A9"/>
    <w:rsid w:val="055B7236"/>
    <w:rsid w:val="055C757F"/>
    <w:rsid w:val="055E0168"/>
    <w:rsid w:val="055E32F7"/>
    <w:rsid w:val="056331FE"/>
    <w:rsid w:val="05687CD1"/>
    <w:rsid w:val="056924FF"/>
    <w:rsid w:val="056B77C2"/>
    <w:rsid w:val="05783516"/>
    <w:rsid w:val="05854EED"/>
    <w:rsid w:val="058C1AF7"/>
    <w:rsid w:val="05922FA0"/>
    <w:rsid w:val="0599432F"/>
    <w:rsid w:val="05A3050F"/>
    <w:rsid w:val="05A6467B"/>
    <w:rsid w:val="05AD3936"/>
    <w:rsid w:val="05BF0808"/>
    <w:rsid w:val="05C84C14"/>
    <w:rsid w:val="05CE06E8"/>
    <w:rsid w:val="05D67331"/>
    <w:rsid w:val="05E03FD0"/>
    <w:rsid w:val="05E83AE4"/>
    <w:rsid w:val="05ED6E0A"/>
    <w:rsid w:val="05EE62F0"/>
    <w:rsid w:val="05FE4192"/>
    <w:rsid w:val="06023C82"/>
    <w:rsid w:val="06042C8B"/>
    <w:rsid w:val="0607422C"/>
    <w:rsid w:val="06081A65"/>
    <w:rsid w:val="06096508"/>
    <w:rsid w:val="060C045C"/>
    <w:rsid w:val="06133FD9"/>
    <w:rsid w:val="06171328"/>
    <w:rsid w:val="0619721E"/>
    <w:rsid w:val="062322F1"/>
    <w:rsid w:val="0624009C"/>
    <w:rsid w:val="06255BC2"/>
    <w:rsid w:val="062742CF"/>
    <w:rsid w:val="062C0CFF"/>
    <w:rsid w:val="062E4A77"/>
    <w:rsid w:val="064047AA"/>
    <w:rsid w:val="06462DE7"/>
    <w:rsid w:val="0648365F"/>
    <w:rsid w:val="064E5119"/>
    <w:rsid w:val="065700A2"/>
    <w:rsid w:val="06611934"/>
    <w:rsid w:val="066252E1"/>
    <w:rsid w:val="066466EB"/>
    <w:rsid w:val="066E7569"/>
    <w:rsid w:val="06740E4B"/>
    <w:rsid w:val="067A7CBC"/>
    <w:rsid w:val="067F3525"/>
    <w:rsid w:val="06844E2F"/>
    <w:rsid w:val="068B6266"/>
    <w:rsid w:val="068C79F0"/>
    <w:rsid w:val="068F2AFC"/>
    <w:rsid w:val="069476AA"/>
    <w:rsid w:val="06960AE2"/>
    <w:rsid w:val="06990DAE"/>
    <w:rsid w:val="06A55BF5"/>
    <w:rsid w:val="06A86F66"/>
    <w:rsid w:val="06AB256C"/>
    <w:rsid w:val="06BA27AF"/>
    <w:rsid w:val="06BD229F"/>
    <w:rsid w:val="06C13B3D"/>
    <w:rsid w:val="06C64729"/>
    <w:rsid w:val="06D870D9"/>
    <w:rsid w:val="06DA69AD"/>
    <w:rsid w:val="06DE31A6"/>
    <w:rsid w:val="06DE5E7B"/>
    <w:rsid w:val="06E17D3B"/>
    <w:rsid w:val="06E240A6"/>
    <w:rsid w:val="06E4288E"/>
    <w:rsid w:val="06F61486"/>
    <w:rsid w:val="06F821CF"/>
    <w:rsid w:val="06FD269B"/>
    <w:rsid w:val="071010C3"/>
    <w:rsid w:val="07131CDD"/>
    <w:rsid w:val="071650AF"/>
    <w:rsid w:val="07172148"/>
    <w:rsid w:val="071A149F"/>
    <w:rsid w:val="073D02FC"/>
    <w:rsid w:val="074327A4"/>
    <w:rsid w:val="07484670"/>
    <w:rsid w:val="074924D2"/>
    <w:rsid w:val="07493558"/>
    <w:rsid w:val="07494305"/>
    <w:rsid w:val="074F4C03"/>
    <w:rsid w:val="07524795"/>
    <w:rsid w:val="07603356"/>
    <w:rsid w:val="0772691D"/>
    <w:rsid w:val="077923A8"/>
    <w:rsid w:val="077E1A2E"/>
    <w:rsid w:val="07893E75"/>
    <w:rsid w:val="0790598C"/>
    <w:rsid w:val="07936671"/>
    <w:rsid w:val="07943000"/>
    <w:rsid w:val="07972AF0"/>
    <w:rsid w:val="0797489E"/>
    <w:rsid w:val="07A1571D"/>
    <w:rsid w:val="07A174CB"/>
    <w:rsid w:val="07A7181C"/>
    <w:rsid w:val="07A86AAB"/>
    <w:rsid w:val="07AA45D1"/>
    <w:rsid w:val="07B436A2"/>
    <w:rsid w:val="07BA49ED"/>
    <w:rsid w:val="07BD3982"/>
    <w:rsid w:val="07BF5211"/>
    <w:rsid w:val="07CB4548"/>
    <w:rsid w:val="07D6114F"/>
    <w:rsid w:val="07ED2710"/>
    <w:rsid w:val="07F95559"/>
    <w:rsid w:val="07F95EB8"/>
    <w:rsid w:val="080263AD"/>
    <w:rsid w:val="081163FE"/>
    <w:rsid w:val="08135A2E"/>
    <w:rsid w:val="08167EB9"/>
    <w:rsid w:val="081E2756"/>
    <w:rsid w:val="0822221C"/>
    <w:rsid w:val="082C5E24"/>
    <w:rsid w:val="08403C42"/>
    <w:rsid w:val="084F0DA9"/>
    <w:rsid w:val="08512C9F"/>
    <w:rsid w:val="08514A4D"/>
    <w:rsid w:val="085C49DF"/>
    <w:rsid w:val="085E5458"/>
    <w:rsid w:val="08674270"/>
    <w:rsid w:val="086A0F83"/>
    <w:rsid w:val="086A1FB2"/>
    <w:rsid w:val="086C5D2B"/>
    <w:rsid w:val="08705A25"/>
    <w:rsid w:val="08720DBC"/>
    <w:rsid w:val="08795696"/>
    <w:rsid w:val="087D7E8A"/>
    <w:rsid w:val="08806A6C"/>
    <w:rsid w:val="08887E73"/>
    <w:rsid w:val="089D5EE4"/>
    <w:rsid w:val="08A059D4"/>
    <w:rsid w:val="08A726DC"/>
    <w:rsid w:val="08AD58BC"/>
    <w:rsid w:val="08AE1E9F"/>
    <w:rsid w:val="08B123F7"/>
    <w:rsid w:val="08B576D2"/>
    <w:rsid w:val="08C67D8F"/>
    <w:rsid w:val="08D37B58"/>
    <w:rsid w:val="08D54A57"/>
    <w:rsid w:val="08DD718D"/>
    <w:rsid w:val="08E25FED"/>
    <w:rsid w:val="08E72291"/>
    <w:rsid w:val="08F17FDE"/>
    <w:rsid w:val="08FB292B"/>
    <w:rsid w:val="08FB67E3"/>
    <w:rsid w:val="08FF26FB"/>
    <w:rsid w:val="09000221"/>
    <w:rsid w:val="090146C5"/>
    <w:rsid w:val="09120680"/>
    <w:rsid w:val="091B54AD"/>
    <w:rsid w:val="09216B15"/>
    <w:rsid w:val="09281478"/>
    <w:rsid w:val="0928524B"/>
    <w:rsid w:val="092A7C8A"/>
    <w:rsid w:val="0934673D"/>
    <w:rsid w:val="0937357F"/>
    <w:rsid w:val="093D5F3A"/>
    <w:rsid w:val="094B3B92"/>
    <w:rsid w:val="094C42CE"/>
    <w:rsid w:val="095276EA"/>
    <w:rsid w:val="095567BF"/>
    <w:rsid w:val="0956439C"/>
    <w:rsid w:val="095F2B82"/>
    <w:rsid w:val="0960739D"/>
    <w:rsid w:val="09643646"/>
    <w:rsid w:val="096903AD"/>
    <w:rsid w:val="096F1739"/>
    <w:rsid w:val="09743677"/>
    <w:rsid w:val="097D7547"/>
    <w:rsid w:val="09806D6E"/>
    <w:rsid w:val="0986151F"/>
    <w:rsid w:val="09896468"/>
    <w:rsid w:val="098E3A7F"/>
    <w:rsid w:val="098F4DB7"/>
    <w:rsid w:val="098F7F23"/>
    <w:rsid w:val="09972880"/>
    <w:rsid w:val="09974510"/>
    <w:rsid w:val="099C2645"/>
    <w:rsid w:val="09A02008"/>
    <w:rsid w:val="09A612EC"/>
    <w:rsid w:val="09AA7B38"/>
    <w:rsid w:val="09AB5C79"/>
    <w:rsid w:val="09AE3065"/>
    <w:rsid w:val="09B64A6C"/>
    <w:rsid w:val="09B96D4E"/>
    <w:rsid w:val="09BD7EA8"/>
    <w:rsid w:val="09C41DA7"/>
    <w:rsid w:val="09CB6A81"/>
    <w:rsid w:val="09D65411"/>
    <w:rsid w:val="09D70748"/>
    <w:rsid w:val="09D75426"/>
    <w:rsid w:val="09D771D4"/>
    <w:rsid w:val="09E0077E"/>
    <w:rsid w:val="09F42421"/>
    <w:rsid w:val="09F879EC"/>
    <w:rsid w:val="0A042E8E"/>
    <w:rsid w:val="0A0F2E11"/>
    <w:rsid w:val="0A127124"/>
    <w:rsid w:val="0A1B17B6"/>
    <w:rsid w:val="0A200374"/>
    <w:rsid w:val="0A27573A"/>
    <w:rsid w:val="0A2A7C4B"/>
    <w:rsid w:val="0A300E42"/>
    <w:rsid w:val="0A3E7253"/>
    <w:rsid w:val="0A42640F"/>
    <w:rsid w:val="0A46245A"/>
    <w:rsid w:val="0A483CE4"/>
    <w:rsid w:val="0A4A5BF8"/>
    <w:rsid w:val="0A4C61B7"/>
    <w:rsid w:val="0A4C7BC2"/>
    <w:rsid w:val="0A530F50"/>
    <w:rsid w:val="0A55568C"/>
    <w:rsid w:val="0A590531"/>
    <w:rsid w:val="0A5B6097"/>
    <w:rsid w:val="0A623983"/>
    <w:rsid w:val="0A650407"/>
    <w:rsid w:val="0A6E37A8"/>
    <w:rsid w:val="0A7333A0"/>
    <w:rsid w:val="0A740EC6"/>
    <w:rsid w:val="0A7563A2"/>
    <w:rsid w:val="0A7947E6"/>
    <w:rsid w:val="0A7D421F"/>
    <w:rsid w:val="0A7E6A1A"/>
    <w:rsid w:val="0A80136B"/>
    <w:rsid w:val="0A877179"/>
    <w:rsid w:val="0A8A693C"/>
    <w:rsid w:val="0A8C4462"/>
    <w:rsid w:val="0A8F242E"/>
    <w:rsid w:val="0A951569"/>
    <w:rsid w:val="0A9D7033"/>
    <w:rsid w:val="0AA03A6A"/>
    <w:rsid w:val="0AA74DF8"/>
    <w:rsid w:val="0AAE0E6D"/>
    <w:rsid w:val="0AB300F1"/>
    <w:rsid w:val="0ABF65E6"/>
    <w:rsid w:val="0AC34EA8"/>
    <w:rsid w:val="0AC43BFC"/>
    <w:rsid w:val="0ADD339A"/>
    <w:rsid w:val="0AEC6126"/>
    <w:rsid w:val="0AF02C43"/>
    <w:rsid w:val="0AF53DB5"/>
    <w:rsid w:val="0AF837E1"/>
    <w:rsid w:val="0AFC35D6"/>
    <w:rsid w:val="0B13248D"/>
    <w:rsid w:val="0B224DC6"/>
    <w:rsid w:val="0B230A0A"/>
    <w:rsid w:val="0B285B90"/>
    <w:rsid w:val="0B2F60B0"/>
    <w:rsid w:val="0B301291"/>
    <w:rsid w:val="0B332B30"/>
    <w:rsid w:val="0B347A47"/>
    <w:rsid w:val="0B354AFA"/>
    <w:rsid w:val="0B381EF4"/>
    <w:rsid w:val="0B445E0F"/>
    <w:rsid w:val="0B472137"/>
    <w:rsid w:val="0B4B7E79"/>
    <w:rsid w:val="0B5036E2"/>
    <w:rsid w:val="0B566493"/>
    <w:rsid w:val="0B5E5DFE"/>
    <w:rsid w:val="0B640F3B"/>
    <w:rsid w:val="0B6727D9"/>
    <w:rsid w:val="0B6E5916"/>
    <w:rsid w:val="0B725845"/>
    <w:rsid w:val="0B776EC0"/>
    <w:rsid w:val="0B8D0A07"/>
    <w:rsid w:val="0B940F80"/>
    <w:rsid w:val="0B970FD6"/>
    <w:rsid w:val="0B971310"/>
    <w:rsid w:val="0BA6359B"/>
    <w:rsid w:val="0BA80E28"/>
    <w:rsid w:val="0BA96C8F"/>
    <w:rsid w:val="0BBB57BF"/>
    <w:rsid w:val="0BBE4AEF"/>
    <w:rsid w:val="0BC07B52"/>
    <w:rsid w:val="0BD1070E"/>
    <w:rsid w:val="0BD31C1D"/>
    <w:rsid w:val="0BE30377"/>
    <w:rsid w:val="0BE77385"/>
    <w:rsid w:val="0BEC2BDA"/>
    <w:rsid w:val="0BEC2ED1"/>
    <w:rsid w:val="0BF00A21"/>
    <w:rsid w:val="0BF56037"/>
    <w:rsid w:val="0BF94C57"/>
    <w:rsid w:val="0BFE5FCF"/>
    <w:rsid w:val="0C0D15D3"/>
    <w:rsid w:val="0C0F534B"/>
    <w:rsid w:val="0C1404FD"/>
    <w:rsid w:val="0C2801BA"/>
    <w:rsid w:val="0C2F32F7"/>
    <w:rsid w:val="0C346B5F"/>
    <w:rsid w:val="0C3758FA"/>
    <w:rsid w:val="0C3856BA"/>
    <w:rsid w:val="0C487782"/>
    <w:rsid w:val="0C594213"/>
    <w:rsid w:val="0C670CE3"/>
    <w:rsid w:val="0C6E66F1"/>
    <w:rsid w:val="0C873133"/>
    <w:rsid w:val="0CA35A93"/>
    <w:rsid w:val="0CA535B9"/>
    <w:rsid w:val="0CA730CB"/>
    <w:rsid w:val="0CA94610"/>
    <w:rsid w:val="0CB16402"/>
    <w:rsid w:val="0CB601C2"/>
    <w:rsid w:val="0CB730C5"/>
    <w:rsid w:val="0CBD3065"/>
    <w:rsid w:val="0CC41F2E"/>
    <w:rsid w:val="0CD45C4C"/>
    <w:rsid w:val="0CD7730C"/>
    <w:rsid w:val="0CD914B5"/>
    <w:rsid w:val="0CDC5DEF"/>
    <w:rsid w:val="0CDD0FA5"/>
    <w:rsid w:val="0CE00A95"/>
    <w:rsid w:val="0CE2480D"/>
    <w:rsid w:val="0CE91379"/>
    <w:rsid w:val="0CF64E24"/>
    <w:rsid w:val="0CF74077"/>
    <w:rsid w:val="0CFB58CF"/>
    <w:rsid w:val="0CFD5860"/>
    <w:rsid w:val="0D0429D6"/>
    <w:rsid w:val="0D0A78C0"/>
    <w:rsid w:val="0D0E6E52"/>
    <w:rsid w:val="0D10175C"/>
    <w:rsid w:val="0D131A73"/>
    <w:rsid w:val="0D2239C4"/>
    <w:rsid w:val="0D337D7B"/>
    <w:rsid w:val="0D423C21"/>
    <w:rsid w:val="0D437156"/>
    <w:rsid w:val="0D4A2113"/>
    <w:rsid w:val="0D4F1B22"/>
    <w:rsid w:val="0D5010E1"/>
    <w:rsid w:val="0D501777"/>
    <w:rsid w:val="0D505C1B"/>
    <w:rsid w:val="0D524DED"/>
    <w:rsid w:val="0D5530F3"/>
    <w:rsid w:val="0D58187F"/>
    <w:rsid w:val="0D587038"/>
    <w:rsid w:val="0D5C45C0"/>
    <w:rsid w:val="0D5C585E"/>
    <w:rsid w:val="0D6C5618"/>
    <w:rsid w:val="0D6C5EE5"/>
    <w:rsid w:val="0D782A7C"/>
    <w:rsid w:val="0D7B0878"/>
    <w:rsid w:val="0D7F205C"/>
    <w:rsid w:val="0D823F05"/>
    <w:rsid w:val="0D933D59"/>
    <w:rsid w:val="0D9A0C44"/>
    <w:rsid w:val="0DA97170"/>
    <w:rsid w:val="0DAA5E3D"/>
    <w:rsid w:val="0DB25F8E"/>
    <w:rsid w:val="0DB5782C"/>
    <w:rsid w:val="0DB611B3"/>
    <w:rsid w:val="0DBD5172"/>
    <w:rsid w:val="0DC12675"/>
    <w:rsid w:val="0DC932D7"/>
    <w:rsid w:val="0DD34156"/>
    <w:rsid w:val="0DD86C3B"/>
    <w:rsid w:val="0DE819AF"/>
    <w:rsid w:val="0DEE4240"/>
    <w:rsid w:val="0DF20A80"/>
    <w:rsid w:val="0DFC07C5"/>
    <w:rsid w:val="0DFF0090"/>
    <w:rsid w:val="0E0B6A14"/>
    <w:rsid w:val="0E1A3B7C"/>
    <w:rsid w:val="0E1B17A7"/>
    <w:rsid w:val="0E1C6E84"/>
    <w:rsid w:val="0E285ADE"/>
    <w:rsid w:val="0E290A20"/>
    <w:rsid w:val="0E325320"/>
    <w:rsid w:val="0E356BBF"/>
    <w:rsid w:val="0E363BF0"/>
    <w:rsid w:val="0E3B2427"/>
    <w:rsid w:val="0E3D4D49"/>
    <w:rsid w:val="0E3E7B9F"/>
    <w:rsid w:val="0E493721"/>
    <w:rsid w:val="0E4D5CB6"/>
    <w:rsid w:val="0E5057A5"/>
    <w:rsid w:val="0E511C4A"/>
    <w:rsid w:val="0E5139F9"/>
    <w:rsid w:val="0E5B4877"/>
    <w:rsid w:val="0E65727D"/>
    <w:rsid w:val="0E686F94"/>
    <w:rsid w:val="0E6A6868"/>
    <w:rsid w:val="0E6B1612"/>
    <w:rsid w:val="0E770F85"/>
    <w:rsid w:val="0E880E50"/>
    <w:rsid w:val="0E8E60D1"/>
    <w:rsid w:val="0E912CC7"/>
    <w:rsid w:val="0E914FD2"/>
    <w:rsid w:val="0E9733D5"/>
    <w:rsid w:val="0E990EFC"/>
    <w:rsid w:val="0E9953A0"/>
    <w:rsid w:val="0E9B1118"/>
    <w:rsid w:val="0EAE2BD9"/>
    <w:rsid w:val="0EB53ADF"/>
    <w:rsid w:val="0EB94E27"/>
    <w:rsid w:val="0EBA5ACB"/>
    <w:rsid w:val="0ECF2B6F"/>
    <w:rsid w:val="0ECF491D"/>
    <w:rsid w:val="0ED711EA"/>
    <w:rsid w:val="0ED96FBA"/>
    <w:rsid w:val="0EDB1A22"/>
    <w:rsid w:val="0EDF667F"/>
    <w:rsid w:val="0EEB185E"/>
    <w:rsid w:val="0EEF2AC6"/>
    <w:rsid w:val="0EFD4B02"/>
    <w:rsid w:val="0EFF46D0"/>
    <w:rsid w:val="0F026AA1"/>
    <w:rsid w:val="0F0439EF"/>
    <w:rsid w:val="0F0919B6"/>
    <w:rsid w:val="0F096081"/>
    <w:rsid w:val="0F0D5446"/>
    <w:rsid w:val="0F156E69"/>
    <w:rsid w:val="0F2033CB"/>
    <w:rsid w:val="0F227143"/>
    <w:rsid w:val="0F246625"/>
    <w:rsid w:val="0F2E045B"/>
    <w:rsid w:val="0F2F360E"/>
    <w:rsid w:val="0F36499C"/>
    <w:rsid w:val="0F3A26DF"/>
    <w:rsid w:val="0F451083"/>
    <w:rsid w:val="0F4767FA"/>
    <w:rsid w:val="0F4B602A"/>
    <w:rsid w:val="0F502EB3"/>
    <w:rsid w:val="0F515FDF"/>
    <w:rsid w:val="0F5A2BFE"/>
    <w:rsid w:val="0F5A59EB"/>
    <w:rsid w:val="0F5A5BA1"/>
    <w:rsid w:val="0F6362EF"/>
    <w:rsid w:val="0F661DB2"/>
    <w:rsid w:val="0F6C5E1D"/>
    <w:rsid w:val="0F704352"/>
    <w:rsid w:val="0F756C74"/>
    <w:rsid w:val="0F772119"/>
    <w:rsid w:val="0F776BBB"/>
    <w:rsid w:val="0F8131CF"/>
    <w:rsid w:val="0F8C5D04"/>
    <w:rsid w:val="0F944C84"/>
    <w:rsid w:val="0F961BBD"/>
    <w:rsid w:val="0F9A13CF"/>
    <w:rsid w:val="0F9F5F5C"/>
    <w:rsid w:val="0FA96AF3"/>
    <w:rsid w:val="0FAE4E7B"/>
    <w:rsid w:val="0FC018B6"/>
    <w:rsid w:val="0FC36648"/>
    <w:rsid w:val="0FC97996"/>
    <w:rsid w:val="0FCB577D"/>
    <w:rsid w:val="0FD54FF5"/>
    <w:rsid w:val="0FDB1753"/>
    <w:rsid w:val="0FDC19E8"/>
    <w:rsid w:val="0FE43EF2"/>
    <w:rsid w:val="0FED3C1C"/>
    <w:rsid w:val="0FFC5BE6"/>
    <w:rsid w:val="10060813"/>
    <w:rsid w:val="101C7A12"/>
    <w:rsid w:val="1025065E"/>
    <w:rsid w:val="103831A6"/>
    <w:rsid w:val="10390BE8"/>
    <w:rsid w:val="10432D00"/>
    <w:rsid w:val="104A4201"/>
    <w:rsid w:val="105526E9"/>
    <w:rsid w:val="105A46BB"/>
    <w:rsid w:val="105A5869"/>
    <w:rsid w:val="105B0B5E"/>
    <w:rsid w:val="105C6685"/>
    <w:rsid w:val="106D43EE"/>
    <w:rsid w:val="10735E1F"/>
    <w:rsid w:val="1074577C"/>
    <w:rsid w:val="10795489"/>
    <w:rsid w:val="108546D5"/>
    <w:rsid w:val="10861954"/>
    <w:rsid w:val="108829DB"/>
    <w:rsid w:val="10896506"/>
    <w:rsid w:val="108C51BC"/>
    <w:rsid w:val="109A0F5B"/>
    <w:rsid w:val="109E4EEF"/>
    <w:rsid w:val="10A1053B"/>
    <w:rsid w:val="10A51DDA"/>
    <w:rsid w:val="10A83D36"/>
    <w:rsid w:val="10AA28B3"/>
    <w:rsid w:val="10AA5642"/>
    <w:rsid w:val="10AC47BA"/>
    <w:rsid w:val="10B65D95"/>
    <w:rsid w:val="10BA0C81"/>
    <w:rsid w:val="10BA69DA"/>
    <w:rsid w:val="10BB4A35"/>
    <w:rsid w:val="10C5422A"/>
    <w:rsid w:val="10CE27F7"/>
    <w:rsid w:val="10D91A83"/>
    <w:rsid w:val="10D95F27"/>
    <w:rsid w:val="10E91940"/>
    <w:rsid w:val="10F64FD8"/>
    <w:rsid w:val="11016229"/>
    <w:rsid w:val="11017AD2"/>
    <w:rsid w:val="11050ACA"/>
    <w:rsid w:val="1111121D"/>
    <w:rsid w:val="1111746F"/>
    <w:rsid w:val="111451B1"/>
    <w:rsid w:val="111B1051"/>
    <w:rsid w:val="111B6D49"/>
    <w:rsid w:val="11206312"/>
    <w:rsid w:val="113D64B6"/>
    <w:rsid w:val="11425F95"/>
    <w:rsid w:val="11441C25"/>
    <w:rsid w:val="114809B7"/>
    <w:rsid w:val="114A0BD3"/>
    <w:rsid w:val="114D7BB1"/>
    <w:rsid w:val="115D5051"/>
    <w:rsid w:val="116F23E8"/>
    <w:rsid w:val="116F4196"/>
    <w:rsid w:val="11787460"/>
    <w:rsid w:val="117E55AC"/>
    <w:rsid w:val="118041DE"/>
    <w:rsid w:val="118A7DBE"/>
    <w:rsid w:val="1193442A"/>
    <w:rsid w:val="119F34BD"/>
    <w:rsid w:val="11A17F51"/>
    <w:rsid w:val="11A55E09"/>
    <w:rsid w:val="11AF5EDB"/>
    <w:rsid w:val="11B0086C"/>
    <w:rsid w:val="11BD13A5"/>
    <w:rsid w:val="11C06EF9"/>
    <w:rsid w:val="11C52008"/>
    <w:rsid w:val="11C6025A"/>
    <w:rsid w:val="11C95F9C"/>
    <w:rsid w:val="11C96FCD"/>
    <w:rsid w:val="11CB0233"/>
    <w:rsid w:val="11CC15E8"/>
    <w:rsid w:val="11CD001D"/>
    <w:rsid w:val="11D64215"/>
    <w:rsid w:val="11DB33B7"/>
    <w:rsid w:val="11DC229F"/>
    <w:rsid w:val="11DC260A"/>
    <w:rsid w:val="11E54A08"/>
    <w:rsid w:val="11E84674"/>
    <w:rsid w:val="11ED1C8A"/>
    <w:rsid w:val="11F41B57"/>
    <w:rsid w:val="11F90A13"/>
    <w:rsid w:val="11FC011F"/>
    <w:rsid w:val="12042B30"/>
    <w:rsid w:val="12121331"/>
    <w:rsid w:val="12166C60"/>
    <w:rsid w:val="12260CF8"/>
    <w:rsid w:val="122B27B2"/>
    <w:rsid w:val="122F69BB"/>
    <w:rsid w:val="123C1FCF"/>
    <w:rsid w:val="123C49C0"/>
    <w:rsid w:val="12445622"/>
    <w:rsid w:val="124F64A1"/>
    <w:rsid w:val="125E4936"/>
    <w:rsid w:val="12802AFE"/>
    <w:rsid w:val="12812E22"/>
    <w:rsid w:val="128C10D8"/>
    <w:rsid w:val="1293001F"/>
    <w:rsid w:val="12940358"/>
    <w:rsid w:val="129513D3"/>
    <w:rsid w:val="1297742E"/>
    <w:rsid w:val="12A56A47"/>
    <w:rsid w:val="12AB56A1"/>
    <w:rsid w:val="12B635BB"/>
    <w:rsid w:val="12C30C3D"/>
    <w:rsid w:val="12C80001"/>
    <w:rsid w:val="12C81DAF"/>
    <w:rsid w:val="12CD7C39"/>
    <w:rsid w:val="12D9025C"/>
    <w:rsid w:val="12DA0B44"/>
    <w:rsid w:val="12E24F29"/>
    <w:rsid w:val="12E32A09"/>
    <w:rsid w:val="12E36BE9"/>
    <w:rsid w:val="12E56E05"/>
    <w:rsid w:val="12E806A4"/>
    <w:rsid w:val="12EC15C7"/>
    <w:rsid w:val="12F93FE5"/>
    <w:rsid w:val="12FB03D7"/>
    <w:rsid w:val="12FC0201"/>
    <w:rsid w:val="1300779B"/>
    <w:rsid w:val="1302191C"/>
    <w:rsid w:val="13037A14"/>
    <w:rsid w:val="130628D8"/>
    <w:rsid w:val="130A7C63"/>
    <w:rsid w:val="131119A8"/>
    <w:rsid w:val="131509B6"/>
    <w:rsid w:val="13174AE5"/>
    <w:rsid w:val="13182D37"/>
    <w:rsid w:val="131E5E73"/>
    <w:rsid w:val="13223BB5"/>
    <w:rsid w:val="1323348A"/>
    <w:rsid w:val="13272F7A"/>
    <w:rsid w:val="13281DD8"/>
    <w:rsid w:val="132D4308"/>
    <w:rsid w:val="132D60B6"/>
    <w:rsid w:val="13345697"/>
    <w:rsid w:val="13347445"/>
    <w:rsid w:val="1339201A"/>
    <w:rsid w:val="134F2888"/>
    <w:rsid w:val="135917E9"/>
    <w:rsid w:val="1370543F"/>
    <w:rsid w:val="13822DD4"/>
    <w:rsid w:val="13830445"/>
    <w:rsid w:val="13946DF0"/>
    <w:rsid w:val="1395604C"/>
    <w:rsid w:val="13993B7F"/>
    <w:rsid w:val="13A22600"/>
    <w:rsid w:val="13A9118F"/>
    <w:rsid w:val="13AB65D9"/>
    <w:rsid w:val="13AD4FA0"/>
    <w:rsid w:val="13C06F2A"/>
    <w:rsid w:val="13C749D7"/>
    <w:rsid w:val="13CE5AEB"/>
    <w:rsid w:val="13D65D70"/>
    <w:rsid w:val="13D7532F"/>
    <w:rsid w:val="13EE5846"/>
    <w:rsid w:val="13F015BE"/>
    <w:rsid w:val="1406396D"/>
    <w:rsid w:val="140B63F8"/>
    <w:rsid w:val="14157701"/>
    <w:rsid w:val="141B73FF"/>
    <w:rsid w:val="1427103E"/>
    <w:rsid w:val="14340B01"/>
    <w:rsid w:val="143B7FF8"/>
    <w:rsid w:val="143E449F"/>
    <w:rsid w:val="144C7508"/>
    <w:rsid w:val="14506D40"/>
    <w:rsid w:val="145910E2"/>
    <w:rsid w:val="145A1E9B"/>
    <w:rsid w:val="1468482E"/>
    <w:rsid w:val="14763522"/>
    <w:rsid w:val="14794EA4"/>
    <w:rsid w:val="147A6BB3"/>
    <w:rsid w:val="147E0924"/>
    <w:rsid w:val="147E12BF"/>
    <w:rsid w:val="14850066"/>
    <w:rsid w:val="1491260D"/>
    <w:rsid w:val="149A3C1F"/>
    <w:rsid w:val="149C1746"/>
    <w:rsid w:val="149E7F66"/>
    <w:rsid w:val="14A676A3"/>
    <w:rsid w:val="14A8633C"/>
    <w:rsid w:val="14AD3BD1"/>
    <w:rsid w:val="14B720DC"/>
    <w:rsid w:val="14D02A6D"/>
    <w:rsid w:val="14D02BF1"/>
    <w:rsid w:val="14D64EEC"/>
    <w:rsid w:val="14DE1D5E"/>
    <w:rsid w:val="14EF207A"/>
    <w:rsid w:val="1505553D"/>
    <w:rsid w:val="15072EE3"/>
    <w:rsid w:val="15082937"/>
    <w:rsid w:val="153320AA"/>
    <w:rsid w:val="15341061"/>
    <w:rsid w:val="15381FBA"/>
    <w:rsid w:val="153B2D0D"/>
    <w:rsid w:val="153D4CD7"/>
    <w:rsid w:val="15455FC4"/>
    <w:rsid w:val="154F4A0A"/>
    <w:rsid w:val="15503C2B"/>
    <w:rsid w:val="15603C4A"/>
    <w:rsid w:val="156264EB"/>
    <w:rsid w:val="15677583"/>
    <w:rsid w:val="15693F0C"/>
    <w:rsid w:val="157306F8"/>
    <w:rsid w:val="1573165A"/>
    <w:rsid w:val="15806971"/>
    <w:rsid w:val="15893DF8"/>
    <w:rsid w:val="158C7B46"/>
    <w:rsid w:val="158F4E06"/>
    <w:rsid w:val="158F6B4C"/>
    <w:rsid w:val="1594241D"/>
    <w:rsid w:val="15966195"/>
    <w:rsid w:val="159702D6"/>
    <w:rsid w:val="15980968"/>
    <w:rsid w:val="159C2C56"/>
    <w:rsid w:val="15B036FB"/>
    <w:rsid w:val="15BB209F"/>
    <w:rsid w:val="15CB45DA"/>
    <w:rsid w:val="15CF16A7"/>
    <w:rsid w:val="15D32F45"/>
    <w:rsid w:val="15E52C78"/>
    <w:rsid w:val="15E870D0"/>
    <w:rsid w:val="15EC64DD"/>
    <w:rsid w:val="15EE3FD0"/>
    <w:rsid w:val="15EF76B0"/>
    <w:rsid w:val="15F01D49"/>
    <w:rsid w:val="15F22551"/>
    <w:rsid w:val="15F33C85"/>
    <w:rsid w:val="16115843"/>
    <w:rsid w:val="16143B0E"/>
    <w:rsid w:val="161C28E0"/>
    <w:rsid w:val="161E7F60"/>
    <w:rsid w:val="16337E88"/>
    <w:rsid w:val="16361726"/>
    <w:rsid w:val="163976E4"/>
    <w:rsid w:val="163C4469"/>
    <w:rsid w:val="163F682C"/>
    <w:rsid w:val="164A3EE5"/>
    <w:rsid w:val="16546C3D"/>
    <w:rsid w:val="16551BAC"/>
    <w:rsid w:val="165A5414"/>
    <w:rsid w:val="1663076D"/>
    <w:rsid w:val="166603FD"/>
    <w:rsid w:val="166777E0"/>
    <w:rsid w:val="16783AEC"/>
    <w:rsid w:val="168F7836"/>
    <w:rsid w:val="169C5A2D"/>
    <w:rsid w:val="16A14DF1"/>
    <w:rsid w:val="16AB7707"/>
    <w:rsid w:val="16B30C23"/>
    <w:rsid w:val="16C35836"/>
    <w:rsid w:val="16C36211"/>
    <w:rsid w:val="16C44F84"/>
    <w:rsid w:val="16D74CB7"/>
    <w:rsid w:val="16D8458B"/>
    <w:rsid w:val="16E42F30"/>
    <w:rsid w:val="16EB42BE"/>
    <w:rsid w:val="16F21AF1"/>
    <w:rsid w:val="16F72C63"/>
    <w:rsid w:val="17075B7B"/>
    <w:rsid w:val="17081314"/>
    <w:rsid w:val="17125CEF"/>
    <w:rsid w:val="17151105"/>
    <w:rsid w:val="171548AE"/>
    <w:rsid w:val="172016ED"/>
    <w:rsid w:val="172872C1"/>
    <w:rsid w:val="17306175"/>
    <w:rsid w:val="17391103"/>
    <w:rsid w:val="17396B4A"/>
    <w:rsid w:val="17416EF8"/>
    <w:rsid w:val="174A116E"/>
    <w:rsid w:val="174A246D"/>
    <w:rsid w:val="174F2A9F"/>
    <w:rsid w:val="17551BF3"/>
    <w:rsid w:val="17577BA6"/>
    <w:rsid w:val="1758293B"/>
    <w:rsid w:val="175A08BA"/>
    <w:rsid w:val="175E43D3"/>
    <w:rsid w:val="176233E5"/>
    <w:rsid w:val="176820FF"/>
    <w:rsid w:val="176B7B12"/>
    <w:rsid w:val="176E2C4A"/>
    <w:rsid w:val="17710C68"/>
    <w:rsid w:val="1776514E"/>
    <w:rsid w:val="17771FF6"/>
    <w:rsid w:val="1779265B"/>
    <w:rsid w:val="177B5642"/>
    <w:rsid w:val="1789687A"/>
    <w:rsid w:val="178D1819"/>
    <w:rsid w:val="179B5CE4"/>
    <w:rsid w:val="17A518D1"/>
    <w:rsid w:val="17A600E3"/>
    <w:rsid w:val="17A74E1F"/>
    <w:rsid w:val="17A76135"/>
    <w:rsid w:val="17B31280"/>
    <w:rsid w:val="17B33B8E"/>
    <w:rsid w:val="17B374D2"/>
    <w:rsid w:val="17B60666"/>
    <w:rsid w:val="17CC2342"/>
    <w:rsid w:val="17D0311D"/>
    <w:rsid w:val="17E01460"/>
    <w:rsid w:val="17E06C0C"/>
    <w:rsid w:val="17E4768B"/>
    <w:rsid w:val="17E71CCD"/>
    <w:rsid w:val="17EE050A"/>
    <w:rsid w:val="17EE22B8"/>
    <w:rsid w:val="17F90C5D"/>
    <w:rsid w:val="18062DF3"/>
    <w:rsid w:val="180C273E"/>
    <w:rsid w:val="180F222F"/>
    <w:rsid w:val="181326B7"/>
    <w:rsid w:val="18153CE9"/>
    <w:rsid w:val="181A2DFA"/>
    <w:rsid w:val="181B4F9E"/>
    <w:rsid w:val="182B17CD"/>
    <w:rsid w:val="183028D1"/>
    <w:rsid w:val="183A54FD"/>
    <w:rsid w:val="184053F5"/>
    <w:rsid w:val="18475E6C"/>
    <w:rsid w:val="18477C1A"/>
    <w:rsid w:val="184D329F"/>
    <w:rsid w:val="18567E5D"/>
    <w:rsid w:val="185D4B98"/>
    <w:rsid w:val="18645AAB"/>
    <w:rsid w:val="18650227"/>
    <w:rsid w:val="188624F1"/>
    <w:rsid w:val="18864640"/>
    <w:rsid w:val="18864E4E"/>
    <w:rsid w:val="188E10D5"/>
    <w:rsid w:val="188F5919"/>
    <w:rsid w:val="189B219C"/>
    <w:rsid w:val="189B5AA1"/>
    <w:rsid w:val="18A46E1B"/>
    <w:rsid w:val="18A820D6"/>
    <w:rsid w:val="18AB22F9"/>
    <w:rsid w:val="18AE0A99"/>
    <w:rsid w:val="18AE1A47"/>
    <w:rsid w:val="18AE7C99"/>
    <w:rsid w:val="18C965C0"/>
    <w:rsid w:val="18D05E62"/>
    <w:rsid w:val="18D21BDA"/>
    <w:rsid w:val="18D71994"/>
    <w:rsid w:val="18D86AC4"/>
    <w:rsid w:val="18EB1FAE"/>
    <w:rsid w:val="18ED6A14"/>
    <w:rsid w:val="18F6044E"/>
    <w:rsid w:val="18FE652B"/>
    <w:rsid w:val="19045B0B"/>
    <w:rsid w:val="19047787"/>
    <w:rsid w:val="19066B43"/>
    <w:rsid w:val="190B5BA5"/>
    <w:rsid w:val="19105CD2"/>
    <w:rsid w:val="191B2724"/>
    <w:rsid w:val="1921046B"/>
    <w:rsid w:val="19262F0B"/>
    <w:rsid w:val="192B3F53"/>
    <w:rsid w:val="19326F59"/>
    <w:rsid w:val="1935339B"/>
    <w:rsid w:val="193E101D"/>
    <w:rsid w:val="1941491D"/>
    <w:rsid w:val="194D237F"/>
    <w:rsid w:val="19524AC9"/>
    <w:rsid w:val="19544417"/>
    <w:rsid w:val="19566367"/>
    <w:rsid w:val="195B19B9"/>
    <w:rsid w:val="195B1D00"/>
    <w:rsid w:val="19622F5E"/>
    <w:rsid w:val="196A3BC0"/>
    <w:rsid w:val="19713556"/>
    <w:rsid w:val="19763D46"/>
    <w:rsid w:val="19772F9A"/>
    <w:rsid w:val="19781B17"/>
    <w:rsid w:val="19813C37"/>
    <w:rsid w:val="19876E02"/>
    <w:rsid w:val="19886E22"/>
    <w:rsid w:val="19904B9B"/>
    <w:rsid w:val="19A4350C"/>
    <w:rsid w:val="19B970C0"/>
    <w:rsid w:val="19BB08C0"/>
    <w:rsid w:val="19C05ED6"/>
    <w:rsid w:val="19C06489"/>
    <w:rsid w:val="19D2736C"/>
    <w:rsid w:val="19D91C69"/>
    <w:rsid w:val="19DE5E98"/>
    <w:rsid w:val="19F3005A"/>
    <w:rsid w:val="19F7110D"/>
    <w:rsid w:val="19F94F44"/>
    <w:rsid w:val="19FD4A34"/>
    <w:rsid w:val="1A002777"/>
    <w:rsid w:val="1A044015"/>
    <w:rsid w:val="1A1B2562"/>
    <w:rsid w:val="1A2521DD"/>
    <w:rsid w:val="1A255D39"/>
    <w:rsid w:val="1A283AC8"/>
    <w:rsid w:val="1A2975D8"/>
    <w:rsid w:val="1A2B6265"/>
    <w:rsid w:val="1A32501B"/>
    <w:rsid w:val="1A443D9C"/>
    <w:rsid w:val="1A472B8C"/>
    <w:rsid w:val="1A495ECC"/>
    <w:rsid w:val="1A4F26A4"/>
    <w:rsid w:val="1A534805"/>
    <w:rsid w:val="1A63048D"/>
    <w:rsid w:val="1A670100"/>
    <w:rsid w:val="1A686570"/>
    <w:rsid w:val="1A6F1B2A"/>
    <w:rsid w:val="1A727303"/>
    <w:rsid w:val="1A746B0E"/>
    <w:rsid w:val="1A7A42D7"/>
    <w:rsid w:val="1A7A6036"/>
    <w:rsid w:val="1A7D7923"/>
    <w:rsid w:val="1A8014F0"/>
    <w:rsid w:val="1A8711E9"/>
    <w:rsid w:val="1A9133CF"/>
    <w:rsid w:val="1AA56FDE"/>
    <w:rsid w:val="1AA650CC"/>
    <w:rsid w:val="1AA84175"/>
    <w:rsid w:val="1AAB623F"/>
    <w:rsid w:val="1AAF7880"/>
    <w:rsid w:val="1AC94917"/>
    <w:rsid w:val="1ACE3E09"/>
    <w:rsid w:val="1AD10211"/>
    <w:rsid w:val="1AD31C39"/>
    <w:rsid w:val="1AD339E7"/>
    <w:rsid w:val="1AD63BEC"/>
    <w:rsid w:val="1AD73553"/>
    <w:rsid w:val="1AD867DA"/>
    <w:rsid w:val="1AE1489F"/>
    <w:rsid w:val="1AE41750"/>
    <w:rsid w:val="1AE45BF4"/>
    <w:rsid w:val="1AE70ACE"/>
    <w:rsid w:val="1AEF717C"/>
    <w:rsid w:val="1AF07FBF"/>
    <w:rsid w:val="1AF54683"/>
    <w:rsid w:val="1AF63BE2"/>
    <w:rsid w:val="1AFA0F74"/>
    <w:rsid w:val="1AFC4CEC"/>
    <w:rsid w:val="1AFC5C92"/>
    <w:rsid w:val="1AFE6CE0"/>
    <w:rsid w:val="1B083691"/>
    <w:rsid w:val="1B0D514B"/>
    <w:rsid w:val="1B0F05BD"/>
    <w:rsid w:val="1B261D69"/>
    <w:rsid w:val="1B3501FE"/>
    <w:rsid w:val="1B485930"/>
    <w:rsid w:val="1B485AE5"/>
    <w:rsid w:val="1B486183"/>
    <w:rsid w:val="1B4A1593"/>
    <w:rsid w:val="1B4F2CCA"/>
    <w:rsid w:val="1B520A5B"/>
    <w:rsid w:val="1B5763C6"/>
    <w:rsid w:val="1B5E08D6"/>
    <w:rsid w:val="1B633F67"/>
    <w:rsid w:val="1B643A72"/>
    <w:rsid w:val="1B6A5160"/>
    <w:rsid w:val="1B6F4D9F"/>
    <w:rsid w:val="1B6F54BE"/>
    <w:rsid w:val="1B703C88"/>
    <w:rsid w:val="1B79449A"/>
    <w:rsid w:val="1B7C407F"/>
    <w:rsid w:val="1B82162B"/>
    <w:rsid w:val="1B8A1DD5"/>
    <w:rsid w:val="1B8D09A8"/>
    <w:rsid w:val="1B8F790E"/>
    <w:rsid w:val="1B917B2A"/>
    <w:rsid w:val="1B9273FE"/>
    <w:rsid w:val="1B9E5DA3"/>
    <w:rsid w:val="1B9F3FD2"/>
    <w:rsid w:val="1BA01B1B"/>
    <w:rsid w:val="1BA11DBE"/>
    <w:rsid w:val="1BA272DE"/>
    <w:rsid w:val="1BA3160C"/>
    <w:rsid w:val="1BA47BE0"/>
    <w:rsid w:val="1BA8707E"/>
    <w:rsid w:val="1BB05AD7"/>
    <w:rsid w:val="1BB20E3A"/>
    <w:rsid w:val="1BB325C6"/>
    <w:rsid w:val="1BBD7E75"/>
    <w:rsid w:val="1BBE4697"/>
    <w:rsid w:val="1BC951C0"/>
    <w:rsid w:val="1BE340FE"/>
    <w:rsid w:val="1BE539D2"/>
    <w:rsid w:val="1BE74617"/>
    <w:rsid w:val="1BEA74D5"/>
    <w:rsid w:val="1BF260EF"/>
    <w:rsid w:val="1BF97D57"/>
    <w:rsid w:val="1BFE2CE6"/>
    <w:rsid w:val="1C0320AA"/>
    <w:rsid w:val="1C057BD0"/>
    <w:rsid w:val="1C0A6AB2"/>
    <w:rsid w:val="1C0E117B"/>
    <w:rsid w:val="1C183DA8"/>
    <w:rsid w:val="1C1A313F"/>
    <w:rsid w:val="1C1D316C"/>
    <w:rsid w:val="1C2269D4"/>
    <w:rsid w:val="1C2F04CC"/>
    <w:rsid w:val="1C407564"/>
    <w:rsid w:val="1C441FDC"/>
    <w:rsid w:val="1C4A1A87"/>
    <w:rsid w:val="1C4A5F2B"/>
    <w:rsid w:val="1C4B5294"/>
    <w:rsid w:val="1C5172BA"/>
    <w:rsid w:val="1C56042C"/>
    <w:rsid w:val="1C6D1D6F"/>
    <w:rsid w:val="1C744D56"/>
    <w:rsid w:val="1C7D36C7"/>
    <w:rsid w:val="1C80194D"/>
    <w:rsid w:val="1C872CDB"/>
    <w:rsid w:val="1C947EE7"/>
    <w:rsid w:val="1C996523"/>
    <w:rsid w:val="1C9B5562"/>
    <w:rsid w:val="1C9D241E"/>
    <w:rsid w:val="1CA92C52"/>
    <w:rsid w:val="1CB6711D"/>
    <w:rsid w:val="1CC10040"/>
    <w:rsid w:val="1CC93433"/>
    <w:rsid w:val="1CD253DE"/>
    <w:rsid w:val="1CDA2E0B"/>
    <w:rsid w:val="1CDF48C5"/>
    <w:rsid w:val="1CE15084"/>
    <w:rsid w:val="1CE343B6"/>
    <w:rsid w:val="1CE428DF"/>
    <w:rsid w:val="1CEA6612"/>
    <w:rsid w:val="1D0742FC"/>
    <w:rsid w:val="1D0C4666"/>
    <w:rsid w:val="1D0D3703"/>
    <w:rsid w:val="1D17405F"/>
    <w:rsid w:val="1D1C3424"/>
    <w:rsid w:val="1D281CF6"/>
    <w:rsid w:val="1D33616F"/>
    <w:rsid w:val="1D381086"/>
    <w:rsid w:val="1D3D0A5D"/>
    <w:rsid w:val="1D48081E"/>
    <w:rsid w:val="1D49213A"/>
    <w:rsid w:val="1D497F91"/>
    <w:rsid w:val="1D527E1C"/>
    <w:rsid w:val="1D562FD5"/>
    <w:rsid w:val="1D5C0E83"/>
    <w:rsid w:val="1D6E149D"/>
    <w:rsid w:val="1D7160DC"/>
    <w:rsid w:val="1D790876"/>
    <w:rsid w:val="1D7B2840"/>
    <w:rsid w:val="1D81597C"/>
    <w:rsid w:val="1D826632"/>
    <w:rsid w:val="1D986D65"/>
    <w:rsid w:val="1DA653E3"/>
    <w:rsid w:val="1DA67191"/>
    <w:rsid w:val="1DB418AE"/>
    <w:rsid w:val="1DBB7FE1"/>
    <w:rsid w:val="1DBC69B5"/>
    <w:rsid w:val="1DC415BC"/>
    <w:rsid w:val="1DC51B08"/>
    <w:rsid w:val="1DC67833"/>
    <w:rsid w:val="1DE06B47"/>
    <w:rsid w:val="1DE96FA0"/>
    <w:rsid w:val="1DF01A8F"/>
    <w:rsid w:val="1E034158"/>
    <w:rsid w:val="1E105F0A"/>
    <w:rsid w:val="1E11610A"/>
    <w:rsid w:val="1E137FFF"/>
    <w:rsid w:val="1E1D38F7"/>
    <w:rsid w:val="1E1D7EB3"/>
    <w:rsid w:val="1E1E141D"/>
    <w:rsid w:val="1E1F1D09"/>
    <w:rsid w:val="1E2C2D12"/>
    <w:rsid w:val="1E302101"/>
    <w:rsid w:val="1E3B078C"/>
    <w:rsid w:val="1E3B0B80"/>
    <w:rsid w:val="1E4075E6"/>
    <w:rsid w:val="1E42344B"/>
    <w:rsid w:val="1E4A258F"/>
    <w:rsid w:val="1E4C7D38"/>
    <w:rsid w:val="1E4D16C6"/>
    <w:rsid w:val="1E5A233A"/>
    <w:rsid w:val="1E5A2D1B"/>
    <w:rsid w:val="1E5D4451"/>
    <w:rsid w:val="1E5F1583"/>
    <w:rsid w:val="1E693EC0"/>
    <w:rsid w:val="1E696B3C"/>
    <w:rsid w:val="1E7A22F1"/>
    <w:rsid w:val="1E8219AC"/>
    <w:rsid w:val="1E831280"/>
    <w:rsid w:val="1E874E4D"/>
    <w:rsid w:val="1E9242EB"/>
    <w:rsid w:val="1E956402"/>
    <w:rsid w:val="1EA02A26"/>
    <w:rsid w:val="1EA731C1"/>
    <w:rsid w:val="1EAB0F03"/>
    <w:rsid w:val="1EB12291"/>
    <w:rsid w:val="1EB27BD0"/>
    <w:rsid w:val="1EC92A44"/>
    <w:rsid w:val="1ED03DDD"/>
    <w:rsid w:val="1ED42B97"/>
    <w:rsid w:val="1EE6018D"/>
    <w:rsid w:val="1EEE53EA"/>
    <w:rsid w:val="1EEE6A16"/>
    <w:rsid w:val="1EF04B68"/>
    <w:rsid w:val="1EFB0FDF"/>
    <w:rsid w:val="1F093E7B"/>
    <w:rsid w:val="1F10520A"/>
    <w:rsid w:val="1F113BD2"/>
    <w:rsid w:val="1F1828A7"/>
    <w:rsid w:val="1F201DBF"/>
    <w:rsid w:val="1F247E78"/>
    <w:rsid w:val="1F3446D2"/>
    <w:rsid w:val="1F345BBF"/>
    <w:rsid w:val="1F3F3A42"/>
    <w:rsid w:val="1F501AAA"/>
    <w:rsid w:val="1F5122ED"/>
    <w:rsid w:val="1F5321A4"/>
    <w:rsid w:val="1F5570C1"/>
    <w:rsid w:val="1F564138"/>
    <w:rsid w:val="1F58270D"/>
    <w:rsid w:val="1F686DF4"/>
    <w:rsid w:val="1F703EFB"/>
    <w:rsid w:val="1F7D7CFC"/>
    <w:rsid w:val="1F7F413E"/>
    <w:rsid w:val="1F8359DC"/>
    <w:rsid w:val="1F8D0609"/>
    <w:rsid w:val="1F8D21E7"/>
    <w:rsid w:val="1FA97878"/>
    <w:rsid w:val="1FB301B8"/>
    <w:rsid w:val="1FB90D87"/>
    <w:rsid w:val="1FBA5176"/>
    <w:rsid w:val="1FC3402A"/>
    <w:rsid w:val="1FD56418"/>
    <w:rsid w:val="1FD941DA"/>
    <w:rsid w:val="1FDB264A"/>
    <w:rsid w:val="1FE3647B"/>
    <w:rsid w:val="1FE4256C"/>
    <w:rsid w:val="1FF22625"/>
    <w:rsid w:val="1FF75640"/>
    <w:rsid w:val="1FF97A4C"/>
    <w:rsid w:val="20075332"/>
    <w:rsid w:val="2007660D"/>
    <w:rsid w:val="200F3EAF"/>
    <w:rsid w:val="201C373B"/>
    <w:rsid w:val="202251F5"/>
    <w:rsid w:val="202A2B59"/>
    <w:rsid w:val="202C26E9"/>
    <w:rsid w:val="202E2AB2"/>
    <w:rsid w:val="202F346E"/>
    <w:rsid w:val="204213F3"/>
    <w:rsid w:val="20482379"/>
    <w:rsid w:val="204B75AD"/>
    <w:rsid w:val="204E0CAA"/>
    <w:rsid w:val="204E514B"/>
    <w:rsid w:val="205870DA"/>
    <w:rsid w:val="205D447F"/>
    <w:rsid w:val="20607ACB"/>
    <w:rsid w:val="206C2914"/>
    <w:rsid w:val="206F11A9"/>
    <w:rsid w:val="206F285C"/>
    <w:rsid w:val="207F2647"/>
    <w:rsid w:val="20843C66"/>
    <w:rsid w:val="20894213"/>
    <w:rsid w:val="209675E1"/>
    <w:rsid w:val="209A4B87"/>
    <w:rsid w:val="20A0611A"/>
    <w:rsid w:val="20B41BC5"/>
    <w:rsid w:val="20B63B8F"/>
    <w:rsid w:val="20C85A07"/>
    <w:rsid w:val="20CB1E8B"/>
    <w:rsid w:val="20D12669"/>
    <w:rsid w:val="20E42618"/>
    <w:rsid w:val="20E524BD"/>
    <w:rsid w:val="20EB4BEE"/>
    <w:rsid w:val="20EE50D7"/>
    <w:rsid w:val="20F53C16"/>
    <w:rsid w:val="20F626D6"/>
    <w:rsid w:val="20F841A8"/>
    <w:rsid w:val="20FB3307"/>
    <w:rsid w:val="20FE1726"/>
    <w:rsid w:val="21004E0A"/>
    <w:rsid w:val="210165B1"/>
    <w:rsid w:val="21093CBF"/>
    <w:rsid w:val="211054D6"/>
    <w:rsid w:val="2116462E"/>
    <w:rsid w:val="212154AC"/>
    <w:rsid w:val="212A2260"/>
    <w:rsid w:val="213A32E2"/>
    <w:rsid w:val="21423675"/>
    <w:rsid w:val="214E3DC8"/>
    <w:rsid w:val="214F5671"/>
    <w:rsid w:val="21537630"/>
    <w:rsid w:val="215A451A"/>
    <w:rsid w:val="215E4EE8"/>
    <w:rsid w:val="21600249"/>
    <w:rsid w:val="216058A9"/>
    <w:rsid w:val="216929AF"/>
    <w:rsid w:val="216A7B82"/>
    <w:rsid w:val="21793DC5"/>
    <w:rsid w:val="21885277"/>
    <w:rsid w:val="218872DA"/>
    <w:rsid w:val="218D2B42"/>
    <w:rsid w:val="218F68ED"/>
    <w:rsid w:val="21A5136F"/>
    <w:rsid w:val="21A92086"/>
    <w:rsid w:val="21B52AD4"/>
    <w:rsid w:val="21C44E06"/>
    <w:rsid w:val="21D10024"/>
    <w:rsid w:val="21DB7773"/>
    <w:rsid w:val="21E116E9"/>
    <w:rsid w:val="21E12EE9"/>
    <w:rsid w:val="21E31410"/>
    <w:rsid w:val="21ED538F"/>
    <w:rsid w:val="21F901D7"/>
    <w:rsid w:val="21F941AF"/>
    <w:rsid w:val="21FB5FE2"/>
    <w:rsid w:val="21FD3507"/>
    <w:rsid w:val="22031056"/>
    <w:rsid w:val="220345DE"/>
    <w:rsid w:val="220628F4"/>
    <w:rsid w:val="220B1FE2"/>
    <w:rsid w:val="22105521"/>
    <w:rsid w:val="221548E5"/>
    <w:rsid w:val="22162B37"/>
    <w:rsid w:val="221A3776"/>
    <w:rsid w:val="221B014E"/>
    <w:rsid w:val="22276411"/>
    <w:rsid w:val="222C235B"/>
    <w:rsid w:val="2230760B"/>
    <w:rsid w:val="223207CB"/>
    <w:rsid w:val="22372AAE"/>
    <w:rsid w:val="224C750B"/>
    <w:rsid w:val="22571F8F"/>
    <w:rsid w:val="22590C76"/>
    <w:rsid w:val="22627A44"/>
    <w:rsid w:val="22651D11"/>
    <w:rsid w:val="226A0FD0"/>
    <w:rsid w:val="226A2AB5"/>
    <w:rsid w:val="226D4721"/>
    <w:rsid w:val="227708A9"/>
    <w:rsid w:val="227E248B"/>
    <w:rsid w:val="22835B04"/>
    <w:rsid w:val="228C07E7"/>
    <w:rsid w:val="22927D0F"/>
    <w:rsid w:val="22963C78"/>
    <w:rsid w:val="229972C4"/>
    <w:rsid w:val="229C1D23"/>
    <w:rsid w:val="229E7CA9"/>
    <w:rsid w:val="22AA14D2"/>
    <w:rsid w:val="22B22BC0"/>
    <w:rsid w:val="22B9223E"/>
    <w:rsid w:val="22C81958"/>
    <w:rsid w:val="22CD0732"/>
    <w:rsid w:val="22CF718A"/>
    <w:rsid w:val="22D04D90"/>
    <w:rsid w:val="22D71A68"/>
    <w:rsid w:val="22E20C6B"/>
    <w:rsid w:val="22E21CC0"/>
    <w:rsid w:val="22EC3898"/>
    <w:rsid w:val="22ED6D05"/>
    <w:rsid w:val="22FB3ADB"/>
    <w:rsid w:val="23047A11"/>
    <w:rsid w:val="23051CD4"/>
    <w:rsid w:val="2305562B"/>
    <w:rsid w:val="230B6414"/>
    <w:rsid w:val="230C5171"/>
    <w:rsid w:val="23120B9F"/>
    <w:rsid w:val="23137077"/>
    <w:rsid w:val="2315251F"/>
    <w:rsid w:val="231A0405"/>
    <w:rsid w:val="232057F5"/>
    <w:rsid w:val="233139A1"/>
    <w:rsid w:val="2338762A"/>
    <w:rsid w:val="233D2211"/>
    <w:rsid w:val="23427BCD"/>
    <w:rsid w:val="23493CB7"/>
    <w:rsid w:val="234B506B"/>
    <w:rsid w:val="235356C5"/>
    <w:rsid w:val="235D6544"/>
    <w:rsid w:val="235E5AA3"/>
    <w:rsid w:val="235F41EA"/>
    <w:rsid w:val="23671B57"/>
    <w:rsid w:val="236C49D9"/>
    <w:rsid w:val="237B69CA"/>
    <w:rsid w:val="237E1585"/>
    <w:rsid w:val="23876CAD"/>
    <w:rsid w:val="238A7DBA"/>
    <w:rsid w:val="238F1B78"/>
    <w:rsid w:val="23931140"/>
    <w:rsid w:val="239518D2"/>
    <w:rsid w:val="239575E6"/>
    <w:rsid w:val="23977CA8"/>
    <w:rsid w:val="239D69FC"/>
    <w:rsid w:val="239F0D0C"/>
    <w:rsid w:val="23A841AA"/>
    <w:rsid w:val="23A96694"/>
    <w:rsid w:val="23AA40FE"/>
    <w:rsid w:val="23AB57C6"/>
    <w:rsid w:val="23B337F3"/>
    <w:rsid w:val="23B55F80"/>
    <w:rsid w:val="23B753E0"/>
    <w:rsid w:val="23C71C0F"/>
    <w:rsid w:val="23E26A49"/>
    <w:rsid w:val="23E3039C"/>
    <w:rsid w:val="23E822B1"/>
    <w:rsid w:val="23ED46EB"/>
    <w:rsid w:val="23F05265"/>
    <w:rsid w:val="23F3689C"/>
    <w:rsid w:val="23F62347"/>
    <w:rsid w:val="23F72395"/>
    <w:rsid w:val="24045BCB"/>
    <w:rsid w:val="24054C0B"/>
    <w:rsid w:val="240B41F2"/>
    <w:rsid w:val="241B53D3"/>
    <w:rsid w:val="241F1A4B"/>
    <w:rsid w:val="242353D5"/>
    <w:rsid w:val="24244D9A"/>
    <w:rsid w:val="242B1718"/>
    <w:rsid w:val="243279D1"/>
    <w:rsid w:val="24351FC6"/>
    <w:rsid w:val="24374FE7"/>
    <w:rsid w:val="243816E8"/>
    <w:rsid w:val="243A0633"/>
    <w:rsid w:val="243B2281"/>
    <w:rsid w:val="24422C3A"/>
    <w:rsid w:val="2443398C"/>
    <w:rsid w:val="24455956"/>
    <w:rsid w:val="24480FA2"/>
    <w:rsid w:val="244F20DA"/>
    <w:rsid w:val="24600A59"/>
    <w:rsid w:val="246A055E"/>
    <w:rsid w:val="246F652F"/>
    <w:rsid w:val="24741F75"/>
    <w:rsid w:val="247B6876"/>
    <w:rsid w:val="2480572A"/>
    <w:rsid w:val="24832A90"/>
    <w:rsid w:val="24841C60"/>
    <w:rsid w:val="24877D1C"/>
    <w:rsid w:val="248A0328"/>
    <w:rsid w:val="248A15BB"/>
    <w:rsid w:val="248C1A8E"/>
    <w:rsid w:val="248E3007"/>
    <w:rsid w:val="249B7324"/>
    <w:rsid w:val="24A129AB"/>
    <w:rsid w:val="24A361D8"/>
    <w:rsid w:val="24AF2DCF"/>
    <w:rsid w:val="24CD76F9"/>
    <w:rsid w:val="24D87D63"/>
    <w:rsid w:val="24DE1906"/>
    <w:rsid w:val="24F01070"/>
    <w:rsid w:val="24FE5B05"/>
    <w:rsid w:val="250017D3"/>
    <w:rsid w:val="250550E5"/>
    <w:rsid w:val="250D57C2"/>
    <w:rsid w:val="251A0B90"/>
    <w:rsid w:val="251C76EF"/>
    <w:rsid w:val="251E0337"/>
    <w:rsid w:val="251E08AF"/>
    <w:rsid w:val="252437BD"/>
    <w:rsid w:val="25290DD3"/>
    <w:rsid w:val="252B19AC"/>
    <w:rsid w:val="252B5EB9"/>
    <w:rsid w:val="25335BE0"/>
    <w:rsid w:val="25497DCC"/>
    <w:rsid w:val="254C061E"/>
    <w:rsid w:val="25560F8D"/>
    <w:rsid w:val="2556504B"/>
    <w:rsid w:val="25660888"/>
    <w:rsid w:val="256622E7"/>
    <w:rsid w:val="256C2A6E"/>
    <w:rsid w:val="25783B09"/>
    <w:rsid w:val="257E35F2"/>
    <w:rsid w:val="258204E4"/>
    <w:rsid w:val="258724D7"/>
    <w:rsid w:val="25B74631"/>
    <w:rsid w:val="25C1100C"/>
    <w:rsid w:val="25C44658"/>
    <w:rsid w:val="25CC1E99"/>
    <w:rsid w:val="25DE1752"/>
    <w:rsid w:val="25DE2164"/>
    <w:rsid w:val="25E66B6A"/>
    <w:rsid w:val="25E66CC5"/>
    <w:rsid w:val="25E940BF"/>
    <w:rsid w:val="25ED2B06"/>
    <w:rsid w:val="25F0369F"/>
    <w:rsid w:val="25FC2044"/>
    <w:rsid w:val="260678C3"/>
    <w:rsid w:val="260E1D77"/>
    <w:rsid w:val="26107139"/>
    <w:rsid w:val="261C297A"/>
    <w:rsid w:val="262F333A"/>
    <w:rsid w:val="26307F40"/>
    <w:rsid w:val="26321C01"/>
    <w:rsid w:val="2638297B"/>
    <w:rsid w:val="26413603"/>
    <w:rsid w:val="264F6618"/>
    <w:rsid w:val="265010DB"/>
    <w:rsid w:val="265506D5"/>
    <w:rsid w:val="266D3134"/>
    <w:rsid w:val="26751385"/>
    <w:rsid w:val="26761685"/>
    <w:rsid w:val="267918E7"/>
    <w:rsid w:val="267B565F"/>
    <w:rsid w:val="268564DD"/>
    <w:rsid w:val="268B33C8"/>
    <w:rsid w:val="269648DF"/>
    <w:rsid w:val="269A360B"/>
    <w:rsid w:val="26A47AE2"/>
    <w:rsid w:val="26A56238"/>
    <w:rsid w:val="26AA5F44"/>
    <w:rsid w:val="26AC1A34"/>
    <w:rsid w:val="26B04986"/>
    <w:rsid w:val="26C40874"/>
    <w:rsid w:val="26C54B2C"/>
    <w:rsid w:val="26CA0394"/>
    <w:rsid w:val="26CC7C68"/>
    <w:rsid w:val="26D0702D"/>
    <w:rsid w:val="26D235A6"/>
    <w:rsid w:val="26D27249"/>
    <w:rsid w:val="26D41D72"/>
    <w:rsid w:val="26D57D33"/>
    <w:rsid w:val="26D905D7"/>
    <w:rsid w:val="26E01966"/>
    <w:rsid w:val="26EA00EF"/>
    <w:rsid w:val="26ED1D1A"/>
    <w:rsid w:val="26F03788"/>
    <w:rsid w:val="270B7843"/>
    <w:rsid w:val="270D202F"/>
    <w:rsid w:val="27133AE9"/>
    <w:rsid w:val="27181100"/>
    <w:rsid w:val="27184E29"/>
    <w:rsid w:val="271C38FD"/>
    <w:rsid w:val="2725381D"/>
    <w:rsid w:val="272C0399"/>
    <w:rsid w:val="272D3149"/>
    <w:rsid w:val="272E26D1"/>
    <w:rsid w:val="273F48DE"/>
    <w:rsid w:val="274D65AA"/>
    <w:rsid w:val="274E0EEF"/>
    <w:rsid w:val="275D0A33"/>
    <w:rsid w:val="27623D3E"/>
    <w:rsid w:val="276854B7"/>
    <w:rsid w:val="276A6C21"/>
    <w:rsid w:val="277327DA"/>
    <w:rsid w:val="277B791C"/>
    <w:rsid w:val="278301EA"/>
    <w:rsid w:val="2786142B"/>
    <w:rsid w:val="2786250D"/>
    <w:rsid w:val="27877F49"/>
    <w:rsid w:val="279369D8"/>
    <w:rsid w:val="279A12BC"/>
    <w:rsid w:val="27A609B2"/>
    <w:rsid w:val="27A6750E"/>
    <w:rsid w:val="27AE789D"/>
    <w:rsid w:val="27AF30E6"/>
    <w:rsid w:val="27B06884"/>
    <w:rsid w:val="27B33C90"/>
    <w:rsid w:val="27B44C0E"/>
    <w:rsid w:val="27D05536"/>
    <w:rsid w:val="27D11B30"/>
    <w:rsid w:val="27D22B99"/>
    <w:rsid w:val="27E15995"/>
    <w:rsid w:val="27E20E2A"/>
    <w:rsid w:val="27EA3355"/>
    <w:rsid w:val="27EE71B2"/>
    <w:rsid w:val="27FE31E6"/>
    <w:rsid w:val="280264C3"/>
    <w:rsid w:val="28060F58"/>
    <w:rsid w:val="28084E1A"/>
    <w:rsid w:val="280D678A"/>
    <w:rsid w:val="28111955"/>
    <w:rsid w:val="281A0EA7"/>
    <w:rsid w:val="281A6228"/>
    <w:rsid w:val="282D620B"/>
    <w:rsid w:val="28346545"/>
    <w:rsid w:val="283B73C3"/>
    <w:rsid w:val="283F090E"/>
    <w:rsid w:val="284B172A"/>
    <w:rsid w:val="286345FC"/>
    <w:rsid w:val="28757E8C"/>
    <w:rsid w:val="287700A8"/>
    <w:rsid w:val="288775CB"/>
    <w:rsid w:val="28902F18"/>
    <w:rsid w:val="289A5396"/>
    <w:rsid w:val="28A864B3"/>
    <w:rsid w:val="28AA3FD9"/>
    <w:rsid w:val="28BC3D0D"/>
    <w:rsid w:val="28C0322D"/>
    <w:rsid w:val="28CE6296"/>
    <w:rsid w:val="28D31009"/>
    <w:rsid w:val="28DC08BE"/>
    <w:rsid w:val="28DF17A9"/>
    <w:rsid w:val="28EB2B7A"/>
    <w:rsid w:val="28ED6CB4"/>
    <w:rsid w:val="28F74D45"/>
    <w:rsid w:val="28FA302E"/>
    <w:rsid w:val="28FA687C"/>
    <w:rsid w:val="28FB65E3"/>
    <w:rsid w:val="28FD67FF"/>
    <w:rsid w:val="290D24E8"/>
    <w:rsid w:val="2916554F"/>
    <w:rsid w:val="291718D0"/>
    <w:rsid w:val="29195BBB"/>
    <w:rsid w:val="29233D8C"/>
    <w:rsid w:val="293164A9"/>
    <w:rsid w:val="29424742"/>
    <w:rsid w:val="29464110"/>
    <w:rsid w:val="29503844"/>
    <w:rsid w:val="295128E2"/>
    <w:rsid w:val="29555B99"/>
    <w:rsid w:val="29567A3B"/>
    <w:rsid w:val="29621D55"/>
    <w:rsid w:val="29623972"/>
    <w:rsid w:val="29672FFF"/>
    <w:rsid w:val="29752839"/>
    <w:rsid w:val="297F4241"/>
    <w:rsid w:val="298015A5"/>
    <w:rsid w:val="29826D04"/>
    <w:rsid w:val="29874870"/>
    <w:rsid w:val="298E7852"/>
    <w:rsid w:val="29A43E1D"/>
    <w:rsid w:val="29B733F6"/>
    <w:rsid w:val="29BC5386"/>
    <w:rsid w:val="29C76542"/>
    <w:rsid w:val="29C76E0D"/>
    <w:rsid w:val="29C837D8"/>
    <w:rsid w:val="29D07A70"/>
    <w:rsid w:val="29D4704A"/>
    <w:rsid w:val="29D7234E"/>
    <w:rsid w:val="29E0619D"/>
    <w:rsid w:val="29E21F96"/>
    <w:rsid w:val="29EC357B"/>
    <w:rsid w:val="29F1409D"/>
    <w:rsid w:val="29F86FC6"/>
    <w:rsid w:val="29FD2806"/>
    <w:rsid w:val="29FD7D93"/>
    <w:rsid w:val="29FF3E88"/>
    <w:rsid w:val="2A070FB7"/>
    <w:rsid w:val="2A1640AA"/>
    <w:rsid w:val="2A1D6A2D"/>
    <w:rsid w:val="2A2132F4"/>
    <w:rsid w:val="2A232826"/>
    <w:rsid w:val="2A2B429D"/>
    <w:rsid w:val="2A2B61C7"/>
    <w:rsid w:val="2A351FC9"/>
    <w:rsid w:val="2A3936D6"/>
    <w:rsid w:val="2A443FBA"/>
    <w:rsid w:val="2A5E1C96"/>
    <w:rsid w:val="2A5F234A"/>
    <w:rsid w:val="2A693A20"/>
    <w:rsid w:val="2A7B7321"/>
    <w:rsid w:val="2A7C7BF7"/>
    <w:rsid w:val="2A7D74CC"/>
    <w:rsid w:val="2A7E44CF"/>
    <w:rsid w:val="2A8151CF"/>
    <w:rsid w:val="2A817B15"/>
    <w:rsid w:val="2A862EDE"/>
    <w:rsid w:val="2AA138C8"/>
    <w:rsid w:val="2AA35184"/>
    <w:rsid w:val="2AA36F32"/>
    <w:rsid w:val="2AB90B04"/>
    <w:rsid w:val="2AB96283"/>
    <w:rsid w:val="2ABA19BE"/>
    <w:rsid w:val="2ABB0720"/>
    <w:rsid w:val="2ABE39B7"/>
    <w:rsid w:val="2AC27FD3"/>
    <w:rsid w:val="2ACC6A10"/>
    <w:rsid w:val="2AD06C27"/>
    <w:rsid w:val="2AD10888"/>
    <w:rsid w:val="2AF578DD"/>
    <w:rsid w:val="2AFA045E"/>
    <w:rsid w:val="2B2823EB"/>
    <w:rsid w:val="2B555E65"/>
    <w:rsid w:val="2B5A30BA"/>
    <w:rsid w:val="2B5D3585"/>
    <w:rsid w:val="2B681F2A"/>
    <w:rsid w:val="2B7D6336"/>
    <w:rsid w:val="2B820E5B"/>
    <w:rsid w:val="2B87653C"/>
    <w:rsid w:val="2B9525B0"/>
    <w:rsid w:val="2B952AA1"/>
    <w:rsid w:val="2B960048"/>
    <w:rsid w:val="2B985FCE"/>
    <w:rsid w:val="2B9920E3"/>
    <w:rsid w:val="2BA20995"/>
    <w:rsid w:val="2BB67139"/>
    <w:rsid w:val="2BBD04C8"/>
    <w:rsid w:val="2BE03161"/>
    <w:rsid w:val="2BE12049"/>
    <w:rsid w:val="2BE27F2E"/>
    <w:rsid w:val="2BE710A1"/>
    <w:rsid w:val="2BEE541D"/>
    <w:rsid w:val="2BF2041A"/>
    <w:rsid w:val="2BF44BDD"/>
    <w:rsid w:val="2BFC0FF0"/>
    <w:rsid w:val="2BFE5184"/>
    <w:rsid w:val="2C023844"/>
    <w:rsid w:val="2C024F0C"/>
    <w:rsid w:val="2C0D6C02"/>
    <w:rsid w:val="2C1027EF"/>
    <w:rsid w:val="2C1A3C72"/>
    <w:rsid w:val="2C31056E"/>
    <w:rsid w:val="2C35241D"/>
    <w:rsid w:val="2C364F00"/>
    <w:rsid w:val="2C370C0C"/>
    <w:rsid w:val="2C3A5674"/>
    <w:rsid w:val="2C3C30AD"/>
    <w:rsid w:val="2C3F0EDD"/>
    <w:rsid w:val="2C4472B1"/>
    <w:rsid w:val="2C45434C"/>
    <w:rsid w:val="2C4613C9"/>
    <w:rsid w:val="2C462B5E"/>
    <w:rsid w:val="2C4C35F9"/>
    <w:rsid w:val="2C507E91"/>
    <w:rsid w:val="2C611306"/>
    <w:rsid w:val="2C815051"/>
    <w:rsid w:val="2C864381"/>
    <w:rsid w:val="2C8B3F52"/>
    <w:rsid w:val="2C8E15B2"/>
    <w:rsid w:val="2C974FEB"/>
    <w:rsid w:val="2C9A4365"/>
    <w:rsid w:val="2C9F1AFF"/>
    <w:rsid w:val="2CA46F92"/>
    <w:rsid w:val="2CAA206F"/>
    <w:rsid w:val="2CAC2A7B"/>
    <w:rsid w:val="2CAC2DE6"/>
    <w:rsid w:val="2CAD0415"/>
    <w:rsid w:val="2CAF69CD"/>
    <w:rsid w:val="2CBA592E"/>
    <w:rsid w:val="2CD62E42"/>
    <w:rsid w:val="2CDA6E57"/>
    <w:rsid w:val="2CDE1189"/>
    <w:rsid w:val="2CFF241A"/>
    <w:rsid w:val="2D000EFA"/>
    <w:rsid w:val="2D027410"/>
    <w:rsid w:val="2D080026"/>
    <w:rsid w:val="2D1C4D7A"/>
    <w:rsid w:val="2D1C6405"/>
    <w:rsid w:val="2D1D7812"/>
    <w:rsid w:val="2D1F5D48"/>
    <w:rsid w:val="2D205696"/>
    <w:rsid w:val="2D206443"/>
    <w:rsid w:val="2D2325AC"/>
    <w:rsid w:val="2D2B1556"/>
    <w:rsid w:val="2D2D2C93"/>
    <w:rsid w:val="2D2E0549"/>
    <w:rsid w:val="2D3C541C"/>
    <w:rsid w:val="2D463E79"/>
    <w:rsid w:val="2D485F39"/>
    <w:rsid w:val="2D4C4236"/>
    <w:rsid w:val="2D6A7474"/>
    <w:rsid w:val="2D767CD7"/>
    <w:rsid w:val="2D782F8C"/>
    <w:rsid w:val="2D7B4196"/>
    <w:rsid w:val="2D834DF9"/>
    <w:rsid w:val="2D894C87"/>
    <w:rsid w:val="2D9502B1"/>
    <w:rsid w:val="2DA51213"/>
    <w:rsid w:val="2DAB008F"/>
    <w:rsid w:val="2DAF3E40"/>
    <w:rsid w:val="2DB06539"/>
    <w:rsid w:val="2DB17BB8"/>
    <w:rsid w:val="2DC84F02"/>
    <w:rsid w:val="2DC91C47"/>
    <w:rsid w:val="2DDF6FC3"/>
    <w:rsid w:val="2DE0494E"/>
    <w:rsid w:val="2DEF3263"/>
    <w:rsid w:val="2E064A63"/>
    <w:rsid w:val="2E0A6B39"/>
    <w:rsid w:val="2E2948CC"/>
    <w:rsid w:val="2E304F81"/>
    <w:rsid w:val="2E31032F"/>
    <w:rsid w:val="2E331114"/>
    <w:rsid w:val="2E334A71"/>
    <w:rsid w:val="2E3B0643"/>
    <w:rsid w:val="2E434920"/>
    <w:rsid w:val="2E437C7A"/>
    <w:rsid w:val="2E474078"/>
    <w:rsid w:val="2E497A46"/>
    <w:rsid w:val="2E4E3659"/>
    <w:rsid w:val="2E52619A"/>
    <w:rsid w:val="2E6115DE"/>
    <w:rsid w:val="2E627104"/>
    <w:rsid w:val="2E635506"/>
    <w:rsid w:val="2E692241"/>
    <w:rsid w:val="2E76495E"/>
    <w:rsid w:val="2E7A61FC"/>
    <w:rsid w:val="2E7E481A"/>
    <w:rsid w:val="2E80471D"/>
    <w:rsid w:val="2E8519F0"/>
    <w:rsid w:val="2E8A0EBB"/>
    <w:rsid w:val="2E8C7362"/>
    <w:rsid w:val="2E943223"/>
    <w:rsid w:val="2E9436D8"/>
    <w:rsid w:val="2E9B73BC"/>
    <w:rsid w:val="2EA07318"/>
    <w:rsid w:val="2EB14001"/>
    <w:rsid w:val="2EB45BB2"/>
    <w:rsid w:val="2EB55486"/>
    <w:rsid w:val="2EB704E6"/>
    <w:rsid w:val="2EC56EC5"/>
    <w:rsid w:val="2EC658E5"/>
    <w:rsid w:val="2EC76F67"/>
    <w:rsid w:val="2EC92A23"/>
    <w:rsid w:val="2ECE479A"/>
    <w:rsid w:val="2EDF0755"/>
    <w:rsid w:val="2EE97288"/>
    <w:rsid w:val="2EF266DA"/>
    <w:rsid w:val="2EF316AB"/>
    <w:rsid w:val="2EF37D5C"/>
    <w:rsid w:val="2F032695"/>
    <w:rsid w:val="2F087CAC"/>
    <w:rsid w:val="2F0F25EC"/>
    <w:rsid w:val="2F1E10E7"/>
    <w:rsid w:val="2F2C13A9"/>
    <w:rsid w:val="2F302D5E"/>
    <w:rsid w:val="2F356775"/>
    <w:rsid w:val="2F3F5A8C"/>
    <w:rsid w:val="2F432A92"/>
    <w:rsid w:val="2F45680A"/>
    <w:rsid w:val="2F476654"/>
    <w:rsid w:val="2F49095D"/>
    <w:rsid w:val="2F494EF4"/>
    <w:rsid w:val="2F4F58DB"/>
    <w:rsid w:val="2F5041F6"/>
    <w:rsid w:val="2F5514A4"/>
    <w:rsid w:val="2F5664D2"/>
    <w:rsid w:val="2F57478F"/>
    <w:rsid w:val="2F575F82"/>
    <w:rsid w:val="2F5B602D"/>
    <w:rsid w:val="2F683B53"/>
    <w:rsid w:val="2F715851"/>
    <w:rsid w:val="2F74784C"/>
    <w:rsid w:val="2F9024D5"/>
    <w:rsid w:val="2F990904"/>
    <w:rsid w:val="2F9C316D"/>
    <w:rsid w:val="2F9E26C8"/>
    <w:rsid w:val="2FA9552A"/>
    <w:rsid w:val="2FAC4B94"/>
    <w:rsid w:val="2FAE6B0C"/>
    <w:rsid w:val="2FB67708"/>
    <w:rsid w:val="2FBD0387"/>
    <w:rsid w:val="2FBF7029"/>
    <w:rsid w:val="2FC21CDF"/>
    <w:rsid w:val="2FCA4F61"/>
    <w:rsid w:val="2FD92D9A"/>
    <w:rsid w:val="2FE51D9B"/>
    <w:rsid w:val="2FE778C1"/>
    <w:rsid w:val="2FF86323"/>
    <w:rsid w:val="2FF9126C"/>
    <w:rsid w:val="2FFB55D2"/>
    <w:rsid w:val="30087E08"/>
    <w:rsid w:val="300A6857"/>
    <w:rsid w:val="301461DC"/>
    <w:rsid w:val="30185CCC"/>
    <w:rsid w:val="30194C9A"/>
    <w:rsid w:val="302B6B90"/>
    <w:rsid w:val="302C1778"/>
    <w:rsid w:val="30304425"/>
    <w:rsid w:val="30352647"/>
    <w:rsid w:val="303643A5"/>
    <w:rsid w:val="303F61C1"/>
    <w:rsid w:val="3040577F"/>
    <w:rsid w:val="3045283A"/>
    <w:rsid w:val="304A1A07"/>
    <w:rsid w:val="304A7E50"/>
    <w:rsid w:val="305111DE"/>
    <w:rsid w:val="30557069"/>
    <w:rsid w:val="306155C2"/>
    <w:rsid w:val="3062249A"/>
    <w:rsid w:val="307402F7"/>
    <w:rsid w:val="307A0A0D"/>
    <w:rsid w:val="308425BF"/>
    <w:rsid w:val="30847806"/>
    <w:rsid w:val="3087661B"/>
    <w:rsid w:val="30890C03"/>
    <w:rsid w:val="30896455"/>
    <w:rsid w:val="309537C1"/>
    <w:rsid w:val="309F63EE"/>
    <w:rsid w:val="30A92DC8"/>
    <w:rsid w:val="30AA0F06"/>
    <w:rsid w:val="30AC4667"/>
    <w:rsid w:val="30AD6A75"/>
    <w:rsid w:val="30B43136"/>
    <w:rsid w:val="30C45E54"/>
    <w:rsid w:val="30D20571"/>
    <w:rsid w:val="30D56A93"/>
    <w:rsid w:val="30D836AE"/>
    <w:rsid w:val="30DD17B8"/>
    <w:rsid w:val="30DF2C8E"/>
    <w:rsid w:val="30E21EDC"/>
    <w:rsid w:val="30E81B43"/>
    <w:rsid w:val="30E941BC"/>
    <w:rsid w:val="30EA0F6A"/>
    <w:rsid w:val="30EC2BD0"/>
    <w:rsid w:val="30FA6C7D"/>
    <w:rsid w:val="30FF0C3A"/>
    <w:rsid w:val="310944B9"/>
    <w:rsid w:val="310E0178"/>
    <w:rsid w:val="31207AE6"/>
    <w:rsid w:val="31307046"/>
    <w:rsid w:val="31410A0E"/>
    <w:rsid w:val="314245F9"/>
    <w:rsid w:val="314D19A6"/>
    <w:rsid w:val="315423E2"/>
    <w:rsid w:val="315C42DF"/>
    <w:rsid w:val="31681811"/>
    <w:rsid w:val="316B5A8A"/>
    <w:rsid w:val="317F3B29"/>
    <w:rsid w:val="31807BD3"/>
    <w:rsid w:val="31816685"/>
    <w:rsid w:val="318E35A9"/>
    <w:rsid w:val="318E3D87"/>
    <w:rsid w:val="318F6462"/>
    <w:rsid w:val="31994BEB"/>
    <w:rsid w:val="319C494B"/>
    <w:rsid w:val="319D6CD7"/>
    <w:rsid w:val="31A30E4F"/>
    <w:rsid w:val="31A517E2"/>
    <w:rsid w:val="31AA329C"/>
    <w:rsid w:val="31AB4A33"/>
    <w:rsid w:val="31AC176C"/>
    <w:rsid w:val="31AC77B7"/>
    <w:rsid w:val="31B45EC9"/>
    <w:rsid w:val="31B57180"/>
    <w:rsid w:val="31BB1005"/>
    <w:rsid w:val="31BF0628"/>
    <w:rsid w:val="31CD6F8B"/>
    <w:rsid w:val="31E513C0"/>
    <w:rsid w:val="31F3494A"/>
    <w:rsid w:val="31FF763F"/>
    <w:rsid w:val="32026C34"/>
    <w:rsid w:val="32032617"/>
    <w:rsid w:val="32072C40"/>
    <w:rsid w:val="320A5AE9"/>
    <w:rsid w:val="32125FC7"/>
    <w:rsid w:val="32140412"/>
    <w:rsid w:val="322A6639"/>
    <w:rsid w:val="322B431D"/>
    <w:rsid w:val="323B04A4"/>
    <w:rsid w:val="323C423F"/>
    <w:rsid w:val="323E59E8"/>
    <w:rsid w:val="32450250"/>
    <w:rsid w:val="32452FC5"/>
    <w:rsid w:val="32461303"/>
    <w:rsid w:val="32541C29"/>
    <w:rsid w:val="325A33E4"/>
    <w:rsid w:val="325D20BC"/>
    <w:rsid w:val="32627A4B"/>
    <w:rsid w:val="326F5D34"/>
    <w:rsid w:val="329655CE"/>
    <w:rsid w:val="329830F5"/>
    <w:rsid w:val="32B83797"/>
    <w:rsid w:val="32BD6FFF"/>
    <w:rsid w:val="32BF771D"/>
    <w:rsid w:val="32C50EEA"/>
    <w:rsid w:val="32CE6B16"/>
    <w:rsid w:val="32D14858"/>
    <w:rsid w:val="32D21D23"/>
    <w:rsid w:val="32D61E6F"/>
    <w:rsid w:val="32D86D49"/>
    <w:rsid w:val="32DA195F"/>
    <w:rsid w:val="32DF6F75"/>
    <w:rsid w:val="32E14A9C"/>
    <w:rsid w:val="32E77BA0"/>
    <w:rsid w:val="32E9317E"/>
    <w:rsid w:val="32F200C1"/>
    <w:rsid w:val="32F22710"/>
    <w:rsid w:val="33072028"/>
    <w:rsid w:val="330E1609"/>
    <w:rsid w:val="331020D6"/>
    <w:rsid w:val="331A61FF"/>
    <w:rsid w:val="331C222E"/>
    <w:rsid w:val="33323549"/>
    <w:rsid w:val="33386B85"/>
    <w:rsid w:val="33437E6D"/>
    <w:rsid w:val="3351308C"/>
    <w:rsid w:val="33604C72"/>
    <w:rsid w:val="3361623B"/>
    <w:rsid w:val="336254B1"/>
    <w:rsid w:val="33636BEA"/>
    <w:rsid w:val="33673093"/>
    <w:rsid w:val="336851BD"/>
    <w:rsid w:val="336B523C"/>
    <w:rsid w:val="336E59FF"/>
    <w:rsid w:val="33795C66"/>
    <w:rsid w:val="33831559"/>
    <w:rsid w:val="33AA6517"/>
    <w:rsid w:val="33AA7BD5"/>
    <w:rsid w:val="33AC2F08"/>
    <w:rsid w:val="33AD3276"/>
    <w:rsid w:val="33B37F5C"/>
    <w:rsid w:val="33C63C91"/>
    <w:rsid w:val="33E006D7"/>
    <w:rsid w:val="33E305CA"/>
    <w:rsid w:val="33ED56C2"/>
    <w:rsid w:val="33EF3C9C"/>
    <w:rsid w:val="33EF7F96"/>
    <w:rsid w:val="33F85C46"/>
    <w:rsid w:val="33F9276F"/>
    <w:rsid w:val="33F97BC3"/>
    <w:rsid w:val="33FB393B"/>
    <w:rsid w:val="3400734B"/>
    <w:rsid w:val="34054559"/>
    <w:rsid w:val="34056568"/>
    <w:rsid w:val="34180991"/>
    <w:rsid w:val="342750AF"/>
    <w:rsid w:val="342B67BB"/>
    <w:rsid w:val="342E1F62"/>
    <w:rsid w:val="34337579"/>
    <w:rsid w:val="344423B0"/>
    <w:rsid w:val="344572AC"/>
    <w:rsid w:val="34524E7E"/>
    <w:rsid w:val="34541E69"/>
    <w:rsid w:val="34546879"/>
    <w:rsid w:val="345C20C8"/>
    <w:rsid w:val="346C7CB3"/>
    <w:rsid w:val="34732681"/>
    <w:rsid w:val="34790D04"/>
    <w:rsid w:val="348A6712"/>
    <w:rsid w:val="348E67B1"/>
    <w:rsid w:val="349A268C"/>
    <w:rsid w:val="349B511E"/>
    <w:rsid w:val="34AC2E87"/>
    <w:rsid w:val="34B44B59"/>
    <w:rsid w:val="34BB2973"/>
    <w:rsid w:val="34BC6733"/>
    <w:rsid w:val="34BD3E87"/>
    <w:rsid w:val="34CB76EB"/>
    <w:rsid w:val="34D67F04"/>
    <w:rsid w:val="34DA3E98"/>
    <w:rsid w:val="34E26732"/>
    <w:rsid w:val="34EE524E"/>
    <w:rsid w:val="34F12506"/>
    <w:rsid w:val="34F5482E"/>
    <w:rsid w:val="34FD1935"/>
    <w:rsid w:val="35033A54"/>
    <w:rsid w:val="35042CC3"/>
    <w:rsid w:val="35092F1D"/>
    <w:rsid w:val="35101668"/>
    <w:rsid w:val="352F4784"/>
    <w:rsid w:val="35335357"/>
    <w:rsid w:val="35386C3E"/>
    <w:rsid w:val="353F1F4D"/>
    <w:rsid w:val="3543355E"/>
    <w:rsid w:val="355569F3"/>
    <w:rsid w:val="3575771D"/>
    <w:rsid w:val="357D4824"/>
    <w:rsid w:val="35807BB3"/>
    <w:rsid w:val="3595159F"/>
    <w:rsid w:val="35B244CD"/>
    <w:rsid w:val="35B44D6B"/>
    <w:rsid w:val="35B87168"/>
    <w:rsid w:val="35B90C30"/>
    <w:rsid w:val="35C81F43"/>
    <w:rsid w:val="35CD57AB"/>
    <w:rsid w:val="35D00DF7"/>
    <w:rsid w:val="35D94B0C"/>
    <w:rsid w:val="35DC779C"/>
    <w:rsid w:val="35E13004"/>
    <w:rsid w:val="35F1149A"/>
    <w:rsid w:val="35FE5964"/>
    <w:rsid w:val="3605310B"/>
    <w:rsid w:val="36085CF8"/>
    <w:rsid w:val="36105A0D"/>
    <w:rsid w:val="361E7DB5"/>
    <w:rsid w:val="36237179"/>
    <w:rsid w:val="362D624A"/>
    <w:rsid w:val="363649F6"/>
    <w:rsid w:val="36393E1A"/>
    <w:rsid w:val="364A5AAB"/>
    <w:rsid w:val="36525CB0"/>
    <w:rsid w:val="36563D1A"/>
    <w:rsid w:val="36575075"/>
    <w:rsid w:val="365E4F6F"/>
    <w:rsid w:val="366817A6"/>
    <w:rsid w:val="366A124C"/>
    <w:rsid w:val="366C6D72"/>
    <w:rsid w:val="36745C27"/>
    <w:rsid w:val="36791F96"/>
    <w:rsid w:val="367F5432"/>
    <w:rsid w:val="3687595A"/>
    <w:rsid w:val="368D6CE8"/>
    <w:rsid w:val="368F480F"/>
    <w:rsid w:val="368F7018"/>
    <w:rsid w:val="36944FC2"/>
    <w:rsid w:val="369F4A2C"/>
    <w:rsid w:val="36A55DE0"/>
    <w:rsid w:val="36B13AD8"/>
    <w:rsid w:val="36B20EE8"/>
    <w:rsid w:val="36B6732D"/>
    <w:rsid w:val="36BA5D2F"/>
    <w:rsid w:val="36BC355C"/>
    <w:rsid w:val="36BE6EA2"/>
    <w:rsid w:val="36CD2343"/>
    <w:rsid w:val="36CF7301"/>
    <w:rsid w:val="36D347BC"/>
    <w:rsid w:val="36D6068F"/>
    <w:rsid w:val="36D66E21"/>
    <w:rsid w:val="36DB27E6"/>
    <w:rsid w:val="36F24D43"/>
    <w:rsid w:val="36F56A14"/>
    <w:rsid w:val="36FB1EA4"/>
    <w:rsid w:val="36FD70BD"/>
    <w:rsid w:val="36FF3742"/>
    <w:rsid w:val="3701395E"/>
    <w:rsid w:val="37015819"/>
    <w:rsid w:val="370E1BD7"/>
    <w:rsid w:val="37180CA8"/>
    <w:rsid w:val="371C6E95"/>
    <w:rsid w:val="3724764D"/>
    <w:rsid w:val="372633C5"/>
    <w:rsid w:val="372907BF"/>
    <w:rsid w:val="372D6FE6"/>
    <w:rsid w:val="373331A0"/>
    <w:rsid w:val="37367CBC"/>
    <w:rsid w:val="373D426B"/>
    <w:rsid w:val="374E0226"/>
    <w:rsid w:val="37543CF6"/>
    <w:rsid w:val="375453D5"/>
    <w:rsid w:val="375F35B5"/>
    <w:rsid w:val="37691B50"/>
    <w:rsid w:val="376D5966"/>
    <w:rsid w:val="377B46F5"/>
    <w:rsid w:val="377C1237"/>
    <w:rsid w:val="378571EB"/>
    <w:rsid w:val="378623F8"/>
    <w:rsid w:val="37887BDC"/>
    <w:rsid w:val="378974B0"/>
    <w:rsid w:val="37907BFA"/>
    <w:rsid w:val="37922808"/>
    <w:rsid w:val="37977E1F"/>
    <w:rsid w:val="37A16F96"/>
    <w:rsid w:val="37B179ED"/>
    <w:rsid w:val="37B24E1E"/>
    <w:rsid w:val="37BA1509"/>
    <w:rsid w:val="37BF7375"/>
    <w:rsid w:val="37C130EE"/>
    <w:rsid w:val="37C27B9C"/>
    <w:rsid w:val="37CD3932"/>
    <w:rsid w:val="37CD3C9D"/>
    <w:rsid w:val="37D22C05"/>
    <w:rsid w:val="37D66266"/>
    <w:rsid w:val="37D73E29"/>
    <w:rsid w:val="37DA44B5"/>
    <w:rsid w:val="37DC7F27"/>
    <w:rsid w:val="37DE3C9F"/>
    <w:rsid w:val="37DE4095"/>
    <w:rsid w:val="37E5630E"/>
    <w:rsid w:val="37EC5788"/>
    <w:rsid w:val="37EE37B7"/>
    <w:rsid w:val="37F82BA8"/>
    <w:rsid w:val="37FB65FF"/>
    <w:rsid w:val="37FE50D4"/>
    <w:rsid w:val="38041CE2"/>
    <w:rsid w:val="38066101"/>
    <w:rsid w:val="38066D52"/>
    <w:rsid w:val="38080D1C"/>
    <w:rsid w:val="38114D9C"/>
    <w:rsid w:val="38127AB6"/>
    <w:rsid w:val="38196A86"/>
    <w:rsid w:val="381B27FE"/>
    <w:rsid w:val="381D4C13"/>
    <w:rsid w:val="38267DA4"/>
    <w:rsid w:val="382D2531"/>
    <w:rsid w:val="38367638"/>
    <w:rsid w:val="383C7CBE"/>
    <w:rsid w:val="384E39DC"/>
    <w:rsid w:val="384F7C6E"/>
    <w:rsid w:val="38543F62"/>
    <w:rsid w:val="38545D10"/>
    <w:rsid w:val="38563836"/>
    <w:rsid w:val="385823D2"/>
    <w:rsid w:val="386121DB"/>
    <w:rsid w:val="386E795A"/>
    <w:rsid w:val="38751A5A"/>
    <w:rsid w:val="38791B68"/>
    <w:rsid w:val="38883C0B"/>
    <w:rsid w:val="38981553"/>
    <w:rsid w:val="38A547BD"/>
    <w:rsid w:val="38A77BB6"/>
    <w:rsid w:val="38A85A29"/>
    <w:rsid w:val="38AA3B82"/>
    <w:rsid w:val="38AC0272"/>
    <w:rsid w:val="38B22D66"/>
    <w:rsid w:val="38B4055C"/>
    <w:rsid w:val="38B77CE5"/>
    <w:rsid w:val="38B85D39"/>
    <w:rsid w:val="38BB18EB"/>
    <w:rsid w:val="38BF6A16"/>
    <w:rsid w:val="38C5276A"/>
    <w:rsid w:val="38C8225A"/>
    <w:rsid w:val="38D43EF2"/>
    <w:rsid w:val="38DA2963"/>
    <w:rsid w:val="38E3458B"/>
    <w:rsid w:val="38E36885"/>
    <w:rsid w:val="38E452E6"/>
    <w:rsid w:val="38E828EC"/>
    <w:rsid w:val="38EC6CC4"/>
    <w:rsid w:val="38F73F98"/>
    <w:rsid w:val="38F7795A"/>
    <w:rsid w:val="39006985"/>
    <w:rsid w:val="3901717A"/>
    <w:rsid w:val="3902576C"/>
    <w:rsid w:val="390B0AC4"/>
    <w:rsid w:val="390E21ED"/>
    <w:rsid w:val="39202096"/>
    <w:rsid w:val="392E5671"/>
    <w:rsid w:val="392F0EB2"/>
    <w:rsid w:val="39322FCA"/>
    <w:rsid w:val="394144E6"/>
    <w:rsid w:val="394436B2"/>
    <w:rsid w:val="39477622"/>
    <w:rsid w:val="39533276"/>
    <w:rsid w:val="39665A43"/>
    <w:rsid w:val="396959C3"/>
    <w:rsid w:val="397F500E"/>
    <w:rsid w:val="399716DB"/>
    <w:rsid w:val="399E2C66"/>
    <w:rsid w:val="39B34CB8"/>
    <w:rsid w:val="39B5690D"/>
    <w:rsid w:val="39B67EF7"/>
    <w:rsid w:val="39B822CE"/>
    <w:rsid w:val="39C56AFA"/>
    <w:rsid w:val="39CA420B"/>
    <w:rsid w:val="39CA501E"/>
    <w:rsid w:val="39CF6FB9"/>
    <w:rsid w:val="39D07993"/>
    <w:rsid w:val="39D320A3"/>
    <w:rsid w:val="39E44E71"/>
    <w:rsid w:val="39E4688A"/>
    <w:rsid w:val="39F02FBE"/>
    <w:rsid w:val="39F14A09"/>
    <w:rsid w:val="39F5508A"/>
    <w:rsid w:val="39F72AA6"/>
    <w:rsid w:val="3A011DC8"/>
    <w:rsid w:val="3A077E5A"/>
    <w:rsid w:val="3A080B60"/>
    <w:rsid w:val="3A15327D"/>
    <w:rsid w:val="3A1D17A4"/>
    <w:rsid w:val="3A1E4827"/>
    <w:rsid w:val="3A234CF4"/>
    <w:rsid w:val="3A244B12"/>
    <w:rsid w:val="3A293AC2"/>
    <w:rsid w:val="3A2D4229"/>
    <w:rsid w:val="3A331955"/>
    <w:rsid w:val="3A476627"/>
    <w:rsid w:val="3A5913BB"/>
    <w:rsid w:val="3A59760D"/>
    <w:rsid w:val="3A5B451C"/>
    <w:rsid w:val="3A5D324F"/>
    <w:rsid w:val="3A5F274A"/>
    <w:rsid w:val="3A742699"/>
    <w:rsid w:val="3A7724DE"/>
    <w:rsid w:val="3A7E52C6"/>
    <w:rsid w:val="3A862C52"/>
    <w:rsid w:val="3A8D67BD"/>
    <w:rsid w:val="3A992100"/>
    <w:rsid w:val="3A9E7428"/>
    <w:rsid w:val="3AA2641E"/>
    <w:rsid w:val="3AA35841"/>
    <w:rsid w:val="3AA47B56"/>
    <w:rsid w:val="3AA52853"/>
    <w:rsid w:val="3AA54031"/>
    <w:rsid w:val="3AA576FB"/>
    <w:rsid w:val="3AA6206C"/>
    <w:rsid w:val="3AA765CB"/>
    <w:rsid w:val="3AB17449"/>
    <w:rsid w:val="3AB24F6F"/>
    <w:rsid w:val="3AB5795C"/>
    <w:rsid w:val="3AB807D8"/>
    <w:rsid w:val="3AC224EA"/>
    <w:rsid w:val="3AC23843"/>
    <w:rsid w:val="3ACB0053"/>
    <w:rsid w:val="3ACB3CC4"/>
    <w:rsid w:val="3ACD3B57"/>
    <w:rsid w:val="3AD24493"/>
    <w:rsid w:val="3AD60C5E"/>
    <w:rsid w:val="3ADC0241"/>
    <w:rsid w:val="3AE03338"/>
    <w:rsid w:val="3AE570F3"/>
    <w:rsid w:val="3B007A89"/>
    <w:rsid w:val="3B0923D1"/>
    <w:rsid w:val="3B0965D5"/>
    <w:rsid w:val="3B0A473E"/>
    <w:rsid w:val="3B102C79"/>
    <w:rsid w:val="3B181276"/>
    <w:rsid w:val="3B2230E7"/>
    <w:rsid w:val="3B2F374B"/>
    <w:rsid w:val="3B3230A5"/>
    <w:rsid w:val="3B335EF4"/>
    <w:rsid w:val="3B462B12"/>
    <w:rsid w:val="3B476F2C"/>
    <w:rsid w:val="3B544EC3"/>
    <w:rsid w:val="3B550722"/>
    <w:rsid w:val="3B567FF1"/>
    <w:rsid w:val="3B5A2644"/>
    <w:rsid w:val="3B625ABF"/>
    <w:rsid w:val="3B660234"/>
    <w:rsid w:val="3B6A0417"/>
    <w:rsid w:val="3B6F60D1"/>
    <w:rsid w:val="3B7B1C49"/>
    <w:rsid w:val="3B822B94"/>
    <w:rsid w:val="3B8832B4"/>
    <w:rsid w:val="3B893F22"/>
    <w:rsid w:val="3B8A323C"/>
    <w:rsid w:val="3B8B3E2A"/>
    <w:rsid w:val="3B900379"/>
    <w:rsid w:val="3B992C5F"/>
    <w:rsid w:val="3BAE5737"/>
    <w:rsid w:val="3BBB1991"/>
    <w:rsid w:val="3BC1190E"/>
    <w:rsid w:val="3BC9431F"/>
    <w:rsid w:val="3BD038FF"/>
    <w:rsid w:val="3BD50B7B"/>
    <w:rsid w:val="3BD5526A"/>
    <w:rsid w:val="3BD75940"/>
    <w:rsid w:val="3BD77542"/>
    <w:rsid w:val="3BDB28C0"/>
    <w:rsid w:val="3BEC08CC"/>
    <w:rsid w:val="3BEC6BD0"/>
    <w:rsid w:val="3BF20F77"/>
    <w:rsid w:val="3BFD221A"/>
    <w:rsid w:val="3C075FBE"/>
    <w:rsid w:val="3C0B34FD"/>
    <w:rsid w:val="3C133447"/>
    <w:rsid w:val="3C1A3224"/>
    <w:rsid w:val="3C1A7270"/>
    <w:rsid w:val="3C236125"/>
    <w:rsid w:val="3C355E58"/>
    <w:rsid w:val="3C377EA0"/>
    <w:rsid w:val="3C3B1242"/>
    <w:rsid w:val="3C3E6869"/>
    <w:rsid w:val="3C407260"/>
    <w:rsid w:val="3C431E39"/>
    <w:rsid w:val="3C4816E7"/>
    <w:rsid w:val="3C552056"/>
    <w:rsid w:val="3C585A53"/>
    <w:rsid w:val="3C5A45CF"/>
    <w:rsid w:val="3C5B008C"/>
    <w:rsid w:val="3C5E0BAF"/>
    <w:rsid w:val="3C5E53AF"/>
    <w:rsid w:val="3C5F1072"/>
    <w:rsid w:val="3C664263"/>
    <w:rsid w:val="3C6872CD"/>
    <w:rsid w:val="3C710BC4"/>
    <w:rsid w:val="3C722C08"/>
    <w:rsid w:val="3C74657F"/>
    <w:rsid w:val="3C77121E"/>
    <w:rsid w:val="3C820130"/>
    <w:rsid w:val="3C8666B4"/>
    <w:rsid w:val="3C936C1A"/>
    <w:rsid w:val="3CA37533"/>
    <w:rsid w:val="3CA37A53"/>
    <w:rsid w:val="3CAA4150"/>
    <w:rsid w:val="3CB90837"/>
    <w:rsid w:val="3CBB1452"/>
    <w:rsid w:val="3CBE7BFC"/>
    <w:rsid w:val="3CCC306D"/>
    <w:rsid w:val="3CD01FBC"/>
    <w:rsid w:val="3CD72A6B"/>
    <w:rsid w:val="3CDA396C"/>
    <w:rsid w:val="3CDC26C7"/>
    <w:rsid w:val="3CE93947"/>
    <w:rsid w:val="3CEA11BD"/>
    <w:rsid w:val="3CEB2521"/>
    <w:rsid w:val="3CEC308D"/>
    <w:rsid w:val="3CEF5488"/>
    <w:rsid w:val="3D042809"/>
    <w:rsid w:val="3D0E2917"/>
    <w:rsid w:val="3D1171D0"/>
    <w:rsid w:val="3D121CF5"/>
    <w:rsid w:val="3D143CBF"/>
    <w:rsid w:val="3D192527"/>
    <w:rsid w:val="3D266F9E"/>
    <w:rsid w:val="3D34084A"/>
    <w:rsid w:val="3D346A31"/>
    <w:rsid w:val="3D3E1FD9"/>
    <w:rsid w:val="3D4933B5"/>
    <w:rsid w:val="3D4A6B6C"/>
    <w:rsid w:val="3D504CB9"/>
    <w:rsid w:val="3D516CC2"/>
    <w:rsid w:val="3D58757C"/>
    <w:rsid w:val="3D597924"/>
    <w:rsid w:val="3D647B4C"/>
    <w:rsid w:val="3D6A7D83"/>
    <w:rsid w:val="3D76460E"/>
    <w:rsid w:val="3D7D015C"/>
    <w:rsid w:val="3D7F790E"/>
    <w:rsid w:val="3D817C89"/>
    <w:rsid w:val="3D87344A"/>
    <w:rsid w:val="3D94095C"/>
    <w:rsid w:val="3D970CBA"/>
    <w:rsid w:val="3D9721CF"/>
    <w:rsid w:val="3D997A67"/>
    <w:rsid w:val="3D9E46E1"/>
    <w:rsid w:val="3DA823F9"/>
    <w:rsid w:val="3DAA0180"/>
    <w:rsid w:val="3DAC5163"/>
    <w:rsid w:val="3DAD7631"/>
    <w:rsid w:val="3DBF2893"/>
    <w:rsid w:val="3DBF3C2B"/>
    <w:rsid w:val="3DC548B3"/>
    <w:rsid w:val="3DD376D7"/>
    <w:rsid w:val="3DDD2303"/>
    <w:rsid w:val="3DE03BA2"/>
    <w:rsid w:val="3DE5087F"/>
    <w:rsid w:val="3DEE1D27"/>
    <w:rsid w:val="3DF24001"/>
    <w:rsid w:val="3DF541A9"/>
    <w:rsid w:val="3E03620E"/>
    <w:rsid w:val="3E0867E5"/>
    <w:rsid w:val="3E0C543F"/>
    <w:rsid w:val="3E0D0E3B"/>
    <w:rsid w:val="3E1675C3"/>
    <w:rsid w:val="3E1716BD"/>
    <w:rsid w:val="3E180975"/>
    <w:rsid w:val="3E1E01FB"/>
    <w:rsid w:val="3E2B51B0"/>
    <w:rsid w:val="3E2E3C60"/>
    <w:rsid w:val="3E3824EF"/>
    <w:rsid w:val="3E39158D"/>
    <w:rsid w:val="3E3D2DA2"/>
    <w:rsid w:val="3E542DA9"/>
    <w:rsid w:val="3E56024A"/>
    <w:rsid w:val="3E7F3E91"/>
    <w:rsid w:val="3E8B6203"/>
    <w:rsid w:val="3E907C2F"/>
    <w:rsid w:val="3E92628C"/>
    <w:rsid w:val="3E9D741A"/>
    <w:rsid w:val="3E9F5B75"/>
    <w:rsid w:val="3EA370A9"/>
    <w:rsid w:val="3EAA6689"/>
    <w:rsid w:val="3EAB1FCD"/>
    <w:rsid w:val="3EAD617A"/>
    <w:rsid w:val="3EB061FC"/>
    <w:rsid w:val="3EBC460F"/>
    <w:rsid w:val="3ECF7EF5"/>
    <w:rsid w:val="3ED731F7"/>
    <w:rsid w:val="3ED9341F"/>
    <w:rsid w:val="3EDB7FC2"/>
    <w:rsid w:val="3EDD48AC"/>
    <w:rsid w:val="3EDD6FF1"/>
    <w:rsid w:val="3EE93EED"/>
    <w:rsid w:val="3EF142B8"/>
    <w:rsid w:val="3EF81DA1"/>
    <w:rsid w:val="3F0044FB"/>
    <w:rsid w:val="3F052628"/>
    <w:rsid w:val="3F08090B"/>
    <w:rsid w:val="3F137FB6"/>
    <w:rsid w:val="3F16033C"/>
    <w:rsid w:val="3F163D1F"/>
    <w:rsid w:val="3F1B0ED2"/>
    <w:rsid w:val="3F29335F"/>
    <w:rsid w:val="3F3B19D7"/>
    <w:rsid w:val="3F46412E"/>
    <w:rsid w:val="3F4C5993"/>
    <w:rsid w:val="3F4D34B9"/>
    <w:rsid w:val="3F5017C4"/>
    <w:rsid w:val="3F6A0346"/>
    <w:rsid w:val="3F6C7CAA"/>
    <w:rsid w:val="3F732F1F"/>
    <w:rsid w:val="3F744EE9"/>
    <w:rsid w:val="3F755A75"/>
    <w:rsid w:val="3F7950FB"/>
    <w:rsid w:val="3F7E18C4"/>
    <w:rsid w:val="3F7F046E"/>
    <w:rsid w:val="3F8C2233"/>
    <w:rsid w:val="3F941947"/>
    <w:rsid w:val="3F975C22"/>
    <w:rsid w:val="3F9B2476"/>
    <w:rsid w:val="3FA27361"/>
    <w:rsid w:val="3FA95C43"/>
    <w:rsid w:val="3FAF1A7E"/>
    <w:rsid w:val="3FC46081"/>
    <w:rsid w:val="3FCA6493"/>
    <w:rsid w:val="3FD47688"/>
    <w:rsid w:val="3FE45BCB"/>
    <w:rsid w:val="3FE8335F"/>
    <w:rsid w:val="3FFC1167"/>
    <w:rsid w:val="40004487"/>
    <w:rsid w:val="400224F5"/>
    <w:rsid w:val="40055B41"/>
    <w:rsid w:val="40063D93"/>
    <w:rsid w:val="40094AB4"/>
    <w:rsid w:val="401069C0"/>
    <w:rsid w:val="40181D19"/>
    <w:rsid w:val="401E2E70"/>
    <w:rsid w:val="40203753"/>
    <w:rsid w:val="402B55A8"/>
    <w:rsid w:val="40302BBE"/>
    <w:rsid w:val="403A4CB9"/>
    <w:rsid w:val="403F72A5"/>
    <w:rsid w:val="40464190"/>
    <w:rsid w:val="40481D0D"/>
    <w:rsid w:val="40500482"/>
    <w:rsid w:val="40526FD9"/>
    <w:rsid w:val="40534AFF"/>
    <w:rsid w:val="405378C8"/>
    <w:rsid w:val="40596E99"/>
    <w:rsid w:val="405E0FD8"/>
    <w:rsid w:val="406E3EC8"/>
    <w:rsid w:val="407857B3"/>
    <w:rsid w:val="40796351"/>
    <w:rsid w:val="408465EB"/>
    <w:rsid w:val="408B6047"/>
    <w:rsid w:val="408C5D5A"/>
    <w:rsid w:val="40955117"/>
    <w:rsid w:val="40994C08"/>
    <w:rsid w:val="40A94E83"/>
    <w:rsid w:val="40AD06B3"/>
    <w:rsid w:val="40B62C30"/>
    <w:rsid w:val="40BE5406"/>
    <w:rsid w:val="40BF2194"/>
    <w:rsid w:val="40C1415E"/>
    <w:rsid w:val="40C9055B"/>
    <w:rsid w:val="40C91210"/>
    <w:rsid w:val="40CF0629"/>
    <w:rsid w:val="40D05E19"/>
    <w:rsid w:val="40DA0D7C"/>
    <w:rsid w:val="40F24318"/>
    <w:rsid w:val="40F73BA2"/>
    <w:rsid w:val="40FB7670"/>
    <w:rsid w:val="4100750C"/>
    <w:rsid w:val="41022C69"/>
    <w:rsid w:val="4103208B"/>
    <w:rsid w:val="41076015"/>
    <w:rsid w:val="410F0E53"/>
    <w:rsid w:val="411918A4"/>
    <w:rsid w:val="411E6EBB"/>
    <w:rsid w:val="4125649B"/>
    <w:rsid w:val="4132438B"/>
    <w:rsid w:val="41526B64"/>
    <w:rsid w:val="415A2A24"/>
    <w:rsid w:val="415A3DE3"/>
    <w:rsid w:val="415B6A48"/>
    <w:rsid w:val="415D5C35"/>
    <w:rsid w:val="415E5CCE"/>
    <w:rsid w:val="41635215"/>
    <w:rsid w:val="41650F8E"/>
    <w:rsid w:val="41682B86"/>
    <w:rsid w:val="416E7E42"/>
    <w:rsid w:val="4171348E"/>
    <w:rsid w:val="4176647B"/>
    <w:rsid w:val="417E6496"/>
    <w:rsid w:val="41886A2A"/>
    <w:rsid w:val="41913ED7"/>
    <w:rsid w:val="419B3797"/>
    <w:rsid w:val="419D24D5"/>
    <w:rsid w:val="41A2189A"/>
    <w:rsid w:val="41B31CF9"/>
    <w:rsid w:val="41BE244C"/>
    <w:rsid w:val="41C35D99"/>
    <w:rsid w:val="41CC2DBB"/>
    <w:rsid w:val="41CE268F"/>
    <w:rsid w:val="41D34149"/>
    <w:rsid w:val="41D91034"/>
    <w:rsid w:val="41E225DE"/>
    <w:rsid w:val="41E53E7C"/>
    <w:rsid w:val="41EC6A53"/>
    <w:rsid w:val="41F145CF"/>
    <w:rsid w:val="42005999"/>
    <w:rsid w:val="420A743F"/>
    <w:rsid w:val="421443CB"/>
    <w:rsid w:val="422B3569"/>
    <w:rsid w:val="42417305"/>
    <w:rsid w:val="42446DF5"/>
    <w:rsid w:val="42515175"/>
    <w:rsid w:val="425169B0"/>
    <w:rsid w:val="42521512"/>
    <w:rsid w:val="42565461"/>
    <w:rsid w:val="426810D9"/>
    <w:rsid w:val="426F783E"/>
    <w:rsid w:val="427F607F"/>
    <w:rsid w:val="42890CAC"/>
    <w:rsid w:val="42926C46"/>
    <w:rsid w:val="42996CD2"/>
    <w:rsid w:val="429C0DE9"/>
    <w:rsid w:val="42A41FED"/>
    <w:rsid w:val="42B21FB1"/>
    <w:rsid w:val="42B63FD3"/>
    <w:rsid w:val="42B75819"/>
    <w:rsid w:val="42BB7663"/>
    <w:rsid w:val="42C14D45"/>
    <w:rsid w:val="42CB4E20"/>
    <w:rsid w:val="42DC0DDB"/>
    <w:rsid w:val="42E0016E"/>
    <w:rsid w:val="42E12404"/>
    <w:rsid w:val="42E73A82"/>
    <w:rsid w:val="42FE0D52"/>
    <w:rsid w:val="43030A5E"/>
    <w:rsid w:val="43140A2D"/>
    <w:rsid w:val="43185DA7"/>
    <w:rsid w:val="43192030"/>
    <w:rsid w:val="431B1111"/>
    <w:rsid w:val="432F1853"/>
    <w:rsid w:val="433429C6"/>
    <w:rsid w:val="433513BF"/>
    <w:rsid w:val="433C187A"/>
    <w:rsid w:val="433F2195"/>
    <w:rsid w:val="43497102"/>
    <w:rsid w:val="434B10DD"/>
    <w:rsid w:val="434D5B71"/>
    <w:rsid w:val="43635059"/>
    <w:rsid w:val="436A63E7"/>
    <w:rsid w:val="437455E8"/>
    <w:rsid w:val="43790D20"/>
    <w:rsid w:val="437E6337"/>
    <w:rsid w:val="438069A6"/>
    <w:rsid w:val="4382174D"/>
    <w:rsid w:val="438526DB"/>
    <w:rsid w:val="43880F63"/>
    <w:rsid w:val="438D20D6"/>
    <w:rsid w:val="438D657A"/>
    <w:rsid w:val="43900783"/>
    <w:rsid w:val="43A35D9D"/>
    <w:rsid w:val="43AC1405"/>
    <w:rsid w:val="43AD109A"/>
    <w:rsid w:val="43B356BB"/>
    <w:rsid w:val="43B70A87"/>
    <w:rsid w:val="43BE1126"/>
    <w:rsid w:val="43C769B7"/>
    <w:rsid w:val="43CA7067"/>
    <w:rsid w:val="43CF28BC"/>
    <w:rsid w:val="43E02B4D"/>
    <w:rsid w:val="43E91792"/>
    <w:rsid w:val="43F14D5A"/>
    <w:rsid w:val="43FE4D82"/>
    <w:rsid w:val="43FF34AC"/>
    <w:rsid w:val="44114AB5"/>
    <w:rsid w:val="441D6206"/>
    <w:rsid w:val="441F3676"/>
    <w:rsid w:val="441F5424"/>
    <w:rsid w:val="442073EE"/>
    <w:rsid w:val="44213794"/>
    <w:rsid w:val="442313F8"/>
    <w:rsid w:val="442E5432"/>
    <w:rsid w:val="443720C6"/>
    <w:rsid w:val="44383896"/>
    <w:rsid w:val="44392A6D"/>
    <w:rsid w:val="4441126A"/>
    <w:rsid w:val="444430DC"/>
    <w:rsid w:val="4444415E"/>
    <w:rsid w:val="44454BDC"/>
    <w:rsid w:val="44463B5B"/>
    <w:rsid w:val="444877C4"/>
    <w:rsid w:val="445C47A6"/>
    <w:rsid w:val="445D419E"/>
    <w:rsid w:val="445F4D0F"/>
    <w:rsid w:val="446505FA"/>
    <w:rsid w:val="44693BF5"/>
    <w:rsid w:val="44700650"/>
    <w:rsid w:val="447137A5"/>
    <w:rsid w:val="447A0492"/>
    <w:rsid w:val="447B402B"/>
    <w:rsid w:val="44834D15"/>
    <w:rsid w:val="44867251"/>
    <w:rsid w:val="4487121B"/>
    <w:rsid w:val="449239A1"/>
    <w:rsid w:val="449851D6"/>
    <w:rsid w:val="449B5A9D"/>
    <w:rsid w:val="44A40300"/>
    <w:rsid w:val="44A771C7"/>
    <w:rsid w:val="44AE7F21"/>
    <w:rsid w:val="44C14D99"/>
    <w:rsid w:val="44C26097"/>
    <w:rsid w:val="44C327C3"/>
    <w:rsid w:val="44CB1FDB"/>
    <w:rsid w:val="44D07625"/>
    <w:rsid w:val="44DA2B78"/>
    <w:rsid w:val="44E87F0C"/>
    <w:rsid w:val="44EC0221"/>
    <w:rsid w:val="44EC44AD"/>
    <w:rsid w:val="44F52066"/>
    <w:rsid w:val="44F763A1"/>
    <w:rsid w:val="44F96048"/>
    <w:rsid w:val="44FE772F"/>
    <w:rsid w:val="450018B4"/>
    <w:rsid w:val="450314C8"/>
    <w:rsid w:val="4506156C"/>
    <w:rsid w:val="45105EDB"/>
    <w:rsid w:val="451120AC"/>
    <w:rsid w:val="4515296F"/>
    <w:rsid w:val="45191FD4"/>
    <w:rsid w:val="45196315"/>
    <w:rsid w:val="451C7473"/>
    <w:rsid w:val="4521341D"/>
    <w:rsid w:val="45237196"/>
    <w:rsid w:val="452B0F7B"/>
    <w:rsid w:val="453E0AA9"/>
    <w:rsid w:val="4545159A"/>
    <w:rsid w:val="45467BF7"/>
    <w:rsid w:val="4555451A"/>
    <w:rsid w:val="45611A6C"/>
    <w:rsid w:val="45660E30"/>
    <w:rsid w:val="45682D36"/>
    <w:rsid w:val="45730AF9"/>
    <w:rsid w:val="45772A5A"/>
    <w:rsid w:val="457B2B2E"/>
    <w:rsid w:val="45886FF9"/>
    <w:rsid w:val="458D460F"/>
    <w:rsid w:val="45991D24"/>
    <w:rsid w:val="459C4852"/>
    <w:rsid w:val="45A66AAF"/>
    <w:rsid w:val="45B002FD"/>
    <w:rsid w:val="45B278E9"/>
    <w:rsid w:val="45B55914"/>
    <w:rsid w:val="45CC00D8"/>
    <w:rsid w:val="45CF4C28"/>
    <w:rsid w:val="45E4342C"/>
    <w:rsid w:val="45E5267F"/>
    <w:rsid w:val="45E559ED"/>
    <w:rsid w:val="45E77993"/>
    <w:rsid w:val="45E81B6F"/>
    <w:rsid w:val="45EE3C7D"/>
    <w:rsid w:val="45F35533"/>
    <w:rsid w:val="45F55107"/>
    <w:rsid w:val="45F7378E"/>
    <w:rsid w:val="46026F63"/>
    <w:rsid w:val="4603181D"/>
    <w:rsid w:val="461113D5"/>
    <w:rsid w:val="46234F92"/>
    <w:rsid w:val="46323308"/>
    <w:rsid w:val="4646138E"/>
    <w:rsid w:val="46484442"/>
    <w:rsid w:val="464A2500"/>
    <w:rsid w:val="46503CE8"/>
    <w:rsid w:val="46517D32"/>
    <w:rsid w:val="465869CB"/>
    <w:rsid w:val="465A0C11"/>
    <w:rsid w:val="465B1E84"/>
    <w:rsid w:val="46696960"/>
    <w:rsid w:val="46705477"/>
    <w:rsid w:val="467F03FC"/>
    <w:rsid w:val="4685178A"/>
    <w:rsid w:val="4690117F"/>
    <w:rsid w:val="4694649D"/>
    <w:rsid w:val="46A21160"/>
    <w:rsid w:val="46B856BC"/>
    <w:rsid w:val="46BA1E09"/>
    <w:rsid w:val="46BB2632"/>
    <w:rsid w:val="46C027C2"/>
    <w:rsid w:val="46CB241C"/>
    <w:rsid w:val="46CD5995"/>
    <w:rsid w:val="46CE4EDF"/>
    <w:rsid w:val="46CE7474"/>
    <w:rsid w:val="46DD48F7"/>
    <w:rsid w:val="46E932D2"/>
    <w:rsid w:val="46E95A67"/>
    <w:rsid w:val="46F15907"/>
    <w:rsid w:val="46F219F9"/>
    <w:rsid w:val="46F96F76"/>
    <w:rsid w:val="470628CB"/>
    <w:rsid w:val="47131137"/>
    <w:rsid w:val="471A6804"/>
    <w:rsid w:val="47224A99"/>
    <w:rsid w:val="47226FD9"/>
    <w:rsid w:val="47264D6A"/>
    <w:rsid w:val="472B40E0"/>
    <w:rsid w:val="472D7E58"/>
    <w:rsid w:val="4734568A"/>
    <w:rsid w:val="47355FE4"/>
    <w:rsid w:val="47356D0C"/>
    <w:rsid w:val="473A07C7"/>
    <w:rsid w:val="474A7EE1"/>
    <w:rsid w:val="47504F42"/>
    <w:rsid w:val="47556AED"/>
    <w:rsid w:val="475C073D"/>
    <w:rsid w:val="47611C4F"/>
    <w:rsid w:val="47677770"/>
    <w:rsid w:val="476D0DC0"/>
    <w:rsid w:val="477134FC"/>
    <w:rsid w:val="47873625"/>
    <w:rsid w:val="479623A7"/>
    <w:rsid w:val="47972677"/>
    <w:rsid w:val="47974345"/>
    <w:rsid w:val="47A10846"/>
    <w:rsid w:val="47A71315"/>
    <w:rsid w:val="47BA3548"/>
    <w:rsid w:val="47BE31A6"/>
    <w:rsid w:val="47C577F2"/>
    <w:rsid w:val="47D06A35"/>
    <w:rsid w:val="47D3233B"/>
    <w:rsid w:val="47DB3414"/>
    <w:rsid w:val="47DE55F6"/>
    <w:rsid w:val="47ED5F34"/>
    <w:rsid w:val="47FA77CF"/>
    <w:rsid w:val="47FC5A7C"/>
    <w:rsid w:val="47FE17F4"/>
    <w:rsid w:val="48007381"/>
    <w:rsid w:val="48042BC0"/>
    <w:rsid w:val="48052B82"/>
    <w:rsid w:val="480C2163"/>
    <w:rsid w:val="481434D1"/>
    <w:rsid w:val="481B23A6"/>
    <w:rsid w:val="48217291"/>
    <w:rsid w:val="482642B5"/>
    <w:rsid w:val="483506D4"/>
    <w:rsid w:val="4839282C"/>
    <w:rsid w:val="483A0C1F"/>
    <w:rsid w:val="48401E0D"/>
    <w:rsid w:val="4847319B"/>
    <w:rsid w:val="484C255F"/>
    <w:rsid w:val="484C6A03"/>
    <w:rsid w:val="484F02A2"/>
    <w:rsid w:val="485C3F8A"/>
    <w:rsid w:val="48603CF3"/>
    <w:rsid w:val="486610FE"/>
    <w:rsid w:val="48772FED"/>
    <w:rsid w:val="487877F8"/>
    <w:rsid w:val="487B2E45"/>
    <w:rsid w:val="487F0B87"/>
    <w:rsid w:val="48836A65"/>
    <w:rsid w:val="489A151D"/>
    <w:rsid w:val="489B34E7"/>
    <w:rsid w:val="489E2A01"/>
    <w:rsid w:val="489E2F22"/>
    <w:rsid w:val="48A92A1D"/>
    <w:rsid w:val="48AB1789"/>
    <w:rsid w:val="48AD0AEC"/>
    <w:rsid w:val="48AD4E73"/>
    <w:rsid w:val="48B23078"/>
    <w:rsid w:val="48C22822"/>
    <w:rsid w:val="48D12A65"/>
    <w:rsid w:val="48D744C5"/>
    <w:rsid w:val="48E1539E"/>
    <w:rsid w:val="48E3604A"/>
    <w:rsid w:val="48E761F0"/>
    <w:rsid w:val="48E855F9"/>
    <w:rsid w:val="48EB1D78"/>
    <w:rsid w:val="48F826E7"/>
    <w:rsid w:val="49057F53"/>
    <w:rsid w:val="490B241B"/>
    <w:rsid w:val="490C7F41"/>
    <w:rsid w:val="49287D31"/>
    <w:rsid w:val="492A6862"/>
    <w:rsid w:val="49373EFA"/>
    <w:rsid w:val="49380D36"/>
    <w:rsid w:val="4941408E"/>
    <w:rsid w:val="49417A8C"/>
    <w:rsid w:val="494E592A"/>
    <w:rsid w:val="495C4A24"/>
    <w:rsid w:val="495D7CF3"/>
    <w:rsid w:val="495E2F48"/>
    <w:rsid w:val="495E69EE"/>
    <w:rsid w:val="495F2766"/>
    <w:rsid w:val="4972249A"/>
    <w:rsid w:val="497958A5"/>
    <w:rsid w:val="49836154"/>
    <w:rsid w:val="49845D29"/>
    <w:rsid w:val="4985619D"/>
    <w:rsid w:val="49867CF3"/>
    <w:rsid w:val="498700F0"/>
    <w:rsid w:val="498703ED"/>
    <w:rsid w:val="498B3956"/>
    <w:rsid w:val="498C2A99"/>
    <w:rsid w:val="499674EC"/>
    <w:rsid w:val="499E39DA"/>
    <w:rsid w:val="49A53A03"/>
    <w:rsid w:val="49AD6CD6"/>
    <w:rsid w:val="49B45954"/>
    <w:rsid w:val="49BA799D"/>
    <w:rsid w:val="49C0138A"/>
    <w:rsid w:val="49C425C9"/>
    <w:rsid w:val="49C436FB"/>
    <w:rsid w:val="49C8030C"/>
    <w:rsid w:val="49D00F6E"/>
    <w:rsid w:val="49D50EDC"/>
    <w:rsid w:val="49D942C7"/>
    <w:rsid w:val="49DA3B9B"/>
    <w:rsid w:val="49E50EBD"/>
    <w:rsid w:val="49E54986"/>
    <w:rsid w:val="49F8358A"/>
    <w:rsid w:val="4A022010"/>
    <w:rsid w:val="4A0550BC"/>
    <w:rsid w:val="4A0D0BC6"/>
    <w:rsid w:val="4A0F18B0"/>
    <w:rsid w:val="4A1470AD"/>
    <w:rsid w:val="4A153553"/>
    <w:rsid w:val="4A1B48DF"/>
    <w:rsid w:val="4A2319E6"/>
    <w:rsid w:val="4A353E64"/>
    <w:rsid w:val="4A362681"/>
    <w:rsid w:val="4A3868ED"/>
    <w:rsid w:val="4A510301"/>
    <w:rsid w:val="4A547DF1"/>
    <w:rsid w:val="4A592213"/>
    <w:rsid w:val="4A697ED8"/>
    <w:rsid w:val="4A703CA5"/>
    <w:rsid w:val="4A76305B"/>
    <w:rsid w:val="4A770BB3"/>
    <w:rsid w:val="4A8D13EF"/>
    <w:rsid w:val="4A8E1972"/>
    <w:rsid w:val="4A975C7D"/>
    <w:rsid w:val="4A9F40CA"/>
    <w:rsid w:val="4AA84C73"/>
    <w:rsid w:val="4AAC4D70"/>
    <w:rsid w:val="4AC4088C"/>
    <w:rsid w:val="4AC7359A"/>
    <w:rsid w:val="4ACB3EF4"/>
    <w:rsid w:val="4ADB7BCB"/>
    <w:rsid w:val="4ADE4831"/>
    <w:rsid w:val="4AE01685"/>
    <w:rsid w:val="4AE5143A"/>
    <w:rsid w:val="4AE826F7"/>
    <w:rsid w:val="4AEB2504"/>
    <w:rsid w:val="4AEF658C"/>
    <w:rsid w:val="4AF2103A"/>
    <w:rsid w:val="4AF40C8C"/>
    <w:rsid w:val="4B004BB8"/>
    <w:rsid w:val="4B0A5B0E"/>
    <w:rsid w:val="4B0E134F"/>
    <w:rsid w:val="4B0F6C72"/>
    <w:rsid w:val="4B17164E"/>
    <w:rsid w:val="4B186FF8"/>
    <w:rsid w:val="4B1A2857"/>
    <w:rsid w:val="4B1C45AB"/>
    <w:rsid w:val="4B1D3FC7"/>
    <w:rsid w:val="4B1D4AD0"/>
    <w:rsid w:val="4B20587A"/>
    <w:rsid w:val="4B24089A"/>
    <w:rsid w:val="4B2772B4"/>
    <w:rsid w:val="4B282D9F"/>
    <w:rsid w:val="4B2F1727"/>
    <w:rsid w:val="4B307DB3"/>
    <w:rsid w:val="4B36681C"/>
    <w:rsid w:val="4B396FAF"/>
    <w:rsid w:val="4B3A0D95"/>
    <w:rsid w:val="4B3A6FE7"/>
    <w:rsid w:val="4B3E3CC2"/>
    <w:rsid w:val="4B3F63AB"/>
    <w:rsid w:val="4B477B5C"/>
    <w:rsid w:val="4B4860F2"/>
    <w:rsid w:val="4B533C05"/>
    <w:rsid w:val="4B5B06A4"/>
    <w:rsid w:val="4B610F2B"/>
    <w:rsid w:val="4B6C4CC7"/>
    <w:rsid w:val="4B797C23"/>
    <w:rsid w:val="4B802EAC"/>
    <w:rsid w:val="4B92472D"/>
    <w:rsid w:val="4B995B21"/>
    <w:rsid w:val="4B9A5CD8"/>
    <w:rsid w:val="4B9E7576"/>
    <w:rsid w:val="4B9F501D"/>
    <w:rsid w:val="4BA25610"/>
    <w:rsid w:val="4BA31329"/>
    <w:rsid w:val="4BA3418D"/>
    <w:rsid w:val="4BA44460"/>
    <w:rsid w:val="4BA803F5"/>
    <w:rsid w:val="4BA821A3"/>
    <w:rsid w:val="4BB5041C"/>
    <w:rsid w:val="4BBA1ED6"/>
    <w:rsid w:val="4BBF74EC"/>
    <w:rsid w:val="4BC0107B"/>
    <w:rsid w:val="4BC32732"/>
    <w:rsid w:val="4BC82845"/>
    <w:rsid w:val="4BCC41F7"/>
    <w:rsid w:val="4BD340D8"/>
    <w:rsid w:val="4BD72E77"/>
    <w:rsid w:val="4BE8162B"/>
    <w:rsid w:val="4BEB208F"/>
    <w:rsid w:val="4BF30F0E"/>
    <w:rsid w:val="4BF3700E"/>
    <w:rsid w:val="4BF40E3E"/>
    <w:rsid w:val="4BF4363A"/>
    <w:rsid w:val="4BF93947"/>
    <w:rsid w:val="4BF95743"/>
    <w:rsid w:val="4BF968BD"/>
    <w:rsid w:val="4BFA506D"/>
    <w:rsid w:val="4BFC428E"/>
    <w:rsid w:val="4C001FDF"/>
    <w:rsid w:val="4C043151"/>
    <w:rsid w:val="4C0513A3"/>
    <w:rsid w:val="4C052F7B"/>
    <w:rsid w:val="4C0D64AA"/>
    <w:rsid w:val="4C0F2EFA"/>
    <w:rsid w:val="4C102C81"/>
    <w:rsid w:val="4C16343E"/>
    <w:rsid w:val="4C1669E5"/>
    <w:rsid w:val="4C1753ED"/>
    <w:rsid w:val="4C261319"/>
    <w:rsid w:val="4C26756B"/>
    <w:rsid w:val="4C2A0E0A"/>
    <w:rsid w:val="4C2A705C"/>
    <w:rsid w:val="4C2F4672"/>
    <w:rsid w:val="4C35155C"/>
    <w:rsid w:val="4C377B1D"/>
    <w:rsid w:val="4C393C27"/>
    <w:rsid w:val="4C4E7751"/>
    <w:rsid w:val="4C516396"/>
    <w:rsid w:val="4C5D79F9"/>
    <w:rsid w:val="4C60482B"/>
    <w:rsid w:val="4C6065D9"/>
    <w:rsid w:val="4C653016"/>
    <w:rsid w:val="4C714C8A"/>
    <w:rsid w:val="4C7B78B7"/>
    <w:rsid w:val="4C873008"/>
    <w:rsid w:val="4C891FD4"/>
    <w:rsid w:val="4C9170DB"/>
    <w:rsid w:val="4C942727"/>
    <w:rsid w:val="4CA23096"/>
    <w:rsid w:val="4CA26BF2"/>
    <w:rsid w:val="4CA74986"/>
    <w:rsid w:val="4CA86B33"/>
    <w:rsid w:val="4CAC3E38"/>
    <w:rsid w:val="4CB614C5"/>
    <w:rsid w:val="4CB708CE"/>
    <w:rsid w:val="4CC06201"/>
    <w:rsid w:val="4CC60E28"/>
    <w:rsid w:val="4CD54770"/>
    <w:rsid w:val="4CDE39A2"/>
    <w:rsid w:val="4CEC5094"/>
    <w:rsid w:val="4CEF46B1"/>
    <w:rsid w:val="4CF12C3C"/>
    <w:rsid w:val="4CFF4044"/>
    <w:rsid w:val="4D001B6A"/>
    <w:rsid w:val="4D072EF9"/>
    <w:rsid w:val="4D0E4287"/>
    <w:rsid w:val="4D0E4E56"/>
    <w:rsid w:val="4D111FCA"/>
    <w:rsid w:val="4D184E9F"/>
    <w:rsid w:val="4D1F45CA"/>
    <w:rsid w:val="4D243D1D"/>
    <w:rsid w:val="4D4507B1"/>
    <w:rsid w:val="4D471771"/>
    <w:rsid w:val="4D4F0070"/>
    <w:rsid w:val="4D5F3063"/>
    <w:rsid w:val="4D665DA0"/>
    <w:rsid w:val="4D751A6D"/>
    <w:rsid w:val="4D956776"/>
    <w:rsid w:val="4D9F646F"/>
    <w:rsid w:val="4DA370C6"/>
    <w:rsid w:val="4DA90454"/>
    <w:rsid w:val="4DAC584E"/>
    <w:rsid w:val="4DAE6043"/>
    <w:rsid w:val="4DAF745E"/>
    <w:rsid w:val="4DB01A4E"/>
    <w:rsid w:val="4DB12E65"/>
    <w:rsid w:val="4DBD215C"/>
    <w:rsid w:val="4DC42B98"/>
    <w:rsid w:val="4DC4401B"/>
    <w:rsid w:val="4DC5500D"/>
    <w:rsid w:val="4DCB5BFA"/>
    <w:rsid w:val="4DD80DD4"/>
    <w:rsid w:val="4DDF2965"/>
    <w:rsid w:val="4DDF3E76"/>
    <w:rsid w:val="4DDF413C"/>
    <w:rsid w:val="4DE338A7"/>
    <w:rsid w:val="4DE60D60"/>
    <w:rsid w:val="4DE66FB2"/>
    <w:rsid w:val="4DE90850"/>
    <w:rsid w:val="4DEA40C5"/>
    <w:rsid w:val="4DF5539E"/>
    <w:rsid w:val="4E023BB8"/>
    <w:rsid w:val="4E094A4F"/>
    <w:rsid w:val="4E0A3F56"/>
    <w:rsid w:val="4E16599B"/>
    <w:rsid w:val="4E267F26"/>
    <w:rsid w:val="4E3157B9"/>
    <w:rsid w:val="4E434405"/>
    <w:rsid w:val="4E4850D5"/>
    <w:rsid w:val="4E5B34FC"/>
    <w:rsid w:val="4E636855"/>
    <w:rsid w:val="4E7750AF"/>
    <w:rsid w:val="4E816CDB"/>
    <w:rsid w:val="4E8862BB"/>
    <w:rsid w:val="4E8B0864"/>
    <w:rsid w:val="4E93713A"/>
    <w:rsid w:val="4E976206"/>
    <w:rsid w:val="4E9E163B"/>
    <w:rsid w:val="4E9F6F34"/>
    <w:rsid w:val="4EAB7914"/>
    <w:rsid w:val="4EAF015A"/>
    <w:rsid w:val="4EAF1A9A"/>
    <w:rsid w:val="4EB255E9"/>
    <w:rsid w:val="4EB726FD"/>
    <w:rsid w:val="4EB93965"/>
    <w:rsid w:val="4EBB043F"/>
    <w:rsid w:val="4EBD4210"/>
    <w:rsid w:val="4ECC69E9"/>
    <w:rsid w:val="4ED239F1"/>
    <w:rsid w:val="4ED46303"/>
    <w:rsid w:val="4EDB3AAB"/>
    <w:rsid w:val="4EE94FAC"/>
    <w:rsid w:val="4EEF4898"/>
    <w:rsid w:val="4EF876C2"/>
    <w:rsid w:val="4EF95618"/>
    <w:rsid w:val="4F04682A"/>
    <w:rsid w:val="4F053468"/>
    <w:rsid w:val="4F0A56E7"/>
    <w:rsid w:val="4F187946"/>
    <w:rsid w:val="4F230016"/>
    <w:rsid w:val="4F284BD5"/>
    <w:rsid w:val="4F2B762F"/>
    <w:rsid w:val="4F2E365D"/>
    <w:rsid w:val="4F351F9F"/>
    <w:rsid w:val="4F35568B"/>
    <w:rsid w:val="4F367AC5"/>
    <w:rsid w:val="4F4827F4"/>
    <w:rsid w:val="4F4928CD"/>
    <w:rsid w:val="4F563CC4"/>
    <w:rsid w:val="4F637771"/>
    <w:rsid w:val="4F66685C"/>
    <w:rsid w:val="4F700C50"/>
    <w:rsid w:val="4F733CEF"/>
    <w:rsid w:val="4F7971B7"/>
    <w:rsid w:val="4F7A6BD5"/>
    <w:rsid w:val="4F7C3284"/>
    <w:rsid w:val="4F7F6DCB"/>
    <w:rsid w:val="4F87366D"/>
    <w:rsid w:val="4F9071D6"/>
    <w:rsid w:val="4F9273F2"/>
    <w:rsid w:val="4F996CEF"/>
    <w:rsid w:val="4F9B5B7A"/>
    <w:rsid w:val="4F9E30E2"/>
    <w:rsid w:val="4FB21842"/>
    <w:rsid w:val="4FB44305"/>
    <w:rsid w:val="4FB54E8E"/>
    <w:rsid w:val="4FC47104"/>
    <w:rsid w:val="4FC861DA"/>
    <w:rsid w:val="4FCB2904"/>
    <w:rsid w:val="4FCE7CFE"/>
    <w:rsid w:val="4FD74E04"/>
    <w:rsid w:val="4FDC00EC"/>
    <w:rsid w:val="4FE17A31"/>
    <w:rsid w:val="4FE237A9"/>
    <w:rsid w:val="4FE90FDC"/>
    <w:rsid w:val="4FFD51C6"/>
    <w:rsid w:val="4FFE246B"/>
    <w:rsid w:val="4FFE4A87"/>
    <w:rsid w:val="50096F88"/>
    <w:rsid w:val="500B2729"/>
    <w:rsid w:val="500D4C0D"/>
    <w:rsid w:val="500F5786"/>
    <w:rsid w:val="502A10A5"/>
    <w:rsid w:val="502B6719"/>
    <w:rsid w:val="502D0EC8"/>
    <w:rsid w:val="5032028D"/>
    <w:rsid w:val="503415A0"/>
    <w:rsid w:val="50377F99"/>
    <w:rsid w:val="503B5FA4"/>
    <w:rsid w:val="503F29AA"/>
    <w:rsid w:val="504346B5"/>
    <w:rsid w:val="50612555"/>
    <w:rsid w:val="50665BE5"/>
    <w:rsid w:val="506B19F1"/>
    <w:rsid w:val="50715259"/>
    <w:rsid w:val="5086682B"/>
    <w:rsid w:val="509468A1"/>
    <w:rsid w:val="5096168B"/>
    <w:rsid w:val="509947B0"/>
    <w:rsid w:val="5099655E"/>
    <w:rsid w:val="509B0528"/>
    <w:rsid w:val="50A43B2D"/>
    <w:rsid w:val="50AF6F0F"/>
    <w:rsid w:val="50CB07C1"/>
    <w:rsid w:val="50CF3D2E"/>
    <w:rsid w:val="50DC24A9"/>
    <w:rsid w:val="50E05F3B"/>
    <w:rsid w:val="50E645A5"/>
    <w:rsid w:val="50FB7BED"/>
    <w:rsid w:val="50FC089B"/>
    <w:rsid w:val="50FE39D2"/>
    <w:rsid w:val="51010497"/>
    <w:rsid w:val="51087240"/>
    <w:rsid w:val="51090C30"/>
    <w:rsid w:val="510C6D30"/>
    <w:rsid w:val="510E0CFA"/>
    <w:rsid w:val="51164890"/>
    <w:rsid w:val="51196F78"/>
    <w:rsid w:val="511F2F07"/>
    <w:rsid w:val="5124051D"/>
    <w:rsid w:val="51275918"/>
    <w:rsid w:val="512E4EA9"/>
    <w:rsid w:val="51312C3A"/>
    <w:rsid w:val="513A524A"/>
    <w:rsid w:val="513D4CBA"/>
    <w:rsid w:val="5147093D"/>
    <w:rsid w:val="514E7348"/>
    <w:rsid w:val="51586419"/>
    <w:rsid w:val="515E6EA9"/>
    <w:rsid w:val="51600E2A"/>
    <w:rsid w:val="516A7EFA"/>
    <w:rsid w:val="516B3775"/>
    <w:rsid w:val="517338F9"/>
    <w:rsid w:val="51757B43"/>
    <w:rsid w:val="5179791C"/>
    <w:rsid w:val="517D19DC"/>
    <w:rsid w:val="517D2FBF"/>
    <w:rsid w:val="518561CB"/>
    <w:rsid w:val="518D44C7"/>
    <w:rsid w:val="518D7071"/>
    <w:rsid w:val="51933489"/>
    <w:rsid w:val="519C4558"/>
    <w:rsid w:val="51A11B6E"/>
    <w:rsid w:val="51A7627C"/>
    <w:rsid w:val="51AA3354"/>
    <w:rsid w:val="51AD5CA7"/>
    <w:rsid w:val="51B41C83"/>
    <w:rsid w:val="51B573C7"/>
    <w:rsid w:val="51B82A14"/>
    <w:rsid w:val="51BB0BE8"/>
    <w:rsid w:val="51BD766A"/>
    <w:rsid w:val="51BE046A"/>
    <w:rsid w:val="51C17608"/>
    <w:rsid w:val="51C5066C"/>
    <w:rsid w:val="51CA025F"/>
    <w:rsid w:val="51CA6E60"/>
    <w:rsid w:val="51CF7D67"/>
    <w:rsid w:val="51D3784E"/>
    <w:rsid w:val="520C4DC4"/>
    <w:rsid w:val="5211682B"/>
    <w:rsid w:val="521D4944"/>
    <w:rsid w:val="521F0CE5"/>
    <w:rsid w:val="522D783F"/>
    <w:rsid w:val="52383444"/>
    <w:rsid w:val="523F184A"/>
    <w:rsid w:val="52420787"/>
    <w:rsid w:val="52432C25"/>
    <w:rsid w:val="52527FCE"/>
    <w:rsid w:val="525C3D07"/>
    <w:rsid w:val="525F7333"/>
    <w:rsid w:val="52691B97"/>
    <w:rsid w:val="526D1A50"/>
    <w:rsid w:val="5272350A"/>
    <w:rsid w:val="527252B8"/>
    <w:rsid w:val="5281374D"/>
    <w:rsid w:val="5286166A"/>
    <w:rsid w:val="52867030"/>
    <w:rsid w:val="528D4E0A"/>
    <w:rsid w:val="52907FC9"/>
    <w:rsid w:val="52971780"/>
    <w:rsid w:val="529F262B"/>
    <w:rsid w:val="52AD524A"/>
    <w:rsid w:val="52B265D2"/>
    <w:rsid w:val="52B4142D"/>
    <w:rsid w:val="52C51E4C"/>
    <w:rsid w:val="52C8137C"/>
    <w:rsid w:val="52CF79E9"/>
    <w:rsid w:val="52D51623"/>
    <w:rsid w:val="52DD3360"/>
    <w:rsid w:val="52DD61F2"/>
    <w:rsid w:val="52E52FC3"/>
    <w:rsid w:val="52EA3848"/>
    <w:rsid w:val="52F52966"/>
    <w:rsid w:val="52FB11B3"/>
    <w:rsid w:val="52FB51E1"/>
    <w:rsid w:val="52FE6B41"/>
    <w:rsid w:val="53125328"/>
    <w:rsid w:val="5320789E"/>
    <w:rsid w:val="532365B3"/>
    <w:rsid w:val="532B7CFC"/>
    <w:rsid w:val="532E218B"/>
    <w:rsid w:val="53310CD0"/>
    <w:rsid w:val="533E503D"/>
    <w:rsid w:val="53407165"/>
    <w:rsid w:val="534173F9"/>
    <w:rsid w:val="534C3D5B"/>
    <w:rsid w:val="534D68B8"/>
    <w:rsid w:val="534E6AEF"/>
    <w:rsid w:val="53523DFF"/>
    <w:rsid w:val="535A55E1"/>
    <w:rsid w:val="535A69A3"/>
    <w:rsid w:val="535B1FF7"/>
    <w:rsid w:val="535D7D17"/>
    <w:rsid w:val="536015B5"/>
    <w:rsid w:val="536746F1"/>
    <w:rsid w:val="5367649F"/>
    <w:rsid w:val="53696C7A"/>
    <w:rsid w:val="537B019D"/>
    <w:rsid w:val="538057B3"/>
    <w:rsid w:val="53837051"/>
    <w:rsid w:val="538C587F"/>
    <w:rsid w:val="53910EBB"/>
    <w:rsid w:val="53953374"/>
    <w:rsid w:val="539774E2"/>
    <w:rsid w:val="53A2777C"/>
    <w:rsid w:val="53A3031B"/>
    <w:rsid w:val="53A96F0F"/>
    <w:rsid w:val="53AB0D63"/>
    <w:rsid w:val="53B212A8"/>
    <w:rsid w:val="53B92A73"/>
    <w:rsid w:val="53C102A5"/>
    <w:rsid w:val="53C464A1"/>
    <w:rsid w:val="53C75190"/>
    <w:rsid w:val="53D86595"/>
    <w:rsid w:val="53D87451"/>
    <w:rsid w:val="53DC6280"/>
    <w:rsid w:val="53DF1AA5"/>
    <w:rsid w:val="53E67D0C"/>
    <w:rsid w:val="53F14CE1"/>
    <w:rsid w:val="53F87039"/>
    <w:rsid w:val="540006A2"/>
    <w:rsid w:val="5406215C"/>
    <w:rsid w:val="541C3AAD"/>
    <w:rsid w:val="5435497A"/>
    <w:rsid w:val="543842E0"/>
    <w:rsid w:val="54392235"/>
    <w:rsid w:val="543A601B"/>
    <w:rsid w:val="543F3090"/>
    <w:rsid w:val="54464D71"/>
    <w:rsid w:val="544815B0"/>
    <w:rsid w:val="5449029B"/>
    <w:rsid w:val="54505185"/>
    <w:rsid w:val="54540146"/>
    <w:rsid w:val="546450D5"/>
    <w:rsid w:val="546D3F89"/>
    <w:rsid w:val="546F6583"/>
    <w:rsid w:val="54750427"/>
    <w:rsid w:val="547C020E"/>
    <w:rsid w:val="5480344C"/>
    <w:rsid w:val="548553F0"/>
    <w:rsid w:val="54870F0F"/>
    <w:rsid w:val="5487131B"/>
    <w:rsid w:val="548C272B"/>
    <w:rsid w:val="54992125"/>
    <w:rsid w:val="54995E16"/>
    <w:rsid w:val="54AC51E5"/>
    <w:rsid w:val="54B5148C"/>
    <w:rsid w:val="54BE6593"/>
    <w:rsid w:val="54C42E70"/>
    <w:rsid w:val="54C73281"/>
    <w:rsid w:val="54D04518"/>
    <w:rsid w:val="54D062C6"/>
    <w:rsid w:val="54D45DB6"/>
    <w:rsid w:val="54D62E39"/>
    <w:rsid w:val="54D65AC9"/>
    <w:rsid w:val="54E212ED"/>
    <w:rsid w:val="54E33989"/>
    <w:rsid w:val="54EE4DBF"/>
    <w:rsid w:val="54F012A3"/>
    <w:rsid w:val="54F22A19"/>
    <w:rsid w:val="54FB4E8F"/>
    <w:rsid w:val="54FF4C8C"/>
    <w:rsid w:val="55011829"/>
    <w:rsid w:val="5503669C"/>
    <w:rsid w:val="55067F3A"/>
    <w:rsid w:val="550A24C0"/>
    <w:rsid w:val="550D3B58"/>
    <w:rsid w:val="55216B22"/>
    <w:rsid w:val="5522131D"/>
    <w:rsid w:val="55225AFC"/>
    <w:rsid w:val="55235AC4"/>
    <w:rsid w:val="553D46AE"/>
    <w:rsid w:val="55675113"/>
    <w:rsid w:val="55696DC3"/>
    <w:rsid w:val="556C6EB2"/>
    <w:rsid w:val="55750332"/>
    <w:rsid w:val="557634A9"/>
    <w:rsid w:val="557650C0"/>
    <w:rsid w:val="558570B1"/>
    <w:rsid w:val="559D089E"/>
    <w:rsid w:val="559F4616"/>
    <w:rsid w:val="55A411B8"/>
    <w:rsid w:val="55A75279"/>
    <w:rsid w:val="55B1434A"/>
    <w:rsid w:val="55C37BD9"/>
    <w:rsid w:val="55CF02BB"/>
    <w:rsid w:val="55D7727B"/>
    <w:rsid w:val="55DD2C3E"/>
    <w:rsid w:val="55E45E4A"/>
    <w:rsid w:val="55FA184D"/>
    <w:rsid w:val="55FD133D"/>
    <w:rsid w:val="55FD758F"/>
    <w:rsid w:val="55FF3307"/>
    <w:rsid w:val="560426CB"/>
    <w:rsid w:val="56085E8D"/>
    <w:rsid w:val="560B1CAC"/>
    <w:rsid w:val="560C77D2"/>
    <w:rsid w:val="5612303A"/>
    <w:rsid w:val="5622727F"/>
    <w:rsid w:val="563034C0"/>
    <w:rsid w:val="563D04BA"/>
    <w:rsid w:val="5642624B"/>
    <w:rsid w:val="56464A92"/>
    <w:rsid w:val="5647080A"/>
    <w:rsid w:val="564718DC"/>
    <w:rsid w:val="56483697"/>
    <w:rsid w:val="56633896"/>
    <w:rsid w:val="56654BB6"/>
    <w:rsid w:val="56775FCC"/>
    <w:rsid w:val="567C6706"/>
    <w:rsid w:val="56892F26"/>
    <w:rsid w:val="568C1E02"/>
    <w:rsid w:val="56993106"/>
    <w:rsid w:val="569C6DA8"/>
    <w:rsid w:val="56A66A33"/>
    <w:rsid w:val="56A96A51"/>
    <w:rsid w:val="56AE5195"/>
    <w:rsid w:val="56B56CB8"/>
    <w:rsid w:val="56B721EF"/>
    <w:rsid w:val="56BC2BC5"/>
    <w:rsid w:val="56C17045"/>
    <w:rsid w:val="56C514EE"/>
    <w:rsid w:val="56DC0535"/>
    <w:rsid w:val="56EC4B5D"/>
    <w:rsid w:val="56F03358"/>
    <w:rsid w:val="57034358"/>
    <w:rsid w:val="570813E5"/>
    <w:rsid w:val="570D55B0"/>
    <w:rsid w:val="570E7AFD"/>
    <w:rsid w:val="57122BC6"/>
    <w:rsid w:val="571F22C3"/>
    <w:rsid w:val="571F628C"/>
    <w:rsid w:val="57292966"/>
    <w:rsid w:val="573214BA"/>
    <w:rsid w:val="57323268"/>
    <w:rsid w:val="57352C18"/>
    <w:rsid w:val="57352F0B"/>
    <w:rsid w:val="57390153"/>
    <w:rsid w:val="57464C52"/>
    <w:rsid w:val="57490056"/>
    <w:rsid w:val="575C11EB"/>
    <w:rsid w:val="575D1F53"/>
    <w:rsid w:val="57622EA9"/>
    <w:rsid w:val="5763708B"/>
    <w:rsid w:val="577718C1"/>
    <w:rsid w:val="577D58AB"/>
    <w:rsid w:val="57807FB8"/>
    <w:rsid w:val="578D6F52"/>
    <w:rsid w:val="578E7C24"/>
    <w:rsid w:val="5797131D"/>
    <w:rsid w:val="5798124F"/>
    <w:rsid w:val="57A07595"/>
    <w:rsid w:val="57A113C2"/>
    <w:rsid w:val="57AC6B77"/>
    <w:rsid w:val="57AE0620"/>
    <w:rsid w:val="57AF6667"/>
    <w:rsid w:val="57B95737"/>
    <w:rsid w:val="57C02622"/>
    <w:rsid w:val="57C97313"/>
    <w:rsid w:val="57CC4BC2"/>
    <w:rsid w:val="57D80EF9"/>
    <w:rsid w:val="57D97DB3"/>
    <w:rsid w:val="57DA7B88"/>
    <w:rsid w:val="57DB7C09"/>
    <w:rsid w:val="57DD2798"/>
    <w:rsid w:val="57E20D82"/>
    <w:rsid w:val="57E211DF"/>
    <w:rsid w:val="57EA6308"/>
    <w:rsid w:val="57F535F0"/>
    <w:rsid w:val="57FA2B09"/>
    <w:rsid w:val="580601E4"/>
    <w:rsid w:val="5810111B"/>
    <w:rsid w:val="581B5AAA"/>
    <w:rsid w:val="581D6DE2"/>
    <w:rsid w:val="58311772"/>
    <w:rsid w:val="58314EDA"/>
    <w:rsid w:val="58355079"/>
    <w:rsid w:val="58385F74"/>
    <w:rsid w:val="58393F9E"/>
    <w:rsid w:val="583A0151"/>
    <w:rsid w:val="583B0A46"/>
    <w:rsid w:val="583F0C61"/>
    <w:rsid w:val="58545046"/>
    <w:rsid w:val="5855720E"/>
    <w:rsid w:val="585B5DD0"/>
    <w:rsid w:val="58605F35"/>
    <w:rsid w:val="586715D1"/>
    <w:rsid w:val="586C6306"/>
    <w:rsid w:val="58816079"/>
    <w:rsid w:val="588E0972"/>
    <w:rsid w:val="58906498"/>
    <w:rsid w:val="5898534D"/>
    <w:rsid w:val="58A32F63"/>
    <w:rsid w:val="58AA3909"/>
    <w:rsid w:val="58BA73F7"/>
    <w:rsid w:val="58C223CA"/>
    <w:rsid w:val="58C675C0"/>
    <w:rsid w:val="58D425E1"/>
    <w:rsid w:val="58DC449E"/>
    <w:rsid w:val="58E30CBE"/>
    <w:rsid w:val="58E56AAA"/>
    <w:rsid w:val="58E837CB"/>
    <w:rsid w:val="58EB1921"/>
    <w:rsid w:val="58ED511A"/>
    <w:rsid w:val="58F24A5D"/>
    <w:rsid w:val="58F46A27"/>
    <w:rsid w:val="58F630C1"/>
    <w:rsid w:val="58F73CD6"/>
    <w:rsid w:val="58FA7DB6"/>
    <w:rsid w:val="591456D6"/>
    <w:rsid w:val="591A2681"/>
    <w:rsid w:val="59276782"/>
    <w:rsid w:val="592D0650"/>
    <w:rsid w:val="592F7A5F"/>
    <w:rsid w:val="5937623E"/>
    <w:rsid w:val="59401C6C"/>
    <w:rsid w:val="5943350B"/>
    <w:rsid w:val="59464DA9"/>
    <w:rsid w:val="594B5271"/>
    <w:rsid w:val="595B0481"/>
    <w:rsid w:val="595C5ED8"/>
    <w:rsid w:val="59617B7F"/>
    <w:rsid w:val="59701AD0"/>
    <w:rsid w:val="59701E26"/>
    <w:rsid w:val="59755D94"/>
    <w:rsid w:val="59793144"/>
    <w:rsid w:val="5979517E"/>
    <w:rsid w:val="597C5E8F"/>
    <w:rsid w:val="59851D75"/>
    <w:rsid w:val="59853B23"/>
    <w:rsid w:val="59864BB0"/>
    <w:rsid w:val="598C17B9"/>
    <w:rsid w:val="598E2878"/>
    <w:rsid w:val="59904470"/>
    <w:rsid w:val="599322BD"/>
    <w:rsid w:val="59995821"/>
    <w:rsid w:val="59A53FC9"/>
    <w:rsid w:val="59A83167"/>
    <w:rsid w:val="59AC5554"/>
    <w:rsid w:val="59B2501B"/>
    <w:rsid w:val="59B85EB7"/>
    <w:rsid w:val="59BA391C"/>
    <w:rsid w:val="59C01D4E"/>
    <w:rsid w:val="59C5308D"/>
    <w:rsid w:val="59CE239D"/>
    <w:rsid w:val="59D61317"/>
    <w:rsid w:val="59E31446"/>
    <w:rsid w:val="59E43720"/>
    <w:rsid w:val="59E779BD"/>
    <w:rsid w:val="59EA7015"/>
    <w:rsid w:val="59EE2E30"/>
    <w:rsid w:val="59F32EDE"/>
    <w:rsid w:val="59F45004"/>
    <w:rsid w:val="5A0013FC"/>
    <w:rsid w:val="5A037476"/>
    <w:rsid w:val="5A1F18EA"/>
    <w:rsid w:val="5A2E41BB"/>
    <w:rsid w:val="5A302BC2"/>
    <w:rsid w:val="5A4124BE"/>
    <w:rsid w:val="5A4B6B1B"/>
    <w:rsid w:val="5A4E59EC"/>
    <w:rsid w:val="5A553BDE"/>
    <w:rsid w:val="5A5A108A"/>
    <w:rsid w:val="5A5F1087"/>
    <w:rsid w:val="5A601E9A"/>
    <w:rsid w:val="5A656A97"/>
    <w:rsid w:val="5A672C25"/>
    <w:rsid w:val="5A6B25F7"/>
    <w:rsid w:val="5A6C60F1"/>
    <w:rsid w:val="5A6D6C90"/>
    <w:rsid w:val="5A6F03CD"/>
    <w:rsid w:val="5A753B98"/>
    <w:rsid w:val="5A754FD7"/>
    <w:rsid w:val="5A7552AB"/>
    <w:rsid w:val="5A795E2E"/>
    <w:rsid w:val="5A805435"/>
    <w:rsid w:val="5A81253D"/>
    <w:rsid w:val="5A851901"/>
    <w:rsid w:val="5A882BDD"/>
    <w:rsid w:val="5A924F28"/>
    <w:rsid w:val="5A963642"/>
    <w:rsid w:val="5A996E62"/>
    <w:rsid w:val="5A9970A6"/>
    <w:rsid w:val="5A9A4581"/>
    <w:rsid w:val="5AA20705"/>
    <w:rsid w:val="5AA47FD9"/>
    <w:rsid w:val="5AA929C4"/>
    <w:rsid w:val="5AB242ED"/>
    <w:rsid w:val="5ABF6D75"/>
    <w:rsid w:val="5AC03E2B"/>
    <w:rsid w:val="5ACA12F3"/>
    <w:rsid w:val="5ACE14FA"/>
    <w:rsid w:val="5AD308BE"/>
    <w:rsid w:val="5AF34ABD"/>
    <w:rsid w:val="5AFA22EF"/>
    <w:rsid w:val="5B00717E"/>
    <w:rsid w:val="5B072BC8"/>
    <w:rsid w:val="5B106CEA"/>
    <w:rsid w:val="5B155711"/>
    <w:rsid w:val="5B2916BE"/>
    <w:rsid w:val="5B3203DE"/>
    <w:rsid w:val="5B3475AF"/>
    <w:rsid w:val="5B3F5F54"/>
    <w:rsid w:val="5B414466"/>
    <w:rsid w:val="5B434693"/>
    <w:rsid w:val="5B4D66D7"/>
    <w:rsid w:val="5B652994"/>
    <w:rsid w:val="5B6C3BFE"/>
    <w:rsid w:val="5B6D3007"/>
    <w:rsid w:val="5B6F6839"/>
    <w:rsid w:val="5B743E4F"/>
    <w:rsid w:val="5B7B3430"/>
    <w:rsid w:val="5B7E7C0D"/>
    <w:rsid w:val="5B8A7AA0"/>
    <w:rsid w:val="5B8C2182"/>
    <w:rsid w:val="5B8D6CBF"/>
    <w:rsid w:val="5B8F6EDB"/>
    <w:rsid w:val="5B9C6E4B"/>
    <w:rsid w:val="5BA11CDC"/>
    <w:rsid w:val="5BA7468A"/>
    <w:rsid w:val="5BA83AF9"/>
    <w:rsid w:val="5BAA5B5F"/>
    <w:rsid w:val="5BB95D06"/>
    <w:rsid w:val="5BC14BBB"/>
    <w:rsid w:val="5BC621D1"/>
    <w:rsid w:val="5BD13050"/>
    <w:rsid w:val="5BDE576D"/>
    <w:rsid w:val="5BF12387"/>
    <w:rsid w:val="5C03111E"/>
    <w:rsid w:val="5C061FC0"/>
    <w:rsid w:val="5C0F21BC"/>
    <w:rsid w:val="5C217E2B"/>
    <w:rsid w:val="5C272C70"/>
    <w:rsid w:val="5C3A2476"/>
    <w:rsid w:val="5C433822"/>
    <w:rsid w:val="5C4767BF"/>
    <w:rsid w:val="5C4C26D6"/>
    <w:rsid w:val="5C4D55F8"/>
    <w:rsid w:val="5C515F3F"/>
    <w:rsid w:val="5C552929"/>
    <w:rsid w:val="5C5A704B"/>
    <w:rsid w:val="5C615BE0"/>
    <w:rsid w:val="5C664058"/>
    <w:rsid w:val="5C6C4B26"/>
    <w:rsid w:val="5C711886"/>
    <w:rsid w:val="5C787E13"/>
    <w:rsid w:val="5C814A76"/>
    <w:rsid w:val="5C82699B"/>
    <w:rsid w:val="5C970BF4"/>
    <w:rsid w:val="5C9B540C"/>
    <w:rsid w:val="5CB05AEA"/>
    <w:rsid w:val="5CB229C5"/>
    <w:rsid w:val="5CBB05A4"/>
    <w:rsid w:val="5CBC0084"/>
    <w:rsid w:val="5CC1221E"/>
    <w:rsid w:val="5CC47E84"/>
    <w:rsid w:val="5CC613FD"/>
    <w:rsid w:val="5CC826A5"/>
    <w:rsid w:val="5CC93D27"/>
    <w:rsid w:val="5CCD2968"/>
    <w:rsid w:val="5CD033D2"/>
    <w:rsid w:val="5CD10E2D"/>
    <w:rsid w:val="5CDA369A"/>
    <w:rsid w:val="5CDA3BBB"/>
    <w:rsid w:val="5CE768A3"/>
    <w:rsid w:val="5CF61401"/>
    <w:rsid w:val="5CFA7995"/>
    <w:rsid w:val="5D0607CD"/>
    <w:rsid w:val="5D0631CD"/>
    <w:rsid w:val="5D172CE4"/>
    <w:rsid w:val="5D185898"/>
    <w:rsid w:val="5D1F062A"/>
    <w:rsid w:val="5D2E7801"/>
    <w:rsid w:val="5D35760E"/>
    <w:rsid w:val="5D3F223B"/>
    <w:rsid w:val="5D437F7D"/>
    <w:rsid w:val="5D4930BA"/>
    <w:rsid w:val="5D4D4958"/>
    <w:rsid w:val="5D59154F"/>
    <w:rsid w:val="5D5977A1"/>
    <w:rsid w:val="5D6677C8"/>
    <w:rsid w:val="5D694C13"/>
    <w:rsid w:val="5D6C666D"/>
    <w:rsid w:val="5D72616D"/>
    <w:rsid w:val="5D857883"/>
    <w:rsid w:val="5D861C18"/>
    <w:rsid w:val="5D885990"/>
    <w:rsid w:val="5DA362FB"/>
    <w:rsid w:val="5DA6111A"/>
    <w:rsid w:val="5DAE61D8"/>
    <w:rsid w:val="5DB669A1"/>
    <w:rsid w:val="5DB744C7"/>
    <w:rsid w:val="5DB942C3"/>
    <w:rsid w:val="5DC849B0"/>
    <w:rsid w:val="5DCA7D57"/>
    <w:rsid w:val="5DDE6A81"/>
    <w:rsid w:val="5DE84681"/>
    <w:rsid w:val="5DF748C4"/>
    <w:rsid w:val="5DF9688E"/>
    <w:rsid w:val="5DFC4FE8"/>
    <w:rsid w:val="5DFD6725"/>
    <w:rsid w:val="5E007C1C"/>
    <w:rsid w:val="5E127950"/>
    <w:rsid w:val="5E162F9C"/>
    <w:rsid w:val="5E2935AE"/>
    <w:rsid w:val="5E2F405E"/>
    <w:rsid w:val="5E341674"/>
    <w:rsid w:val="5E36057A"/>
    <w:rsid w:val="5E397A44"/>
    <w:rsid w:val="5E4B600F"/>
    <w:rsid w:val="5E4E64BB"/>
    <w:rsid w:val="5E5220DE"/>
    <w:rsid w:val="5E554AE4"/>
    <w:rsid w:val="5E587A58"/>
    <w:rsid w:val="5E5D6E1D"/>
    <w:rsid w:val="5E603FE1"/>
    <w:rsid w:val="5E6D0A32"/>
    <w:rsid w:val="5E6D33AD"/>
    <w:rsid w:val="5E6D4B86"/>
    <w:rsid w:val="5E6F724E"/>
    <w:rsid w:val="5E7B7F87"/>
    <w:rsid w:val="5E817D61"/>
    <w:rsid w:val="5E837235"/>
    <w:rsid w:val="5E8566E1"/>
    <w:rsid w:val="5E8954E8"/>
    <w:rsid w:val="5E8A2344"/>
    <w:rsid w:val="5E912F6A"/>
    <w:rsid w:val="5EA261BC"/>
    <w:rsid w:val="5EA3272B"/>
    <w:rsid w:val="5EA410AC"/>
    <w:rsid w:val="5EAB61E5"/>
    <w:rsid w:val="5EBA5BF0"/>
    <w:rsid w:val="5EBA601D"/>
    <w:rsid w:val="5EC16571"/>
    <w:rsid w:val="5EC23124"/>
    <w:rsid w:val="5ECC69D0"/>
    <w:rsid w:val="5ECD67F5"/>
    <w:rsid w:val="5ECE3876"/>
    <w:rsid w:val="5ED50712"/>
    <w:rsid w:val="5ED50C07"/>
    <w:rsid w:val="5ED52E57"/>
    <w:rsid w:val="5EE5030F"/>
    <w:rsid w:val="5EE50BC0"/>
    <w:rsid w:val="5EE5151D"/>
    <w:rsid w:val="5EEE216B"/>
    <w:rsid w:val="5EEF2F73"/>
    <w:rsid w:val="5EF17565"/>
    <w:rsid w:val="5EF57055"/>
    <w:rsid w:val="5EF62DCD"/>
    <w:rsid w:val="5F025C16"/>
    <w:rsid w:val="5F0B7FDB"/>
    <w:rsid w:val="5F0F04E8"/>
    <w:rsid w:val="5F181EB0"/>
    <w:rsid w:val="5F2B2A77"/>
    <w:rsid w:val="5F430EAA"/>
    <w:rsid w:val="5F443B39"/>
    <w:rsid w:val="5F48187B"/>
    <w:rsid w:val="5F4B3119"/>
    <w:rsid w:val="5F4C57A5"/>
    <w:rsid w:val="5F514CE7"/>
    <w:rsid w:val="5F5244A8"/>
    <w:rsid w:val="5F5A66CB"/>
    <w:rsid w:val="5F5C70D4"/>
    <w:rsid w:val="5F64242D"/>
    <w:rsid w:val="5F6E1E62"/>
    <w:rsid w:val="5F6F4E56"/>
    <w:rsid w:val="5F79574A"/>
    <w:rsid w:val="5F7D5071"/>
    <w:rsid w:val="5F8515AA"/>
    <w:rsid w:val="5F8E5468"/>
    <w:rsid w:val="5F901BF8"/>
    <w:rsid w:val="5F952560"/>
    <w:rsid w:val="5F9525E6"/>
    <w:rsid w:val="5F97635E"/>
    <w:rsid w:val="5F9A7BFD"/>
    <w:rsid w:val="5FA13920"/>
    <w:rsid w:val="5FA16A85"/>
    <w:rsid w:val="5FA665A1"/>
    <w:rsid w:val="5FB40CBE"/>
    <w:rsid w:val="5FB646AA"/>
    <w:rsid w:val="5FB91BBC"/>
    <w:rsid w:val="5FBD51CE"/>
    <w:rsid w:val="5FC627A0"/>
    <w:rsid w:val="5FCD3B8B"/>
    <w:rsid w:val="5FDA1067"/>
    <w:rsid w:val="5FDB0843"/>
    <w:rsid w:val="5FE1243E"/>
    <w:rsid w:val="5FE47529"/>
    <w:rsid w:val="5FE80968"/>
    <w:rsid w:val="5FF92C44"/>
    <w:rsid w:val="5FFB4B3F"/>
    <w:rsid w:val="5FFB68ED"/>
    <w:rsid w:val="5FFC3F0D"/>
    <w:rsid w:val="600A2571"/>
    <w:rsid w:val="601479AF"/>
    <w:rsid w:val="6022031E"/>
    <w:rsid w:val="60357131"/>
    <w:rsid w:val="604069F6"/>
    <w:rsid w:val="604D4C6F"/>
    <w:rsid w:val="60570CCE"/>
    <w:rsid w:val="606049A2"/>
    <w:rsid w:val="606A566E"/>
    <w:rsid w:val="607273CA"/>
    <w:rsid w:val="60787F3E"/>
    <w:rsid w:val="607C1773"/>
    <w:rsid w:val="60804D32"/>
    <w:rsid w:val="6089214B"/>
    <w:rsid w:val="60941D9C"/>
    <w:rsid w:val="60986A98"/>
    <w:rsid w:val="60BF3DBF"/>
    <w:rsid w:val="60C211B9"/>
    <w:rsid w:val="60D462BC"/>
    <w:rsid w:val="60D71403"/>
    <w:rsid w:val="60E1243D"/>
    <w:rsid w:val="60E7687B"/>
    <w:rsid w:val="60EB3900"/>
    <w:rsid w:val="60F33A68"/>
    <w:rsid w:val="60FF5A20"/>
    <w:rsid w:val="610A2B60"/>
    <w:rsid w:val="61120392"/>
    <w:rsid w:val="61136EBA"/>
    <w:rsid w:val="611440D5"/>
    <w:rsid w:val="61264EC7"/>
    <w:rsid w:val="612D43F3"/>
    <w:rsid w:val="612D68E5"/>
    <w:rsid w:val="612E5DA5"/>
    <w:rsid w:val="61333E65"/>
    <w:rsid w:val="61363955"/>
    <w:rsid w:val="6149320C"/>
    <w:rsid w:val="61592D8C"/>
    <w:rsid w:val="616404C2"/>
    <w:rsid w:val="616418F9"/>
    <w:rsid w:val="6166423A"/>
    <w:rsid w:val="616F73F2"/>
    <w:rsid w:val="617821BF"/>
    <w:rsid w:val="617D1584"/>
    <w:rsid w:val="617D168B"/>
    <w:rsid w:val="6181336C"/>
    <w:rsid w:val="618D481D"/>
    <w:rsid w:val="61922C2C"/>
    <w:rsid w:val="619B5E52"/>
    <w:rsid w:val="619F6EA3"/>
    <w:rsid w:val="61A86601"/>
    <w:rsid w:val="61BD2427"/>
    <w:rsid w:val="61BD7BD2"/>
    <w:rsid w:val="61C80701"/>
    <w:rsid w:val="61C96577"/>
    <w:rsid w:val="61D41BE3"/>
    <w:rsid w:val="61D770D4"/>
    <w:rsid w:val="61DE2022"/>
    <w:rsid w:val="61E3588B"/>
    <w:rsid w:val="62013F63"/>
    <w:rsid w:val="6212054F"/>
    <w:rsid w:val="6219092F"/>
    <w:rsid w:val="621E4B55"/>
    <w:rsid w:val="621E4F5E"/>
    <w:rsid w:val="6220088D"/>
    <w:rsid w:val="622B552A"/>
    <w:rsid w:val="62331051"/>
    <w:rsid w:val="62370E20"/>
    <w:rsid w:val="6240013D"/>
    <w:rsid w:val="624125B1"/>
    <w:rsid w:val="62424314"/>
    <w:rsid w:val="624532D2"/>
    <w:rsid w:val="62456545"/>
    <w:rsid w:val="62527017"/>
    <w:rsid w:val="62592BD8"/>
    <w:rsid w:val="625978FB"/>
    <w:rsid w:val="625B4D27"/>
    <w:rsid w:val="625B63C5"/>
    <w:rsid w:val="625B657B"/>
    <w:rsid w:val="625D4A21"/>
    <w:rsid w:val="626764BC"/>
    <w:rsid w:val="626B48E1"/>
    <w:rsid w:val="627A3766"/>
    <w:rsid w:val="627E6DF6"/>
    <w:rsid w:val="628C5F22"/>
    <w:rsid w:val="6295640C"/>
    <w:rsid w:val="62957A30"/>
    <w:rsid w:val="629628FD"/>
    <w:rsid w:val="62966DA1"/>
    <w:rsid w:val="6299419B"/>
    <w:rsid w:val="629944C9"/>
    <w:rsid w:val="629E02F8"/>
    <w:rsid w:val="62A82630"/>
    <w:rsid w:val="62B12E92"/>
    <w:rsid w:val="62B334AF"/>
    <w:rsid w:val="62B40FD5"/>
    <w:rsid w:val="62BD60DC"/>
    <w:rsid w:val="62C27E3E"/>
    <w:rsid w:val="62D4425D"/>
    <w:rsid w:val="62DF24F6"/>
    <w:rsid w:val="62E93766"/>
    <w:rsid w:val="62F221FE"/>
    <w:rsid w:val="62F72908"/>
    <w:rsid w:val="62FA01C2"/>
    <w:rsid w:val="62FD5C58"/>
    <w:rsid w:val="63021136"/>
    <w:rsid w:val="63026954"/>
    <w:rsid w:val="630F224B"/>
    <w:rsid w:val="631847CF"/>
    <w:rsid w:val="632154F3"/>
    <w:rsid w:val="632C67C1"/>
    <w:rsid w:val="632D162B"/>
    <w:rsid w:val="63300E36"/>
    <w:rsid w:val="633B34A5"/>
    <w:rsid w:val="63402384"/>
    <w:rsid w:val="63414F5F"/>
    <w:rsid w:val="634160AE"/>
    <w:rsid w:val="634265E1"/>
    <w:rsid w:val="63452AE3"/>
    <w:rsid w:val="63544514"/>
    <w:rsid w:val="63573F06"/>
    <w:rsid w:val="636543B3"/>
    <w:rsid w:val="636C7B02"/>
    <w:rsid w:val="6377202C"/>
    <w:rsid w:val="63780255"/>
    <w:rsid w:val="637B1AF3"/>
    <w:rsid w:val="637F70BC"/>
    <w:rsid w:val="638210D3"/>
    <w:rsid w:val="638257FD"/>
    <w:rsid w:val="6384309D"/>
    <w:rsid w:val="638E5CCA"/>
    <w:rsid w:val="639C14E1"/>
    <w:rsid w:val="639C3F43"/>
    <w:rsid w:val="63A454EE"/>
    <w:rsid w:val="63AE011A"/>
    <w:rsid w:val="63B35731"/>
    <w:rsid w:val="63B55005"/>
    <w:rsid w:val="63B954B9"/>
    <w:rsid w:val="63BC2837"/>
    <w:rsid w:val="63C21020"/>
    <w:rsid w:val="63C90AB0"/>
    <w:rsid w:val="63D07143"/>
    <w:rsid w:val="63D43986"/>
    <w:rsid w:val="63D90F47"/>
    <w:rsid w:val="63E4209A"/>
    <w:rsid w:val="63EC2391"/>
    <w:rsid w:val="63ED29F1"/>
    <w:rsid w:val="64041DD1"/>
    <w:rsid w:val="64045A64"/>
    <w:rsid w:val="640824C9"/>
    <w:rsid w:val="6416019A"/>
    <w:rsid w:val="641937E6"/>
    <w:rsid w:val="641C32D6"/>
    <w:rsid w:val="64202DC6"/>
    <w:rsid w:val="6424218B"/>
    <w:rsid w:val="6441217E"/>
    <w:rsid w:val="64486942"/>
    <w:rsid w:val="644E7329"/>
    <w:rsid w:val="645512FD"/>
    <w:rsid w:val="645529BA"/>
    <w:rsid w:val="64597225"/>
    <w:rsid w:val="645C7B76"/>
    <w:rsid w:val="645F0A48"/>
    <w:rsid w:val="646A0640"/>
    <w:rsid w:val="64721148"/>
    <w:rsid w:val="647C3834"/>
    <w:rsid w:val="64800B74"/>
    <w:rsid w:val="648439EE"/>
    <w:rsid w:val="648475DB"/>
    <w:rsid w:val="64872E45"/>
    <w:rsid w:val="648732B5"/>
    <w:rsid w:val="6489157D"/>
    <w:rsid w:val="64925346"/>
    <w:rsid w:val="649B5961"/>
    <w:rsid w:val="649D485A"/>
    <w:rsid w:val="64A137C1"/>
    <w:rsid w:val="64A13A4E"/>
    <w:rsid w:val="64AF3265"/>
    <w:rsid w:val="64AF5C32"/>
    <w:rsid w:val="64B14444"/>
    <w:rsid w:val="64C03C61"/>
    <w:rsid w:val="64C06700"/>
    <w:rsid w:val="64C9520C"/>
    <w:rsid w:val="64C9636D"/>
    <w:rsid w:val="64CA4AE0"/>
    <w:rsid w:val="64CD2516"/>
    <w:rsid w:val="64E13D87"/>
    <w:rsid w:val="64EE1614"/>
    <w:rsid w:val="64F12019"/>
    <w:rsid w:val="650C6EA7"/>
    <w:rsid w:val="650D40D0"/>
    <w:rsid w:val="650E1238"/>
    <w:rsid w:val="65136487"/>
    <w:rsid w:val="65217654"/>
    <w:rsid w:val="65313307"/>
    <w:rsid w:val="653E277C"/>
    <w:rsid w:val="65436640"/>
    <w:rsid w:val="654B5927"/>
    <w:rsid w:val="65515A4A"/>
    <w:rsid w:val="65560D68"/>
    <w:rsid w:val="655D22F3"/>
    <w:rsid w:val="655F0FD4"/>
    <w:rsid w:val="65631DC6"/>
    <w:rsid w:val="656E2D6F"/>
    <w:rsid w:val="656E5DB3"/>
    <w:rsid w:val="657F1946"/>
    <w:rsid w:val="657F46FE"/>
    <w:rsid w:val="658C0E37"/>
    <w:rsid w:val="658C2796"/>
    <w:rsid w:val="6593581A"/>
    <w:rsid w:val="65980C24"/>
    <w:rsid w:val="659A2704"/>
    <w:rsid w:val="659D7F38"/>
    <w:rsid w:val="65A13B59"/>
    <w:rsid w:val="65A83860"/>
    <w:rsid w:val="65B14F06"/>
    <w:rsid w:val="65B528D9"/>
    <w:rsid w:val="65D87E3C"/>
    <w:rsid w:val="65EC32C5"/>
    <w:rsid w:val="65F55B8D"/>
    <w:rsid w:val="65FC6F1B"/>
    <w:rsid w:val="65FD2C93"/>
    <w:rsid w:val="65FF4C5D"/>
    <w:rsid w:val="66061B48"/>
    <w:rsid w:val="661C580F"/>
    <w:rsid w:val="661C6631"/>
    <w:rsid w:val="662446C4"/>
    <w:rsid w:val="662B7800"/>
    <w:rsid w:val="66304E17"/>
    <w:rsid w:val="66373E26"/>
    <w:rsid w:val="66384BB6"/>
    <w:rsid w:val="66417024"/>
    <w:rsid w:val="66482160"/>
    <w:rsid w:val="66507267"/>
    <w:rsid w:val="66562864"/>
    <w:rsid w:val="665876E7"/>
    <w:rsid w:val="665A1E94"/>
    <w:rsid w:val="665F1585"/>
    <w:rsid w:val="666201DF"/>
    <w:rsid w:val="666920D7"/>
    <w:rsid w:val="666F0395"/>
    <w:rsid w:val="667747F4"/>
    <w:rsid w:val="667C7CCE"/>
    <w:rsid w:val="66831EE5"/>
    <w:rsid w:val="668A09CB"/>
    <w:rsid w:val="668A3D3A"/>
    <w:rsid w:val="668C5C28"/>
    <w:rsid w:val="669C24AC"/>
    <w:rsid w:val="66BB0B84"/>
    <w:rsid w:val="66C15CFF"/>
    <w:rsid w:val="66C26334"/>
    <w:rsid w:val="66C35C8B"/>
    <w:rsid w:val="66C36B60"/>
    <w:rsid w:val="66D02156"/>
    <w:rsid w:val="66D439F4"/>
    <w:rsid w:val="66D63C10"/>
    <w:rsid w:val="66D84190"/>
    <w:rsid w:val="66DA451A"/>
    <w:rsid w:val="66DE6B36"/>
    <w:rsid w:val="66DF449E"/>
    <w:rsid w:val="66E77BCB"/>
    <w:rsid w:val="66E83943"/>
    <w:rsid w:val="66ED5E4D"/>
    <w:rsid w:val="66F66D02"/>
    <w:rsid w:val="66F916AD"/>
    <w:rsid w:val="66F9345B"/>
    <w:rsid w:val="67053791"/>
    <w:rsid w:val="67191D4F"/>
    <w:rsid w:val="672C1599"/>
    <w:rsid w:val="672C55DE"/>
    <w:rsid w:val="672F1585"/>
    <w:rsid w:val="67386535"/>
    <w:rsid w:val="6739419F"/>
    <w:rsid w:val="673A6079"/>
    <w:rsid w:val="674566A0"/>
    <w:rsid w:val="6747066A"/>
    <w:rsid w:val="674F1921"/>
    <w:rsid w:val="67513297"/>
    <w:rsid w:val="67580AC9"/>
    <w:rsid w:val="67583CE2"/>
    <w:rsid w:val="675A398D"/>
    <w:rsid w:val="675A6747"/>
    <w:rsid w:val="675B27E4"/>
    <w:rsid w:val="6765389A"/>
    <w:rsid w:val="67672ABA"/>
    <w:rsid w:val="67705E13"/>
    <w:rsid w:val="67780823"/>
    <w:rsid w:val="677E1BB2"/>
    <w:rsid w:val="678216A2"/>
    <w:rsid w:val="678A67A9"/>
    <w:rsid w:val="67917B37"/>
    <w:rsid w:val="679338AF"/>
    <w:rsid w:val="67A36E11"/>
    <w:rsid w:val="67B00EF8"/>
    <w:rsid w:val="67B64D3E"/>
    <w:rsid w:val="67B74010"/>
    <w:rsid w:val="67C379C6"/>
    <w:rsid w:val="67CA4DF7"/>
    <w:rsid w:val="67D0240D"/>
    <w:rsid w:val="67D40D5C"/>
    <w:rsid w:val="67D46461"/>
    <w:rsid w:val="67D53EC8"/>
    <w:rsid w:val="67D77C40"/>
    <w:rsid w:val="67DF08A2"/>
    <w:rsid w:val="67EB660D"/>
    <w:rsid w:val="67EF2576"/>
    <w:rsid w:val="68014955"/>
    <w:rsid w:val="68044890"/>
    <w:rsid w:val="680B5B3B"/>
    <w:rsid w:val="680F6B7F"/>
    <w:rsid w:val="682153F2"/>
    <w:rsid w:val="68224C33"/>
    <w:rsid w:val="682409AB"/>
    <w:rsid w:val="68307A21"/>
    <w:rsid w:val="6832131A"/>
    <w:rsid w:val="68373D75"/>
    <w:rsid w:val="683C1C84"/>
    <w:rsid w:val="683D381B"/>
    <w:rsid w:val="6841330B"/>
    <w:rsid w:val="684C3FAD"/>
    <w:rsid w:val="684E4E1C"/>
    <w:rsid w:val="68540B79"/>
    <w:rsid w:val="68567082"/>
    <w:rsid w:val="68570C3E"/>
    <w:rsid w:val="685951CC"/>
    <w:rsid w:val="68605586"/>
    <w:rsid w:val="68634C04"/>
    <w:rsid w:val="686E7FD2"/>
    <w:rsid w:val="6878306F"/>
    <w:rsid w:val="687A05CB"/>
    <w:rsid w:val="687F5BE1"/>
    <w:rsid w:val="68890678"/>
    <w:rsid w:val="688A198A"/>
    <w:rsid w:val="688A78F4"/>
    <w:rsid w:val="68900153"/>
    <w:rsid w:val="68955C45"/>
    <w:rsid w:val="6897117D"/>
    <w:rsid w:val="689A4E58"/>
    <w:rsid w:val="68AB45D5"/>
    <w:rsid w:val="68B01AF4"/>
    <w:rsid w:val="68B910F3"/>
    <w:rsid w:val="68C24086"/>
    <w:rsid w:val="68C746F7"/>
    <w:rsid w:val="68DA34D0"/>
    <w:rsid w:val="68E24AEE"/>
    <w:rsid w:val="68E278A8"/>
    <w:rsid w:val="68EE5405"/>
    <w:rsid w:val="68FF70FA"/>
    <w:rsid w:val="69074555"/>
    <w:rsid w:val="690F6F65"/>
    <w:rsid w:val="69166546"/>
    <w:rsid w:val="69272501"/>
    <w:rsid w:val="692F7608"/>
    <w:rsid w:val="69366FBB"/>
    <w:rsid w:val="6938470E"/>
    <w:rsid w:val="694B3EB4"/>
    <w:rsid w:val="694F0E02"/>
    <w:rsid w:val="695138EE"/>
    <w:rsid w:val="6953779A"/>
    <w:rsid w:val="695F0180"/>
    <w:rsid w:val="696279DD"/>
    <w:rsid w:val="6965153C"/>
    <w:rsid w:val="696C008B"/>
    <w:rsid w:val="69821E2D"/>
    <w:rsid w:val="69825989"/>
    <w:rsid w:val="69851D54"/>
    <w:rsid w:val="698A0CE2"/>
    <w:rsid w:val="69951B60"/>
    <w:rsid w:val="699833FF"/>
    <w:rsid w:val="699B3AEE"/>
    <w:rsid w:val="699B4C9D"/>
    <w:rsid w:val="69A842DD"/>
    <w:rsid w:val="69B04CDF"/>
    <w:rsid w:val="69B31FE7"/>
    <w:rsid w:val="69B61AD7"/>
    <w:rsid w:val="69B813AB"/>
    <w:rsid w:val="69CD6251"/>
    <w:rsid w:val="69CE5072"/>
    <w:rsid w:val="69CE6E20"/>
    <w:rsid w:val="69D16911"/>
    <w:rsid w:val="69D65CD5"/>
    <w:rsid w:val="69F24831"/>
    <w:rsid w:val="69F70959"/>
    <w:rsid w:val="69F94604"/>
    <w:rsid w:val="69FD4998"/>
    <w:rsid w:val="6A0A691F"/>
    <w:rsid w:val="6A164324"/>
    <w:rsid w:val="6A170811"/>
    <w:rsid w:val="6A1717BC"/>
    <w:rsid w:val="6A2133F4"/>
    <w:rsid w:val="6A25335A"/>
    <w:rsid w:val="6A2E78BF"/>
    <w:rsid w:val="6A356EA0"/>
    <w:rsid w:val="6A3D3FA6"/>
    <w:rsid w:val="6A4470E3"/>
    <w:rsid w:val="6A4F3C09"/>
    <w:rsid w:val="6A5120AF"/>
    <w:rsid w:val="6A543FBE"/>
    <w:rsid w:val="6A5C61DA"/>
    <w:rsid w:val="6A5F5CCB"/>
    <w:rsid w:val="6A6C720F"/>
    <w:rsid w:val="6A707ED8"/>
    <w:rsid w:val="6A772EB6"/>
    <w:rsid w:val="6A7C1326"/>
    <w:rsid w:val="6A99742E"/>
    <w:rsid w:val="6AB53B3C"/>
    <w:rsid w:val="6ABB171C"/>
    <w:rsid w:val="6ABC136F"/>
    <w:rsid w:val="6AD466B8"/>
    <w:rsid w:val="6AD92249"/>
    <w:rsid w:val="6ADE7D03"/>
    <w:rsid w:val="6ADF6E0B"/>
    <w:rsid w:val="6AE01E1B"/>
    <w:rsid w:val="6AE508C6"/>
    <w:rsid w:val="6AE647C0"/>
    <w:rsid w:val="6AE76A24"/>
    <w:rsid w:val="6AF00404"/>
    <w:rsid w:val="6AF162E4"/>
    <w:rsid w:val="6AF91C7B"/>
    <w:rsid w:val="6AFD62AB"/>
    <w:rsid w:val="6AFE7291"/>
    <w:rsid w:val="6B016D82"/>
    <w:rsid w:val="6B054AC4"/>
    <w:rsid w:val="6B106BC9"/>
    <w:rsid w:val="6B182772"/>
    <w:rsid w:val="6B1A6C3F"/>
    <w:rsid w:val="6B236F9C"/>
    <w:rsid w:val="6B2B4A32"/>
    <w:rsid w:val="6B2F38EF"/>
    <w:rsid w:val="6B2F7D93"/>
    <w:rsid w:val="6B333BFB"/>
    <w:rsid w:val="6B3A063C"/>
    <w:rsid w:val="6B3C54B9"/>
    <w:rsid w:val="6B3D1F8D"/>
    <w:rsid w:val="6B3D6283"/>
    <w:rsid w:val="6B4078AA"/>
    <w:rsid w:val="6B453112"/>
    <w:rsid w:val="6B460C38"/>
    <w:rsid w:val="6B4624D1"/>
    <w:rsid w:val="6B596BBE"/>
    <w:rsid w:val="6B5C045C"/>
    <w:rsid w:val="6B5F1BB1"/>
    <w:rsid w:val="6B602797"/>
    <w:rsid w:val="6B625A72"/>
    <w:rsid w:val="6B650E43"/>
    <w:rsid w:val="6B765A94"/>
    <w:rsid w:val="6B804A78"/>
    <w:rsid w:val="6B8C6F93"/>
    <w:rsid w:val="6B9064A9"/>
    <w:rsid w:val="6B970CC9"/>
    <w:rsid w:val="6B9958BC"/>
    <w:rsid w:val="6BA128CF"/>
    <w:rsid w:val="6BA4610B"/>
    <w:rsid w:val="6BA77929"/>
    <w:rsid w:val="6BAC3EA4"/>
    <w:rsid w:val="6BAE55D6"/>
    <w:rsid w:val="6BB949CE"/>
    <w:rsid w:val="6BBB107A"/>
    <w:rsid w:val="6BBD1CC2"/>
    <w:rsid w:val="6BC00603"/>
    <w:rsid w:val="6BD7739F"/>
    <w:rsid w:val="6BD959FF"/>
    <w:rsid w:val="6BDA0E02"/>
    <w:rsid w:val="6BE57182"/>
    <w:rsid w:val="6BFA4506"/>
    <w:rsid w:val="6C0A329D"/>
    <w:rsid w:val="6C0C3C30"/>
    <w:rsid w:val="6C0E5BFA"/>
    <w:rsid w:val="6C186F7E"/>
    <w:rsid w:val="6C2F4DA2"/>
    <w:rsid w:val="6C303E73"/>
    <w:rsid w:val="6C4020BA"/>
    <w:rsid w:val="6C445178"/>
    <w:rsid w:val="6C465394"/>
    <w:rsid w:val="6C523217"/>
    <w:rsid w:val="6C705B0D"/>
    <w:rsid w:val="6C7E26F9"/>
    <w:rsid w:val="6C8430D7"/>
    <w:rsid w:val="6C847C6A"/>
    <w:rsid w:val="6C8859AD"/>
    <w:rsid w:val="6C97340A"/>
    <w:rsid w:val="6C9A748E"/>
    <w:rsid w:val="6CA8083F"/>
    <w:rsid w:val="6CA95137"/>
    <w:rsid w:val="6CA958D2"/>
    <w:rsid w:val="6CB56076"/>
    <w:rsid w:val="6CB81C58"/>
    <w:rsid w:val="6CC27773"/>
    <w:rsid w:val="6CC8224D"/>
    <w:rsid w:val="6CCC246D"/>
    <w:rsid w:val="6CCD1611"/>
    <w:rsid w:val="6CCF71A6"/>
    <w:rsid w:val="6CD12362"/>
    <w:rsid w:val="6CD61EDA"/>
    <w:rsid w:val="6CD9045D"/>
    <w:rsid w:val="6CDB1A5B"/>
    <w:rsid w:val="6CDE21A7"/>
    <w:rsid w:val="6CDF1C45"/>
    <w:rsid w:val="6CE54BAD"/>
    <w:rsid w:val="6CE87F8C"/>
    <w:rsid w:val="6CEB3744"/>
    <w:rsid w:val="6CF20998"/>
    <w:rsid w:val="6CFA1CDB"/>
    <w:rsid w:val="6D0112BB"/>
    <w:rsid w:val="6D0E1A7F"/>
    <w:rsid w:val="6D125E56"/>
    <w:rsid w:val="6D16193B"/>
    <w:rsid w:val="6D246105"/>
    <w:rsid w:val="6D26525A"/>
    <w:rsid w:val="6D2869AA"/>
    <w:rsid w:val="6D2D20B0"/>
    <w:rsid w:val="6D2E3433"/>
    <w:rsid w:val="6D360C66"/>
    <w:rsid w:val="6D3D6686"/>
    <w:rsid w:val="6D3E250F"/>
    <w:rsid w:val="6D3E28A1"/>
    <w:rsid w:val="6D4B142B"/>
    <w:rsid w:val="6D536D97"/>
    <w:rsid w:val="6D5E44CF"/>
    <w:rsid w:val="6D6802E3"/>
    <w:rsid w:val="6D6D0BCE"/>
    <w:rsid w:val="6D6F26C8"/>
    <w:rsid w:val="6D733810"/>
    <w:rsid w:val="6D746C5F"/>
    <w:rsid w:val="6D885538"/>
    <w:rsid w:val="6D8A3872"/>
    <w:rsid w:val="6D8E093D"/>
    <w:rsid w:val="6D8F68C7"/>
    <w:rsid w:val="6D9C15C5"/>
    <w:rsid w:val="6D9E6B0A"/>
    <w:rsid w:val="6DA46816"/>
    <w:rsid w:val="6DA77463"/>
    <w:rsid w:val="6DA93E2C"/>
    <w:rsid w:val="6DAA42C3"/>
    <w:rsid w:val="6DB17E62"/>
    <w:rsid w:val="6DB225B5"/>
    <w:rsid w:val="6DB56CBE"/>
    <w:rsid w:val="6DC36570"/>
    <w:rsid w:val="6DC9627D"/>
    <w:rsid w:val="6DCD73EF"/>
    <w:rsid w:val="6DD15131"/>
    <w:rsid w:val="6DD80D8D"/>
    <w:rsid w:val="6DDF784E"/>
    <w:rsid w:val="6DE1645F"/>
    <w:rsid w:val="6DE32C0E"/>
    <w:rsid w:val="6DE468FB"/>
    <w:rsid w:val="6DF1132F"/>
    <w:rsid w:val="6DF56252"/>
    <w:rsid w:val="6DFB23CF"/>
    <w:rsid w:val="6DFC4DE2"/>
    <w:rsid w:val="6DFD5F26"/>
    <w:rsid w:val="6E056BA7"/>
    <w:rsid w:val="6E0948CB"/>
    <w:rsid w:val="6E0F17B6"/>
    <w:rsid w:val="6E144E55"/>
    <w:rsid w:val="6E1C435E"/>
    <w:rsid w:val="6E2004FF"/>
    <w:rsid w:val="6E2C1BDC"/>
    <w:rsid w:val="6E3A4A8F"/>
    <w:rsid w:val="6E414065"/>
    <w:rsid w:val="6E49630A"/>
    <w:rsid w:val="6E510020"/>
    <w:rsid w:val="6E680EDE"/>
    <w:rsid w:val="6E6B2E90"/>
    <w:rsid w:val="6E6D6A35"/>
    <w:rsid w:val="6E6E2980"/>
    <w:rsid w:val="6E71421E"/>
    <w:rsid w:val="6E7241D7"/>
    <w:rsid w:val="6E751F61"/>
    <w:rsid w:val="6E7956AF"/>
    <w:rsid w:val="6E8126B3"/>
    <w:rsid w:val="6E8151DA"/>
    <w:rsid w:val="6E8B52E0"/>
    <w:rsid w:val="6E95617E"/>
    <w:rsid w:val="6E9A3190"/>
    <w:rsid w:val="6EA36ACE"/>
    <w:rsid w:val="6EB55F62"/>
    <w:rsid w:val="6EB72579"/>
    <w:rsid w:val="6EB81E4D"/>
    <w:rsid w:val="6EB901B3"/>
    <w:rsid w:val="6EBD0A7F"/>
    <w:rsid w:val="6EC57260"/>
    <w:rsid w:val="6ECD5223"/>
    <w:rsid w:val="6ECE183D"/>
    <w:rsid w:val="6ED0363B"/>
    <w:rsid w:val="6ED053E9"/>
    <w:rsid w:val="6EE524A3"/>
    <w:rsid w:val="6EEB5F6B"/>
    <w:rsid w:val="6EF24BD6"/>
    <w:rsid w:val="6F0C33FE"/>
    <w:rsid w:val="6F0F3F2B"/>
    <w:rsid w:val="6F1057E5"/>
    <w:rsid w:val="6F125A01"/>
    <w:rsid w:val="6F194DD5"/>
    <w:rsid w:val="6F1B2B08"/>
    <w:rsid w:val="6F1D78C7"/>
    <w:rsid w:val="6F235519"/>
    <w:rsid w:val="6F241291"/>
    <w:rsid w:val="6F2D6397"/>
    <w:rsid w:val="6F2E19DE"/>
    <w:rsid w:val="6F305319"/>
    <w:rsid w:val="6F40256E"/>
    <w:rsid w:val="6F4C3ED8"/>
    <w:rsid w:val="6F516715"/>
    <w:rsid w:val="6F520DF0"/>
    <w:rsid w:val="6F5E1AE9"/>
    <w:rsid w:val="6F72750E"/>
    <w:rsid w:val="6F771D08"/>
    <w:rsid w:val="6F793783"/>
    <w:rsid w:val="6F7C5B41"/>
    <w:rsid w:val="6F7C5CF6"/>
    <w:rsid w:val="6F8A1A3C"/>
    <w:rsid w:val="6F96218E"/>
    <w:rsid w:val="6FA11732"/>
    <w:rsid w:val="6FA712FE"/>
    <w:rsid w:val="6FA7439C"/>
    <w:rsid w:val="6FA80114"/>
    <w:rsid w:val="6FA846E1"/>
    <w:rsid w:val="6FAD1EDF"/>
    <w:rsid w:val="6FBF41C2"/>
    <w:rsid w:val="6FCD090C"/>
    <w:rsid w:val="6FD976B0"/>
    <w:rsid w:val="6FE56C72"/>
    <w:rsid w:val="6FEB7D36"/>
    <w:rsid w:val="6FED3D79"/>
    <w:rsid w:val="6FED5B27"/>
    <w:rsid w:val="6FF823FD"/>
    <w:rsid w:val="6FFF24F7"/>
    <w:rsid w:val="700215D2"/>
    <w:rsid w:val="700567B0"/>
    <w:rsid w:val="70090BB2"/>
    <w:rsid w:val="70091E8E"/>
    <w:rsid w:val="70092234"/>
    <w:rsid w:val="70114A8F"/>
    <w:rsid w:val="701A0E55"/>
    <w:rsid w:val="701C6F91"/>
    <w:rsid w:val="70313C65"/>
    <w:rsid w:val="703802C8"/>
    <w:rsid w:val="70390CB5"/>
    <w:rsid w:val="704132D9"/>
    <w:rsid w:val="704867A2"/>
    <w:rsid w:val="704C0A9F"/>
    <w:rsid w:val="70522F16"/>
    <w:rsid w:val="7053424F"/>
    <w:rsid w:val="705A531C"/>
    <w:rsid w:val="70616401"/>
    <w:rsid w:val="706933FF"/>
    <w:rsid w:val="70694748"/>
    <w:rsid w:val="70735D0A"/>
    <w:rsid w:val="70741DA4"/>
    <w:rsid w:val="70941078"/>
    <w:rsid w:val="70944560"/>
    <w:rsid w:val="70974410"/>
    <w:rsid w:val="709E1BD1"/>
    <w:rsid w:val="709E5464"/>
    <w:rsid w:val="70A61026"/>
    <w:rsid w:val="70A64653"/>
    <w:rsid w:val="70B3043E"/>
    <w:rsid w:val="70B76860"/>
    <w:rsid w:val="70BC2AAC"/>
    <w:rsid w:val="70BC5C25"/>
    <w:rsid w:val="70BE2E5C"/>
    <w:rsid w:val="70BE3C8A"/>
    <w:rsid w:val="70CD748F"/>
    <w:rsid w:val="70D77415"/>
    <w:rsid w:val="70D86148"/>
    <w:rsid w:val="70D867D7"/>
    <w:rsid w:val="70E14278"/>
    <w:rsid w:val="70F353BF"/>
    <w:rsid w:val="70F52EE5"/>
    <w:rsid w:val="710479A6"/>
    <w:rsid w:val="71053F3B"/>
    <w:rsid w:val="710812D5"/>
    <w:rsid w:val="710D5340"/>
    <w:rsid w:val="71136A83"/>
    <w:rsid w:val="7113780F"/>
    <w:rsid w:val="71265794"/>
    <w:rsid w:val="71266FB1"/>
    <w:rsid w:val="71301831"/>
    <w:rsid w:val="71305C83"/>
    <w:rsid w:val="713060AF"/>
    <w:rsid w:val="71357785"/>
    <w:rsid w:val="714B22D6"/>
    <w:rsid w:val="714D0F73"/>
    <w:rsid w:val="714E7574"/>
    <w:rsid w:val="71500A63"/>
    <w:rsid w:val="715417B2"/>
    <w:rsid w:val="715A62AC"/>
    <w:rsid w:val="715E4F2E"/>
    <w:rsid w:val="715F2A54"/>
    <w:rsid w:val="71600CA6"/>
    <w:rsid w:val="71665B90"/>
    <w:rsid w:val="716963F3"/>
    <w:rsid w:val="716B1D9A"/>
    <w:rsid w:val="71716B68"/>
    <w:rsid w:val="717958C4"/>
    <w:rsid w:val="717A69A0"/>
    <w:rsid w:val="718C473E"/>
    <w:rsid w:val="718F3339"/>
    <w:rsid w:val="71956476"/>
    <w:rsid w:val="71AA65CD"/>
    <w:rsid w:val="71CB12E6"/>
    <w:rsid w:val="71CF7614"/>
    <w:rsid w:val="71D05719"/>
    <w:rsid w:val="71D260B4"/>
    <w:rsid w:val="71D50007"/>
    <w:rsid w:val="71F073CF"/>
    <w:rsid w:val="71F75F25"/>
    <w:rsid w:val="71F87130"/>
    <w:rsid w:val="72036975"/>
    <w:rsid w:val="72087D6D"/>
    <w:rsid w:val="720F00E5"/>
    <w:rsid w:val="72110953"/>
    <w:rsid w:val="72111FA0"/>
    <w:rsid w:val="721E6358"/>
    <w:rsid w:val="722021E3"/>
    <w:rsid w:val="72255A4C"/>
    <w:rsid w:val="7233543C"/>
    <w:rsid w:val="72435ED2"/>
    <w:rsid w:val="724B4260"/>
    <w:rsid w:val="724C14C1"/>
    <w:rsid w:val="724E1389"/>
    <w:rsid w:val="724F2AC9"/>
    <w:rsid w:val="72536115"/>
    <w:rsid w:val="72615D03"/>
    <w:rsid w:val="72677E12"/>
    <w:rsid w:val="727067FE"/>
    <w:rsid w:val="7278201F"/>
    <w:rsid w:val="727F0905"/>
    <w:rsid w:val="727F0ABA"/>
    <w:rsid w:val="72816D82"/>
    <w:rsid w:val="728704BD"/>
    <w:rsid w:val="729329B5"/>
    <w:rsid w:val="72955527"/>
    <w:rsid w:val="729B1591"/>
    <w:rsid w:val="72AC3A77"/>
    <w:rsid w:val="72B926C4"/>
    <w:rsid w:val="72BE0E96"/>
    <w:rsid w:val="72C61B6B"/>
    <w:rsid w:val="72C963D7"/>
    <w:rsid w:val="72DC1889"/>
    <w:rsid w:val="72E94CCB"/>
    <w:rsid w:val="72ED5B8D"/>
    <w:rsid w:val="72EE22E1"/>
    <w:rsid w:val="72F42E4A"/>
    <w:rsid w:val="72F71196"/>
    <w:rsid w:val="73032C54"/>
    <w:rsid w:val="730B4899"/>
    <w:rsid w:val="73146ED7"/>
    <w:rsid w:val="731955B0"/>
    <w:rsid w:val="731A30D6"/>
    <w:rsid w:val="731D4975"/>
    <w:rsid w:val="731E2CB7"/>
    <w:rsid w:val="73291D2D"/>
    <w:rsid w:val="732A158F"/>
    <w:rsid w:val="732B207F"/>
    <w:rsid w:val="732B52E4"/>
    <w:rsid w:val="732E0930"/>
    <w:rsid w:val="733028FA"/>
    <w:rsid w:val="73306456"/>
    <w:rsid w:val="73364A9B"/>
    <w:rsid w:val="733C6B59"/>
    <w:rsid w:val="733D0DD5"/>
    <w:rsid w:val="734F0FD2"/>
    <w:rsid w:val="73594350"/>
    <w:rsid w:val="73685BF0"/>
    <w:rsid w:val="736A2223"/>
    <w:rsid w:val="736F330A"/>
    <w:rsid w:val="737554EE"/>
    <w:rsid w:val="737B6715"/>
    <w:rsid w:val="7381348A"/>
    <w:rsid w:val="73823458"/>
    <w:rsid w:val="738524FE"/>
    <w:rsid w:val="73944C37"/>
    <w:rsid w:val="7399224D"/>
    <w:rsid w:val="73A10265"/>
    <w:rsid w:val="73A1041B"/>
    <w:rsid w:val="73A735A8"/>
    <w:rsid w:val="73A77540"/>
    <w:rsid w:val="73B928EF"/>
    <w:rsid w:val="73BD5AAB"/>
    <w:rsid w:val="73C117A4"/>
    <w:rsid w:val="73C646B0"/>
    <w:rsid w:val="73D54CB5"/>
    <w:rsid w:val="73DC213A"/>
    <w:rsid w:val="73E15955"/>
    <w:rsid w:val="73EB241B"/>
    <w:rsid w:val="73EB53F9"/>
    <w:rsid w:val="73F34FAD"/>
    <w:rsid w:val="73F82A9F"/>
    <w:rsid w:val="74014883"/>
    <w:rsid w:val="74087ED7"/>
    <w:rsid w:val="74244545"/>
    <w:rsid w:val="7426442E"/>
    <w:rsid w:val="742A7349"/>
    <w:rsid w:val="74385A05"/>
    <w:rsid w:val="7439758C"/>
    <w:rsid w:val="743E190E"/>
    <w:rsid w:val="74546174"/>
    <w:rsid w:val="74567D0F"/>
    <w:rsid w:val="748800DE"/>
    <w:rsid w:val="748A603A"/>
    <w:rsid w:val="748B36C3"/>
    <w:rsid w:val="749649DF"/>
    <w:rsid w:val="7499627D"/>
    <w:rsid w:val="749E1052"/>
    <w:rsid w:val="749E593E"/>
    <w:rsid w:val="749E7F14"/>
    <w:rsid w:val="74A302A1"/>
    <w:rsid w:val="74AA048A"/>
    <w:rsid w:val="74AF129E"/>
    <w:rsid w:val="74B6388F"/>
    <w:rsid w:val="74B775BA"/>
    <w:rsid w:val="74C46218"/>
    <w:rsid w:val="74CE5FAB"/>
    <w:rsid w:val="74D82379"/>
    <w:rsid w:val="74D84FF7"/>
    <w:rsid w:val="74D925D0"/>
    <w:rsid w:val="74DB6895"/>
    <w:rsid w:val="74E219D2"/>
    <w:rsid w:val="74E523A8"/>
    <w:rsid w:val="74EA1591"/>
    <w:rsid w:val="74ED041F"/>
    <w:rsid w:val="74F57957"/>
    <w:rsid w:val="74F71921"/>
    <w:rsid w:val="74FA6BFF"/>
    <w:rsid w:val="74FF4332"/>
    <w:rsid w:val="75013215"/>
    <w:rsid w:val="750452DF"/>
    <w:rsid w:val="75092519"/>
    <w:rsid w:val="75196F57"/>
    <w:rsid w:val="752B15CB"/>
    <w:rsid w:val="752C17D6"/>
    <w:rsid w:val="752C20E3"/>
    <w:rsid w:val="753366D1"/>
    <w:rsid w:val="75372AF0"/>
    <w:rsid w:val="753B60E9"/>
    <w:rsid w:val="7542408D"/>
    <w:rsid w:val="754B42F4"/>
    <w:rsid w:val="754C32EF"/>
    <w:rsid w:val="754C4B2C"/>
    <w:rsid w:val="755C32D8"/>
    <w:rsid w:val="756A2F68"/>
    <w:rsid w:val="756E4CD4"/>
    <w:rsid w:val="75717B71"/>
    <w:rsid w:val="757F1917"/>
    <w:rsid w:val="757F4438"/>
    <w:rsid w:val="75865E75"/>
    <w:rsid w:val="75882579"/>
    <w:rsid w:val="758F7557"/>
    <w:rsid w:val="75A515CF"/>
    <w:rsid w:val="75AA6994"/>
    <w:rsid w:val="75AE0075"/>
    <w:rsid w:val="75B443BF"/>
    <w:rsid w:val="75B55338"/>
    <w:rsid w:val="75B80A9A"/>
    <w:rsid w:val="75BA2A64"/>
    <w:rsid w:val="75BA734C"/>
    <w:rsid w:val="75C551A2"/>
    <w:rsid w:val="75DF0A95"/>
    <w:rsid w:val="75F25C45"/>
    <w:rsid w:val="75F56923"/>
    <w:rsid w:val="75F95225"/>
    <w:rsid w:val="760E69A3"/>
    <w:rsid w:val="7610431D"/>
    <w:rsid w:val="761107C1"/>
    <w:rsid w:val="761B163F"/>
    <w:rsid w:val="761E4C8C"/>
    <w:rsid w:val="76222305"/>
    <w:rsid w:val="762322A2"/>
    <w:rsid w:val="762F7393"/>
    <w:rsid w:val="763A6819"/>
    <w:rsid w:val="763D406E"/>
    <w:rsid w:val="763D7808"/>
    <w:rsid w:val="7640637E"/>
    <w:rsid w:val="76450D7C"/>
    <w:rsid w:val="764C7A4B"/>
    <w:rsid w:val="76515061"/>
    <w:rsid w:val="76562678"/>
    <w:rsid w:val="765823C0"/>
    <w:rsid w:val="765E777E"/>
    <w:rsid w:val="76610CFB"/>
    <w:rsid w:val="766B7857"/>
    <w:rsid w:val="766E7745"/>
    <w:rsid w:val="767073EA"/>
    <w:rsid w:val="76740D50"/>
    <w:rsid w:val="7675342F"/>
    <w:rsid w:val="76763EDD"/>
    <w:rsid w:val="76783389"/>
    <w:rsid w:val="768046CE"/>
    <w:rsid w:val="768519CC"/>
    <w:rsid w:val="76866AB1"/>
    <w:rsid w:val="768E1E11"/>
    <w:rsid w:val="769255CE"/>
    <w:rsid w:val="76A35191"/>
    <w:rsid w:val="76A67B6D"/>
    <w:rsid w:val="76A74C81"/>
    <w:rsid w:val="76AA29C3"/>
    <w:rsid w:val="76AB3EDD"/>
    <w:rsid w:val="76B56870"/>
    <w:rsid w:val="76BF021D"/>
    <w:rsid w:val="76C415FC"/>
    <w:rsid w:val="76C70E7F"/>
    <w:rsid w:val="76D01188"/>
    <w:rsid w:val="76D67314"/>
    <w:rsid w:val="76E16BED"/>
    <w:rsid w:val="76E8442E"/>
    <w:rsid w:val="76EE0B02"/>
    <w:rsid w:val="76F868AE"/>
    <w:rsid w:val="76FD0640"/>
    <w:rsid w:val="77030187"/>
    <w:rsid w:val="770925CB"/>
    <w:rsid w:val="770B219A"/>
    <w:rsid w:val="770C0F88"/>
    <w:rsid w:val="771769F1"/>
    <w:rsid w:val="77176BA7"/>
    <w:rsid w:val="771779CE"/>
    <w:rsid w:val="77183DD1"/>
    <w:rsid w:val="771A42A0"/>
    <w:rsid w:val="771C29C5"/>
    <w:rsid w:val="772A2051"/>
    <w:rsid w:val="773242E2"/>
    <w:rsid w:val="77370EEF"/>
    <w:rsid w:val="773A3D47"/>
    <w:rsid w:val="773F008C"/>
    <w:rsid w:val="77541536"/>
    <w:rsid w:val="77580157"/>
    <w:rsid w:val="775A447B"/>
    <w:rsid w:val="776110C8"/>
    <w:rsid w:val="776112D4"/>
    <w:rsid w:val="77617D97"/>
    <w:rsid w:val="776456E1"/>
    <w:rsid w:val="7765545D"/>
    <w:rsid w:val="77695FAA"/>
    <w:rsid w:val="776D40C1"/>
    <w:rsid w:val="776E6C5C"/>
    <w:rsid w:val="777D4684"/>
    <w:rsid w:val="777F364F"/>
    <w:rsid w:val="77836DB5"/>
    <w:rsid w:val="778A20E5"/>
    <w:rsid w:val="77933457"/>
    <w:rsid w:val="779416A9"/>
    <w:rsid w:val="77BA4E88"/>
    <w:rsid w:val="77BC475C"/>
    <w:rsid w:val="77C21E68"/>
    <w:rsid w:val="77CA50CB"/>
    <w:rsid w:val="77D311C4"/>
    <w:rsid w:val="77D960C0"/>
    <w:rsid w:val="77DC5630"/>
    <w:rsid w:val="77DC7346"/>
    <w:rsid w:val="77E178DA"/>
    <w:rsid w:val="77EE131F"/>
    <w:rsid w:val="77F626F4"/>
    <w:rsid w:val="77FA107B"/>
    <w:rsid w:val="78021E42"/>
    <w:rsid w:val="780221AD"/>
    <w:rsid w:val="78030083"/>
    <w:rsid w:val="780A196C"/>
    <w:rsid w:val="78191561"/>
    <w:rsid w:val="781F6A91"/>
    <w:rsid w:val="78210A63"/>
    <w:rsid w:val="782B3690"/>
    <w:rsid w:val="782F3180"/>
    <w:rsid w:val="78322C70"/>
    <w:rsid w:val="783A38D3"/>
    <w:rsid w:val="783C2F16"/>
    <w:rsid w:val="784B788E"/>
    <w:rsid w:val="78511348"/>
    <w:rsid w:val="78520C1D"/>
    <w:rsid w:val="785838BF"/>
    <w:rsid w:val="7860337E"/>
    <w:rsid w:val="78683618"/>
    <w:rsid w:val="786A3915"/>
    <w:rsid w:val="786D2338"/>
    <w:rsid w:val="787A08FC"/>
    <w:rsid w:val="787A3DD8"/>
    <w:rsid w:val="78813A88"/>
    <w:rsid w:val="7883171E"/>
    <w:rsid w:val="78852DA0"/>
    <w:rsid w:val="78866B18"/>
    <w:rsid w:val="78915BE9"/>
    <w:rsid w:val="78921F38"/>
    <w:rsid w:val="78931961"/>
    <w:rsid w:val="789A15D4"/>
    <w:rsid w:val="78A25081"/>
    <w:rsid w:val="78B30A59"/>
    <w:rsid w:val="78BA7011"/>
    <w:rsid w:val="78BD69DE"/>
    <w:rsid w:val="78DE5537"/>
    <w:rsid w:val="78E0091E"/>
    <w:rsid w:val="78E73A5B"/>
    <w:rsid w:val="78EC1071"/>
    <w:rsid w:val="78F426B9"/>
    <w:rsid w:val="78F91E30"/>
    <w:rsid w:val="78FA7669"/>
    <w:rsid w:val="78FE7A14"/>
    <w:rsid w:val="79043B84"/>
    <w:rsid w:val="7904460D"/>
    <w:rsid w:val="79053EE1"/>
    <w:rsid w:val="790751C5"/>
    <w:rsid w:val="790939D1"/>
    <w:rsid w:val="790B6163"/>
    <w:rsid w:val="79183C14"/>
    <w:rsid w:val="791F0CC9"/>
    <w:rsid w:val="791F1447"/>
    <w:rsid w:val="7923254F"/>
    <w:rsid w:val="792A22DF"/>
    <w:rsid w:val="792D7A1C"/>
    <w:rsid w:val="792E168A"/>
    <w:rsid w:val="792E3438"/>
    <w:rsid w:val="7938461D"/>
    <w:rsid w:val="793D367B"/>
    <w:rsid w:val="79425135"/>
    <w:rsid w:val="79464C25"/>
    <w:rsid w:val="794979A7"/>
    <w:rsid w:val="795135CA"/>
    <w:rsid w:val="795D3040"/>
    <w:rsid w:val="795D3561"/>
    <w:rsid w:val="795D3D1D"/>
    <w:rsid w:val="796055D9"/>
    <w:rsid w:val="797057FE"/>
    <w:rsid w:val="79841C0E"/>
    <w:rsid w:val="798B6ADC"/>
    <w:rsid w:val="79951709"/>
    <w:rsid w:val="79954710"/>
    <w:rsid w:val="79986B03"/>
    <w:rsid w:val="7999345B"/>
    <w:rsid w:val="79A90D10"/>
    <w:rsid w:val="79AB2CDA"/>
    <w:rsid w:val="79AC25AE"/>
    <w:rsid w:val="79AD1C9E"/>
    <w:rsid w:val="79B543FD"/>
    <w:rsid w:val="79CE2378"/>
    <w:rsid w:val="79CE6167"/>
    <w:rsid w:val="79CF1C65"/>
    <w:rsid w:val="79DD144C"/>
    <w:rsid w:val="79E007A3"/>
    <w:rsid w:val="79E26573"/>
    <w:rsid w:val="79EE2BC7"/>
    <w:rsid w:val="79F857F4"/>
    <w:rsid w:val="79FA156C"/>
    <w:rsid w:val="79FB18D8"/>
    <w:rsid w:val="79FB375A"/>
    <w:rsid w:val="79FB778C"/>
    <w:rsid w:val="7A046449"/>
    <w:rsid w:val="7A0860A5"/>
    <w:rsid w:val="7A142AEF"/>
    <w:rsid w:val="7A1E525A"/>
    <w:rsid w:val="7A214D4A"/>
    <w:rsid w:val="7A2911F7"/>
    <w:rsid w:val="7A377F7A"/>
    <w:rsid w:val="7A4A4AD9"/>
    <w:rsid w:val="7A56118E"/>
    <w:rsid w:val="7A5B7925"/>
    <w:rsid w:val="7A62237E"/>
    <w:rsid w:val="7A6335B5"/>
    <w:rsid w:val="7A6A622C"/>
    <w:rsid w:val="7A6D1D3E"/>
    <w:rsid w:val="7A735F93"/>
    <w:rsid w:val="7A745707"/>
    <w:rsid w:val="7A747E8D"/>
    <w:rsid w:val="7A796935"/>
    <w:rsid w:val="7A7E3F4B"/>
    <w:rsid w:val="7A827259"/>
    <w:rsid w:val="7A8B6668"/>
    <w:rsid w:val="7A8F5615"/>
    <w:rsid w:val="7A911A31"/>
    <w:rsid w:val="7A950461"/>
    <w:rsid w:val="7A996FD7"/>
    <w:rsid w:val="7A9A44E4"/>
    <w:rsid w:val="7A9F0781"/>
    <w:rsid w:val="7AB15C57"/>
    <w:rsid w:val="7AB45BBF"/>
    <w:rsid w:val="7AC56533"/>
    <w:rsid w:val="7ACB4DE0"/>
    <w:rsid w:val="7ACC2F08"/>
    <w:rsid w:val="7AD95625"/>
    <w:rsid w:val="7AE3268E"/>
    <w:rsid w:val="7AE91D0C"/>
    <w:rsid w:val="7AF1296F"/>
    <w:rsid w:val="7B032A3A"/>
    <w:rsid w:val="7B0408F4"/>
    <w:rsid w:val="7B073F40"/>
    <w:rsid w:val="7B085777"/>
    <w:rsid w:val="7B0C77A9"/>
    <w:rsid w:val="7B136D89"/>
    <w:rsid w:val="7B166879"/>
    <w:rsid w:val="7B203254"/>
    <w:rsid w:val="7B2A40D3"/>
    <w:rsid w:val="7B30793B"/>
    <w:rsid w:val="7B334D35"/>
    <w:rsid w:val="7B3938A7"/>
    <w:rsid w:val="7B4B578D"/>
    <w:rsid w:val="7B4F2DBF"/>
    <w:rsid w:val="7B503B39"/>
    <w:rsid w:val="7B51340D"/>
    <w:rsid w:val="7B551150"/>
    <w:rsid w:val="7B590636"/>
    <w:rsid w:val="7B5B75A6"/>
    <w:rsid w:val="7B5C2BD2"/>
    <w:rsid w:val="7B5C599F"/>
    <w:rsid w:val="7B693AF0"/>
    <w:rsid w:val="7B6C0247"/>
    <w:rsid w:val="7B726CF0"/>
    <w:rsid w:val="7B7470FC"/>
    <w:rsid w:val="7B784E3E"/>
    <w:rsid w:val="7B8053BB"/>
    <w:rsid w:val="7B8812E4"/>
    <w:rsid w:val="7B9003DA"/>
    <w:rsid w:val="7B9854E0"/>
    <w:rsid w:val="7B9D2AF7"/>
    <w:rsid w:val="7BAF3D01"/>
    <w:rsid w:val="7BB309E9"/>
    <w:rsid w:val="7BB56EDB"/>
    <w:rsid w:val="7BBC11CF"/>
    <w:rsid w:val="7BBE20CA"/>
    <w:rsid w:val="7BC13C07"/>
    <w:rsid w:val="7BC41E31"/>
    <w:rsid w:val="7BC54E96"/>
    <w:rsid w:val="7BD32074"/>
    <w:rsid w:val="7BDB2574"/>
    <w:rsid w:val="7BE2417C"/>
    <w:rsid w:val="7C0138B8"/>
    <w:rsid w:val="7C02295A"/>
    <w:rsid w:val="7C156B31"/>
    <w:rsid w:val="7C1A7CA3"/>
    <w:rsid w:val="7C23124E"/>
    <w:rsid w:val="7C267368"/>
    <w:rsid w:val="7C290372"/>
    <w:rsid w:val="7C2B0102"/>
    <w:rsid w:val="7C3C7D33"/>
    <w:rsid w:val="7C3E7E36"/>
    <w:rsid w:val="7C3F2229"/>
    <w:rsid w:val="7C431B83"/>
    <w:rsid w:val="7C4E0BFB"/>
    <w:rsid w:val="7C63789C"/>
    <w:rsid w:val="7C66247F"/>
    <w:rsid w:val="7C6C2B2C"/>
    <w:rsid w:val="7C7B5A7C"/>
    <w:rsid w:val="7C812849"/>
    <w:rsid w:val="7C865FF3"/>
    <w:rsid w:val="7C887453"/>
    <w:rsid w:val="7C8B0BA1"/>
    <w:rsid w:val="7C9A7858"/>
    <w:rsid w:val="7C9C40F9"/>
    <w:rsid w:val="7C9E21A9"/>
    <w:rsid w:val="7CA13F21"/>
    <w:rsid w:val="7CAF663E"/>
    <w:rsid w:val="7CB4634A"/>
    <w:rsid w:val="7CBB76D8"/>
    <w:rsid w:val="7CC540B3"/>
    <w:rsid w:val="7CC84A54"/>
    <w:rsid w:val="7CD460A4"/>
    <w:rsid w:val="7CE21E58"/>
    <w:rsid w:val="7CE3371D"/>
    <w:rsid w:val="7CE359F9"/>
    <w:rsid w:val="7CE65DD7"/>
    <w:rsid w:val="7CE66386"/>
    <w:rsid w:val="7CF17122"/>
    <w:rsid w:val="7CF3470C"/>
    <w:rsid w:val="7CFB7AD5"/>
    <w:rsid w:val="7CFD4F05"/>
    <w:rsid w:val="7CFD65A0"/>
    <w:rsid w:val="7D0B22F8"/>
    <w:rsid w:val="7D0E2B49"/>
    <w:rsid w:val="7D2749BA"/>
    <w:rsid w:val="7D35566D"/>
    <w:rsid w:val="7D402AE3"/>
    <w:rsid w:val="7D4476CE"/>
    <w:rsid w:val="7D474AC8"/>
    <w:rsid w:val="7D4A21B7"/>
    <w:rsid w:val="7D4C0330"/>
    <w:rsid w:val="7D533633"/>
    <w:rsid w:val="7D553A49"/>
    <w:rsid w:val="7D5764EE"/>
    <w:rsid w:val="7D6A7C65"/>
    <w:rsid w:val="7D6E02A7"/>
    <w:rsid w:val="7D733B0F"/>
    <w:rsid w:val="7D7653AD"/>
    <w:rsid w:val="7D7704CB"/>
    <w:rsid w:val="7D7B0C16"/>
    <w:rsid w:val="7D821FA4"/>
    <w:rsid w:val="7D8436EA"/>
    <w:rsid w:val="7D8E6B9B"/>
    <w:rsid w:val="7D935F5F"/>
    <w:rsid w:val="7D9F20AA"/>
    <w:rsid w:val="7D9F4904"/>
    <w:rsid w:val="7DA97531"/>
    <w:rsid w:val="7DB15EF0"/>
    <w:rsid w:val="7DC0526F"/>
    <w:rsid w:val="7DC26768"/>
    <w:rsid w:val="7DC832D7"/>
    <w:rsid w:val="7DD1161D"/>
    <w:rsid w:val="7DD22539"/>
    <w:rsid w:val="7DD6584C"/>
    <w:rsid w:val="7DDB18E2"/>
    <w:rsid w:val="7DDD367E"/>
    <w:rsid w:val="7DF033B2"/>
    <w:rsid w:val="7DFA7D8C"/>
    <w:rsid w:val="7DFD162B"/>
    <w:rsid w:val="7DFF1847"/>
    <w:rsid w:val="7E002EC9"/>
    <w:rsid w:val="7E06489D"/>
    <w:rsid w:val="7E0D5EFC"/>
    <w:rsid w:val="7E1370A0"/>
    <w:rsid w:val="7E156974"/>
    <w:rsid w:val="7E21356B"/>
    <w:rsid w:val="7E2533A9"/>
    <w:rsid w:val="7E2D0162"/>
    <w:rsid w:val="7E3C2153"/>
    <w:rsid w:val="7E411E5F"/>
    <w:rsid w:val="7E417769"/>
    <w:rsid w:val="7E434750"/>
    <w:rsid w:val="7E474C98"/>
    <w:rsid w:val="7E4B4A8C"/>
    <w:rsid w:val="7E4E5ABF"/>
    <w:rsid w:val="7E4F507E"/>
    <w:rsid w:val="7E5216EA"/>
    <w:rsid w:val="7E54544D"/>
    <w:rsid w:val="7E553215"/>
    <w:rsid w:val="7E5751DF"/>
    <w:rsid w:val="7E6478FC"/>
    <w:rsid w:val="7E696CC0"/>
    <w:rsid w:val="7E6D661C"/>
    <w:rsid w:val="7E6E074D"/>
    <w:rsid w:val="7E6E2FBA"/>
    <w:rsid w:val="7E837D82"/>
    <w:rsid w:val="7E843AFA"/>
    <w:rsid w:val="7E885398"/>
    <w:rsid w:val="7E8A512D"/>
    <w:rsid w:val="7E8D29AE"/>
    <w:rsid w:val="7E955D07"/>
    <w:rsid w:val="7E9806B7"/>
    <w:rsid w:val="7E990FEF"/>
    <w:rsid w:val="7EA128FE"/>
    <w:rsid w:val="7EB2444F"/>
    <w:rsid w:val="7EB34790"/>
    <w:rsid w:val="7EB677F7"/>
    <w:rsid w:val="7EB75C7D"/>
    <w:rsid w:val="7EB86566"/>
    <w:rsid w:val="7EC02D84"/>
    <w:rsid w:val="7EC5039A"/>
    <w:rsid w:val="7EC576BA"/>
    <w:rsid w:val="7ED14F91"/>
    <w:rsid w:val="7ED52CBB"/>
    <w:rsid w:val="7ED56104"/>
    <w:rsid w:val="7EE34CC4"/>
    <w:rsid w:val="7EF70770"/>
    <w:rsid w:val="7EFC6D2C"/>
    <w:rsid w:val="7EFE7E88"/>
    <w:rsid w:val="7F037115"/>
    <w:rsid w:val="7F06083F"/>
    <w:rsid w:val="7F0B5FDD"/>
    <w:rsid w:val="7F0C1437"/>
    <w:rsid w:val="7F1629A4"/>
    <w:rsid w:val="7F17496E"/>
    <w:rsid w:val="7F1B7FBA"/>
    <w:rsid w:val="7F1C0307"/>
    <w:rsid w:val="7F1D1681"/>
    <w:rsid w:val="7F1F3CE0"/>
    <w:rsid w:val="7F2344A4"/>
    <w:rsid w:val="7F2350C1"/>
    <w:rsid w:val="7F2B674C"/>
    <w:rsid w:val="7F345520"/>
    <w:rsid w:val="7F361298"/>
    <w:rsid w:val="7F402117"/>
    <w:rsid w:val="7F6556D9"/>
    <w:rsid w:val="7F8359B3"/>
    <w:rsid w:val="7F8C2C66"/>
    <w:rsid w:val="7F945FBF"/>
    <w:rsid w:val="7F981A45"/>
    <w:rsid w:val="7FAA57E2"/>
    <w:rsid w:val="7FAE1614"/>
    <w:rsid w:val="7FB759EB"/>
    <w:rsid w:val="7FC411AE"/>
    <w:rsid w:val="7FC73618"/>
    <w:rsid w:val="7FCB7C32"/>
    <w:rsid w:val="7FD50AB1"/>
    <w:rsid w:val="7FD81C48"/>
    <w:rsid w:val="7FD92360"/>
    <w:rsid w:val="7FFB60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50" w:beforeLines="50" w:after="50" w:afterLines="50" w:line="360" w:lineRule="auto"/>
      <w:jc w:val="center"/>
      <w:outlineLvl w:val="0"/>
    </w:pPr>
    <w:rPr>
      <w:b/>
      <w:bCs/>
      <w:kern w:val="44"/>
      <w:sz w:val="30"/>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qFormat/>
    <w:uiPriority w:val="0"/>
    <w:pPr>
      <w:keepNext/>
      <w:keepLines/>
      <w:spacing w:before="260" w:after="260" w:line="413" w:lineRule="auto"/>
      <w:outlineLvl w:val="2"/>
    </w:pPr>
    <w:rPr>
      <w:b/>
      <w:bCs/>
      <w:sz w:val="32"/>
      <w:szCs w:val="32"/>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27">
    <w:name w:val="Default Paragraph Font"/>
    <w:semiHidden/>
    <w:qFormat/>
    <w:uiPriority w:val="0"/>
  </w:style>
  <w:style w:type="table" w:default="1" w:styleId="25">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next w:val="7"/>
    <w:qFormat/>
    <w:uiPriority w:val="0"/>
    <w:pPr>
      <w:ind w:firstLine="200" w:firstLineChars="200"/>
    </w:pPr>
    <w:rPr>
      <w:sz w:val="28"/>
      <w:szCs w:val="20"/>
    </w:rPr>
  </w:style>
  <w:style w:type="paragraph" w:customStyle="1" w:styleId="7">
    <w:name w:val="Default"/>
    <w:basedOn w:val="8"/>
    <w:autoRedefine/>
    <w:qFormat/>
    <w:uiPriority w:val="0"/>
    <w:pPr>
      <w:widowControl w:val="0"/>
      <w:autoSpaceDE w:val="0"/>
      <w:autoSpaceDN w:val="0"/>
      <w:adjustRightInd w:val="0"/>
    </w:pPr>
    <w:rPr>
      <w:rFonts w:ascii="仿宋_GB2312" w:cs="仿宋_GB2312"/>
      <w:color w:val="000000"/>
      <w:sz w:val="24"/>
    </w:rPr>
  </w:style>
  <w:style w:type="paragraph" w:customStyle="1" w:styleId="8">
    <w:name w:val="标题 段落4级"/>
    <w:autoRedefine/>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styleId="9">
    <w:name w:val="caption"/>
    <w:basedOn w:val="1"/>
    <w:next w:val="1"/>
    <w:qFormat/>
    <w:uiPriority w:val="99"/>
    <w:rPr>
      <w:rFonts w:ascii="Arial" w:hAnsi="Arial" w:eastAsia="黑体" w:cs="Arial"/>
      <w:sz w:val="20"/>
    </w:rPr>
  </w:style>
  <w:style w:type="paragraph" w:styleId="10">
    <w:name w:val="annotation text"/>
    <w:basedOn w:val="1"/>
    <w:qFormat/>
    <w:uiPriority w:val="99"/>
    <w:pPr>
      <w:jc w:val="left"/>
    </w:pPr>
    <w:rPr>
      <w:kern w:val="0"/>
      <w:sz w:val="24"/>
      <w:szCs w:val="20"/>
    </w:rPr>
  </w:style>
  <w:style w:type="paragraph" w:styleId="11">
    <w:name w:val="Body Text 3"/>
    <w:basedOn w:val="1"/>
    <w:qFormat/>
    <w:uiPriority w:val="0"/>
    <w:rPr>
      <w:rFonts w:ascii="宋体"/>
    </w:rPr>
  </w:style>
  <w:style w:type="paragraph" w:styleId="12">
    <w:name w:val="Body Text"/>
    <w:basedOn w:val="1"/>
    <w:next w:val="13"/>
    <w:qFormat/>
    <w:uiPriority w:val="0"/>
    <w:pPr>
      <w:widowControl/>
      <w:snapToGrid w:val="0"/>
      <w:spacing w:before="60" w:after="160" w:line="259" w:lineRule="auto"/>
      <w:ind w:right="113"/>
    </w:pPr>
    <w:rPr>
      <w:kern w:val="0"/>
      <w:sz w:val="18"/>
      <w:szCs w:val="20"/>
    </w:rPr>
  </w:style>
  <w:style w:type="paragraph" w:styleId="13">
    <w:name w:val="List Bullet 5"/>
    <w:basedOn w:val="1"/>
    <w:qFormat/>
    <w:uiPriority w:val="0"/>
    <w:pPr>
      <w:numPr>
        <w:ilvl w:val="0"/>
        <w:numId w:val="1"/>
      </w:numPr>
    </w:pPr>
  </w:style>
  <w:style w:type="paragraph" w:styleId="14">
    <w:name w:val="Body Text Indent"/>
    <w:basedOn w:val="1"/>
    <w:next w:val="1"/>
    <w:qFormat/>
    <w:uiPriority w:val="0"/>
    <w:pPr>
      <w:spacing w:after="120"/>
      <w:ind w:left="420" w:leftChars="200"/>
    </w:pPr>
    <w:rPr>
      <w:kern w:val="0"/>
      <w:sz w:val="24"/>
      <w:szCs w:val="20"/>
    </w:rPr>
  </w:style>
  <w:style w:type="paragraph" w:styleId="15">
    <w:name w:val="Block Text"/>
    <w:basedOn w:val="1"/>
    <w:qFormat/>
    <w:uiPriority w:val="0"/>
    <w:pPr>
      <w:spacing w:after="120"/>
      <w:ind w:left="1440" w:leftChars="700" w:right="1440" w:rightChars="700"/>
    </w:pPr>
  </w:style>
  <w:style w:type="paragraph" w:styleId="16">
    <w:name w:val="Plain Text"/>
    <w:basedOn w:val="1"/>
    <w:qFormat/>
    <w:uiPriority w:val="0"/>
    <w:pPr>
      <w:widowControl/>
      <w:spacing w:before="100" w:beforeAutospacing="1" w:after="100" w:afterAutospacing="1"/>
      <w:jc w:val="left"/>
    </w:pPr>
    <w:rPr>
      <w:rFonts w:ascii="宋体" w:hAnsi="宋体"/>
      <w:kern w:val="0"/>
      <w:sz w:val="24"/>
    </w:rPr>
  </w:style>
  <w:style w:type="paragraph" w:styleId="17">
    <w:name w:val="Body Text Indent 2"/>
    <w:basedOn w:val="1"/>
    <w:next w:val="18"/>
    <w:qFormat/>
    <w:uiPriority w:val="0"/>
    <w:pPr>
      <w:spacing w:line="360" w:lineRule="auto"/>
      <w:ind w:firstLine="480" w:firstLineChars="200"/>
    </w:pPr>
    <w:rPr>
      <w:color w:val="000000"/>
      <w:sz w:val="24"/>
    </w:rPr>
  </w:style>
  <w:style w:type="paragraph" w:styleId="18">
    <w:name w:val="Body Text First Indent 2"/>
    <w:basedOn w:val="14"/>
    <w:next w:val="19"/>
    <w:qFormat/>
    <w:uiPriority w:val="0"/>
    <w:pPr>
      <w:ind w:firstLine="420" w:firstLineChars="200"/>
    </w:pPr>
    <w:rPr>
      <w:kern w:val="2"/>
      <w:sz w:val="21"/>
    </w:rPr>
  </w:style>
  <w:style w:type="paragraph" w:styleId="19">
    <w:name w:val="Body Text First Indent"/>
    <w:basedOn w:val="12"/>
    <w:next w:val="1"/>
    <w:qFormat/>
    <w:uiPriority w:val="0"/>
    <w:pPr>
      <w:widowControl w:val="0"/>
      <w:snapToGrid/>
      <w:spacing w:before="0" w:after="120" w:line="240" w:lineRule="auto"/>
      <w:ind w:right="0" w:firstLine="420" w:firstLineChars="100"/>
    </w:pPr>
    <w:rPr>
      <w:kern w:val="2"/>
      <w:sz w:val="21"/>
    </w:rPr>
  </w:style>
  <w:style w:type="paragraph" w:styleId="20">
    <w:name w:val="footer"/>
    <w:basedOn w:val="1"/>
    <w:qFormat/>
    <w:uiPriority w:val="99"/>
    <w:pPr>
      <w:tabs>
        <w:tab w:val="center" w:pos="4153"/>
        <w:tab w:val="right" w:pos="8306"/>
      </w:tabs>
      <w:snapToGrid w:val="0"/>
      <w:jc w:val="left"/>
    </w:pPr>
    <w:rPr>
      <w:kern w:val="0"/>
      <w:sz w:val="18"/>
      <w:szCs w:val="20"/>
    </w:rPr>
  </w:style>
  <w:style w:type="paragraph" w:styleId="2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2">
    <w:name w:val="toc 1"/>
    <w:basedOn w:val="1"/>
    <w:next w:val="1"/>
    <w:qFormat/>
    <w:uiPriority w:val="0"/>
  </w:style>
  <w:style w:type="paragraph" w:styleId="23">
    <w:name w:val="toc 2"/>
    <w:basedOn w:val="1"/>
    <w:next w:val="1"/>
    <w:qFormat/>
    <w:uiPriority w:val="0"/>
    <w:pPr>
      <w:ind w:left="420" w:leftChars="200"/>
    </w:pPr>
  </w:style>
  <w:style w:type="paragraph" w:styleId="24">
    <w:name w:val="Normal (Web)"/>
    <w:basedOn w:val="1"/>
    <w:qFormat/>
    <w:uiPriority w:val="0"/>
    <w:pPr>
      <w:widowControl/>
      <w:spacing w:before="100" w:beforeAutospacing="1" w:after="100" w:afterAutospacing="1"/>
      <w:jc w:val="left"/>
    </w:pPr>
    <w:rPr>
      <w:rFonts w:ascii="宋体" w:hAnsi="宋体"/>
      <w:kern w:val="0"/>
      <w:sz w:val="24"/>
      <w:szCs w:val="20"/>
    </w:rPr>
  </w:style>
  <w:style w:type="table" w:styleId="26">
    <w:name w:val="Table Grid"/>
    <w:basedOn w:val="25"/>
    <w:qFormat/>
    <w:uiPriority w:val="59"/>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rPr>
  </w:style>
  <w:style w:type="character" w:styleId="29">
    <w:name w:val="page number"/>
    <w:basedOn w:val="27"/>
    <w:qFormat/>
    <w:uiPriority w:val="0"/>
  </w:style>
  <w:style w:type="character" w:styleId="30">
    <w:name w:val="annotation reference"/>
    <w:basedOn w:val="27"/>
    <w:qFormat/>
    <w:uiPriority w:val="0"/>
    <w:rPr>
      <w:sz w:val="21"/>
    </w:rPr>
  </w:style>
  <w:style w:type="paragraph" w:customStyle="1" w:styleId="31">
    <w:name w:val="Char Char1 Char"/>
    <w:basedOn w:val="1"/>
    <w:autoRedefine/>
    <w:qFormat/>
    <w:uiPriority w:val="0"/>
    <w:rPr>
      <w:sz w:val="24"/>
      <w:szCs w:val="24"/>
    </w:rPr>
  </w:style>
  <w:style w:type="paragraph" w:customStyle="1" w:styleId="32">
    <w:name w:val="！正文"/>
    <w:basedOn w:val="1"/>
    <w:autoRedefine/>
    <w:qFormat/>
    <w:uiPriority w:val="0"/>
    <w:pPr>
      <w:spacing w:line="500" w:lineRule="exact"/>
      <w:ind w:firstLine="200" w:firstLineChars="200"/>
    </w:pPr>
    <w:rPr>
      <w:rFonts w:ascii="Calibri" w:hAnsi="Calibri" w:eastAsia="宋体" w:cs="Times New Roman"/>
      <w:sz w:val="24"/>
      <w:szCs w:val="22"/>
    </w:rPr>
  </w:style>
  <w:style w:type="paragraph" w:customStyle="1" w:styleId="33">
    <w:name w:val="xl23"/>
    <w:basedOn w:val="1"/>
    <w:autoRedefine/>
    <w:qFormat/>
    <w:uiPriority w:val="0"/>
    <w:pPr>
      <w:widowControl/>
      <w:spacing w:before="100" w:beforeAutospacing="1" w:after="100" w:afterAutospacing="1"/>
      <w:jc w:val="center"/>
    </w:pPr>
    <w:rPr>
      <w:rFonts w:ascii="Arial Unicode MS" w:hAnsi="Arial Unicode MS"/>
      <w:kern w:val="0"/>
      <w:sz w:val="24"/>
    </w:rPr>
  </w:style>
  <w:style w:type="paragraph" w:customStyle="1" w:styleId="34">
    <w:name w:val="Table Text"/>
    <w:basedOn w:val="1"/>
    <w:autoRedefine/>
    <w:semiHidden/>
    <w:qFormat/>
    <w:uiPriority w:val="0"/>
    <w:rPr>
      <w:rFonts w:ascii="宋体" w:hAnsi="宋体" w:eastAsia="宋体" w:cs="宋体"/>
      <w:sz w:val="21"/>
      <w:szCs w:val="21"/>
      <w:lang w:val="en-US" w:eastAsia="en-US" w:bidi="ar-SA"/>
    </w:rPr>
  </w:style>
  <w:style w:type="paragraph" w:styleId="35">
    <w:name w:val="List Paragraph"/>
    <w:basedOn w:val="1"/>
    <w:autoRedefine/>
    <w:qFormat/>
    <w:uiPriority w:val="99"/>
    <w:pPr>
      <w:ind w:firstLine="420" w:firstLineChars="200"/>
    </w:pPr>
  </w:style>
  <w:style w:type="paragraph" w:customStyle="1" w:styleId="36">
    <w:name w:val="No Spacing11"/>
    <w:autoRedefine/>
    <w:qFormat/>
    <w:uiPriority w:val="0"/>
    <w:pPr>
      <w:widowControl w:val="0"/>
      <w:jc w:val="center"/>
    </w:pPr>
    <w:rPr>
      <w:rFonts w:ascii="宋体" w:hAnsi="Courier New" w:eastAsia="仿宋_GB2312" w:cs="Times New Roman"/>
      <w:kern w:val="2"/>
      <w:sz w:val="24"/>
      <w:lang w:val="en-US" w:eastAsia="zh-CN" w:bidi="ar-SA"/>
    </w:rPr>
  </w:style>
  <w:style w:type="paragraph" w:styleId="37">
    <w:name w:val="No Spacing"/>
    <w:autoRedefine/>
    <w:qFormat/>
    <w:uiPriority w:val="0"/>
    <w:pPr>
      <w:widowControl w:val="0"/>
      <w:jc w:val="center"/>
    </w:pPr>
    <w:rPr>
      <w:rFonts w:ascii="宋体" w:hAnsi="Courier New" w:eastAsia="仿宋_GB2312" w:cs="Times New Roman"/>
      <w:kern w:val="2"/>
      <w:sz w:val="24"/>
      <w:lang w:val="en-US" w:eastAsia="zh-CN" w:bidi="ar-SA"/>
    </w:rPr>
  </w:style>
  <w:style w:type="table" w:customStyle="1" w:styleId="38">
    <w:name w:val="Table Normal"/>
    <w:autoRedefine/>
    <w:semiHidden/>
    <w:unhideWhenUsed/>
    <w:qFormat/>
    <w:uiPriority w:val="0"/>
    <w:tblPr>
      <w:tblCellMar>
        <w:top w:w="0" w:type="dxa"/>
        <w:left w:w="0" w:type="dxa"/>
        <w:bottom w:w="0" w:type="dxa"/>
        <w:right w:w="0" w:type="dxa"/>
      </w:tblCellMar>
    </w:tblPr>
  </w:style>
  <w:style w:type="paragraph" w:customStyle="1" w:styleId="39">
    <w:name w:val="表格文字"/>
    <w:basedOn w:val="1"/>
    <w:autoRedefine/>
    <w:qFormat/>
    <w:uiPriority w:val="0"/>
    <w:pPr>
      <w:jc w:val="center"/>
    </w:pPr>
    <w:rPr>
      <w:rFonts w:ascii="仿宋_GB2312" w:hAnsi="Arial Black" w:eastAsia="仿宋_GB2312"/>
      <w:kern w:val="44"/>
      <w:sz w:val="24"/>
      <w:szCs w:val="20"/>
    </w:rPr>
  </w:style>
  <w:style w:type="paragraph" w:customStyle="1" w:styleId="40">
    <w:name w:val="报告书 正文"/>
    <w:autoRedefine/>
    <w:qFormat/>
    <w:uiPriority w:val="0"/>
    <w:pPr>
      <w:widowControl w:val="0"/>
      <w:spacing w:line="500" w:lineRule="exact"/>
      <w:ind w:firstLine="200" w:firstLineChars="200"/>
      <w:jc w:val="both"/>
    </w:pPr>
    <w:rPr>
      <w:rFonts w:ascii="Times New Roman" w:hAnsi="Times New Roman" w:eastAsia="仿宋_GB2312" w:cs="Times New Roman"/>
      <w:kern w:val="2"/>
      <w:sz w:val="28"/>
      <w:szCs w:val="24"/>
      <w:lang w:val="en-US" w:eastAsia="zh-CN" w:bidi="ar-SA"/>
    </w:rPr>
  </w:style>
  <w:style w:type="paragraph" w:customStyle="1" w:styleId="41">
    <w:name w:val="图表"/>
    <w:basedOn w:val="42"/>
    <w:autoRedefine/>
    <w:qFormat/>
    <w:uiPriority w:val="0"/>
    <w:rPr>
      <w:color w:val="000000"/>
      <w:sz w:val="21"/>
      <w:szCs w:val="21"/>
    </w:rPr>
  </w:style>
  <w:style w:type="paragraph" w:customStyle="1" w:styleId="42">
    <w:name w:val="表格"/>
    <w:basedOn w:val="1"/>
    <w:next w:val="1"/>
    <w:autoRedefine/>
    <w:qFormat/>
    <w:uiPriority w:val="0"/>
    <w:pPr>
      <w:jc w:val="center"/>
    </w:pPr>
    <w:rPr>
      <w:sz w:val="24"/>
    </w:rPr>
  </w:style>
  <w:style w:type="paragraph" w:customStyle="1" w:styleId="43">
    <w:name w:val="No Spacing1"/>
    <w:autoRedefine/>
    <w:qFormat/>
    <w:uiPriority w:val="0"/>
    <w:pPr>
      <w:widowControl w:val="0"/>
      <w:jc w:val="center"/>
    </w:pPr>
    <w:rPr>
      <w:rFonts w:ascii="宋体" w:hAnsi="Courier New" w:eastAsia="仿宋_GB2312" w:cs="Times New Roman"/>
      <w:kern w:val="2"/>
      <w:sz w:val="24"/>
      <w:lang w:val="en-US" w:eastAsia="zh-CN" w:bidi="ar-SA"/>
    </w:rPr>
  </w:style>
  <w:style w:type="paragraph" w:customStyle="1" w:styleId="44">
    <w:name w:val="Table Paragraph"/>
    <w:basedOn w:val="1"/>
    <w:qFormat/>
    <w:uiPriority w:val="1"/>
    <w:pPr>
      <w:jc w:val="left"/>
    </w:pPr>
    <w:rPr>
      <w:rFonts w:ascii="Calibri" w:hAnsi="Calibri"/>
      <w:kern w:val="0"/>
      <w:sz w:val="22"/>
      <w:szCs w:val="22"/>
      <w:lang w:eastAsia="en-US"/>
    </w:rPr>
  </w:style>
  <w:style w:type="paragraph" w:customStyle="1" w:styleId="45">
    <w:name w:val="正文首行缩进 21"/>
    <w:basedOn w:val="14"/>
    <w:next w:val="46"/>
    <w:autoRedefine/>
    <w:unhideWhenUsed/>
    <w:qFormat/>
    <w:uiPriority w:val="0"/>
    <w:pPr>
      <w:spacing w:after="120"/>
      <w:ind w:left="420" w:leftChars="200" w:firstLine="420"/>
    </w:pPr>
  </w:style>
  <w:style w:type="paragraph" w:customStyle="1" w:styleId="46">
    <w:name w:val="正文首行缩进1"/>
    <w:basedOn w:val="12"/>
    <w:next w:val="1"/>
    <w:autoRedefine/>
    <w:qFormat/>
    <w:uiPriority w:val="0"/>
    <w:pPr>
      <w:spacing w:after="120"/>
      <w:ind w:firstLine="420" w:firstLineChars="100"/>
    </w:pPr>
  </w:style>
  <w:style w:type="paragraph" w:customStyle="1" w:styleId="47">
    <w:name w:val="常用正文样式"/>
    <w:basedOn w:val="1"/>
    <w:autoRedefine/>
    <w:qFormat/>
    <w:uiPriority w:val="0"/>
    <w:pPr>
      <w:spacing w:line="360" w:lineRule="auto"/>
      <w:ind w:firstLine="480" w:firstLineChars="200"/>
    </w:pPr>
    <w:rPr>
      <w:rFonts w:ascii="宋体" w:hAnsi="宋体" w:eastAsia="仿宋_GB2312" w:cs="宋体"/>
      <w:bCs/>
      <w:kern w:val="28"/>
      <w:sz w:val="24"/>
    </w:rPr>
  </w:style>
  <w:style w:type="character" w:customStyle="1" w:styleId="48">
    <w:name w:val="font91"/>
    <w:basedOn w:val="27"/>
    <w:autoRedefine/>
    <w:qFormat/>
    <w:uiPriority w:val="0"/>
    <w:rPr>
      <w:rFonts w:hint="default" w:ascii="Times New Roman" w:hAnsi="Times New Roman" w:cs="Times New Roman"/>
      <w:color w:val="0000FF"/>
      <w:sz w:val="21"/>
      <w:szCs w:val="21"/>
      <w:u w:val="none"/>
      <w:vertAlign w:val="superscript"/>
    </w:rPr>
  </w:style>
  <w:style w:type="character" w:customStyle="1" w:styleId="49">
    <w:name w:val="font71"/>
    <w:basedOn w:val="27"/>
    <w:autoRedefine/>
    <w:qFormat/>
    <w:uiPriority w:val="0"/>
    <w:rPr>
      <w:rFonts w:hint="eastAsia" w:ascii="宋体" w:hAnsi="宋体" w:eastAsia="宋体" w:cs="宋体"/>
      <w:color w:val="000000"/>
      <w:sz w:val="20"/>
      <w:szCs w:val="20"/>
      <w:u w:val="none"/>
    </w:rPr>
  </w:style>
  <w:style w:type="paragraph" w:customStyle="1" w:styleId="50">
    <w:name w:val="1 正文"/>
    <w:basedOn w:val="1"/>
    <w:autoRedefine/>
    <w:qFormat/>
    <w:uiPriority w:val="0"/>
    <w:pPr>
      <w:adjustRightInd w:val="0"/>
      <w:snapToGrid w:val="0"/>
      <w:spacing w:line="360" w:lineRule="auto"/>
      <w:ind w:firstLine="200" w:firstLineChars="200"/>
    </w:pPr>
    <w:rPr>
      <w:kern w:val="0"/>
      <w:sz w:val="24"/>
      <w:szCs w:val="20"/>
    </w:rPr>
  </w:style>
  <w:style w:type="paragraph" w:customStyle="1" w:styleId="51">
    <w:name w:val="样式11"/>
    <w:basedOn w:val="1"/>
    <w:qFormat/>
    <w:uiPriority w:val="0"/>
    <w:pPr>
      <w:adjustRightInd w:val="0"/>
      <w:snapToGrid w:val="0"/>
      <w:spacing w:line="360" w:lineRule="auto"/>
      <w:ind w:firstLine="420" w:firstLineChars="200"/>
    </w:pPr>
    <w:rPr>
      <w:szCs w:val="21"/>
    </w:rPr>
  </w:style>
  <w:style w:type="character" w:customStyle="1" w:styleId="52">
    <w:name w:val="font51"/>
    <w:basedOn w:val="27"/>
    <w:autoRedefine/>
    <w:qFormat/>
    <w:uiPriority w:val="0"/>
    <w:rPr>
      <w:rFonts w:hint="default" w:ascii="Times New Roman" w:hAnsi="Times New Roman" w:cs="Times New Roman"/>
      <w:b/>
      <w:color w:val="000000"/>
      <w:sz w:val="18"/>
      <w:szCs w:val="18"/>
      <w:u w:val="none"/>
    </w:rPr>
  </w:style>
  <w:style w:type="paragraph" w:customStyle="1" w:styleId="53">
    <w:name w:val="1表格"/>
    <w:basedOn w:val="1"/>
    <w:autoRedefine/>
    <w:qFormat/>
    <w:uiPriority w:val="0"/>
    <w:pPr>
      <w:adjustRightInd w:val="0"/>
      <w:snapToGrid w:val="0"/>
      <w:jc w:val="center"/>
    </w:pPr>
    <w:rPr>
      <w:spacing w:val="4"/>
      <w:kern w:val="0"/>
      <w:sz w:val="20"/>
    </w:rPr>
  </w:style>
  <w:style w:type="character" w:customStyle="1" w:styleId="54">
    <w:name w:val="font11"/>
    <w:basedOn w:val="27"/>
    <w:qFormat/>
    <w:uiPriority w:val="0"/>
    <w:rPr>
      <w:rFonts w:hint="eastAsia" w:ascii="仿宋" w:hAnsi="仿宋" w:eastAsia="仿宋" w:cs="仿宋"/>
      <w:color w:val="000000"/>
      <w:sz w:val="21"/>
      <w:szCs w:val="21"/>
      <w:u w:val="none"/>
    </w:rPr>
  </w:style>
  <w:style w:type="character" w:customStyle="1" w:styleId="55">
    <w:name w:val="font21"/>
    <w:basedOn w:val="27"/>
    <w:qFormat/>
    <w:uiPriority w:val="0"/>
    <w:rPr>
      <w:rFonts w:hint="default" w:ascii="Times New Roman" w:hAnsi="Times New Roman" w:cs="Times New Roman"/>
      <w:color w:val="000000"/>
      <w:sz w:val="21"/>
      <w:szCs w:val="21"/>
      <w:u w:val="none"/>
    </w:rPr>
  </w:style>
  <w:style w:type="character" w:customStyle="1" w:styleId="56">
    <w:name w:val="font41"/>
    <w:basedOn w:val="27"/>
    <w:qFormat/>
    <w:uiPriority w:val="0"/>
    <w:rPr>
      <w:rFonts w:hint="eastAsia" w:ascii="宋体" w:hAnsi="宋体" w:eastAsia="宋体" w:cs="宋体"/>
      <w:color w:val="000000"/>
      <w:sz w:val="21"/>
      <w:szCs w:val="21"/>
      <w:u w:val="none"/>
    </w:rPr>
  </w:style>
  <w:style w:type="character" w:customStyle="1" w:styleId="57">
    <w:name w:val="font31"/>
    <w:basedOn w:val="27"/>
    <w:qFormat/>
    <w:uiPriority w:val="0"/>
    <w:rPr>
      <w:rFonts w:hint="default" w:ascii="Times New Roman" w:hAnsi="Times New Roman" w:cs="Times New Roman"/>
      <w:color w:val="000000"/>
      <w:sz w:val="22"/>
      <w:szCs w:val="22"/>
      <w:u w:val="none"/>
    </w:rPr>
  </w:style>
  <w:style w:type="character" w:customStyle="1" w:styleId="58">
    <w:name w:val="font61"/>
    <w:basedOn w:val="27"/>
    <w:qFormat/>
    <w:uiPriority w:val="0"/>
    <w:rPr>
      <w:rFonts w:hint="eastAsia" w:ascii="仿宋" w:hAnsi="仿宋" w:eastAsia="仿宋" w:cs="仿宋"/>
      <w:color w:val="000000"/>
      <w:sz w:val="22"/>
      <w:szCs w:val="22"/>
      <w:u w:val="none"/>
    </w:rPr>
  </w:style>
  <w:style w:type="paragraph" w:customStyle="1" w:styleId="59">
    <w:name w:val="！！"/>
    <w:basedOn w:val="60"/>
    <w:qFormat/>
    <w:uiPriority w:val="0"/>
    <w:pPr>
      <w:tabs>
        <w:tab w:val="left" w:pos="277"/>
        <w:tab w:val="left" w:pos="600"/>
        <w:tab w:val="left" w:pos="780"/>
        <w:tab w:val="left" w:pos="2517"/>
      </w:tabs>
    </w:pPr>
  </w:style>
  <w:style w:type="paragraph" w:customStyle="1" w:styleId="60">
    <w:name w:val="表格的文字"/>
    <w:basedOn w:val="61"/>
    <w:qFormat/>
    <w:uiPriority w:val="99"/>
    <w:pPr>
      <w:tabs>
        <w:tab w:val="left" w:pos="277"/>
        <w:tab w:val="left" w:pos="600"/>
        <w:tab w:val="left" w:pos="780"/>
        <w:tab w:val="left" w:pos="2517"/>
      </w:tabs>
    </w:pPr>
  </w:style>
  <w:style w:type="paragraph" w:customStyle="1" w:styleId="61">
    <w:name w:val="表格文字2"/>
    <w:basedOn w:val="1"/>
    <w:qFormat/>
    <w:uiPriority w:val="99"/>
    <w:pPr>
      <w:tabs>
        <w:tab w:val="left" w:pos="277"/>
        <w:tab w:val="left" w:pos="600"/>
        <w:tab w:val="left" w:pos="780"/>
        <w:tab w:val="left" w:pos="2517"/>
      </w:tabs>
      <w:adjustRightInd w:val="0"/>
      <w:snapToGrid w:val="0"/>
      <w:jc w:val="center"/>
      <w:textAlignment w:val="baseline"/>
    </w:p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jpeg"/><Relationship Id="rId31" Type="http://schemas.openxmlformats.org/officeDocument/2006/relationships/image" Target="media/image16.wmf"/><Relationship Id="rId30" Type="http://schemas.openxmlformats.org/officeDocument/2006/relationships/oleObject" Target="embeddings/oleObject7.bin"/><Relationship Id="rId3" Type="http://schemas.openxmlformats.org/officeDocument/2006/relationships/footer" Target="footer1.xml"/><Relationship Id="rId29" Type="http://schemas.openxmlformats.org/officeDocument/2006/relationships/image" Target="media/image15.wmf"/><Relationship Id="rId28" Type="http://schemas.openxmlformats.org/officeDocument/2006/relationships/oleObject" Target="embeddings/oleObject6.bin"/><Relationship Id="rId27" Type="http://schemas.openxmlformats.org/officeDocument/2006/relationships/image" Target="media/image14.wmf"/><Relationship Id="rId26" Type="http://schemas.openxmlformats.org/officeDocument/2006/relationships/oleObject" Target="embeddings/oleObject5.bin"/><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4.bin"/><Relationship Id="rId17" Type="http://schemas.openxmlformats.org/officeDocument/2006/relationships/image" Target="media/image6.png"/><Relationship Id="rId16" Type="http://schemas.openxmlformats.org/officeDocument/2006/relationships/image" Target="https://timgsa.baidu.com/timg?image%252525252525252525252525252525252525252525252525252525252525252525252526quality=80%252525252525252525252525252525252525252525252525252525252525252525252526size=b9999_10000%252525252525252525252525252525252525252525252525252525252525252525252526sec=1546449126209%252525252525252525252525252525252525252525252525252525252525252525252526di=dd0e158c1d58a5b3b7922b51a6fe5e77%252525252525252525252525252525252525252525252525252525252525252525252526imgtype=0%252525252525252525252525252525252525252525252525252525252525252525252526src=http://www.whsthb.com/upload/attached/image/20150521/20150521084455_94949.jpg" TargetMode="External"/><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emf"/><Relationship Id="rId12" Type="http://schemas.openxmlformats.org/officeDocument/2006/relationships/oleObject" Target="embeddings/oleObject3.bin"/><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108</Pages>
  <Words>70757</Words>
  <Characters>81268</Characters>
  <Lines>1</Lines>
  <Paragraphs>1</Paragraphs>
  <TotalTime>21</TotalTime>
  <ScaleCrop>false</ScaleCrop>
  <LinksUpToDate>false</LinksUpToDate>
  <CharactersWithSpaces>82197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2025-03-05T07:09:00Z</dcterms:created>
  <dc:creator>Administrator</dc:creator>
  <cp:lastModifiedBy>spring peach</cp:lastModifiedBy>
  <cp:lastPrinted>2025-04-09T07:00:00Z</cp:lastPrinted>
  <dcterms:modified xsi:type="dcterms:W3CDTF">2025-05-06T07:00:30Z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eyJoZGlkIjoiNzJmMmY4NzJlMTZlMGQ0MDI5N2M1NzY3MjJlZDdhZDUiLCJ1c2VySWQiOiI0MDYwODI5ODUifQ==</vt:lpwstr>
  </property>
  <property fmtid="{D5CDD505-2E9C-101B-9397-08002B2CF9AE}" pid="4" name="ICV">
    <vt:lpwstr>871DF86ED2B84DD386F503EB4307FB19_13</vt:lpwstr>
  </property>
</Properties>
</file>